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http://schemas.openxmlformats.org/wordprocessingml/2006/main" xmlns:wps="http://schemas.microsoft.com/office/word/2010/wordprocessingShape">
  <w:body>
    <w:bookmarkStart w:id="0" w:name="page1"/>
    <w:bookmarkEnd w:id="0"/>
    <w:p>
      <w:pPr>
        <w:spacing w:after="0"/>
        <w:rPr>
          <w:sz w:val="24"/>
          <w:szCs w:val="24"/>
          <w:color w:val="auto"/>
        </w:rPr>
      </w:pPr>
      <w:r>
        <w:rPr>
          <w:sz w:val="24"/>
          <w:szCs w:val="24"/>
          <w:color w:val="auto"/>
        </w:rPr>
        <w:drawing>
          <wp:anchor simplePos="0" relativeHeight="251657728" behindDoc="1" locked="0" layoutInCell="0" allowOverlap="1">
            <wp:simplePos x="0" y="0"/>
            <wp:positionH relativeFrom="page">
              <wp:posOffset>0</wp:posOffset>
            </wp:positionH>
            <wp:positionV relativeFrom="page">
              <wp:posOffset>0</wp:posOffset>
            </wp:positionV>
            <wp:extent cx="5894705" cy="827849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clrChange>
                        <a:clrFrom>
                          <a:srgbClr val="FFFFFF"/>
                        </a:clrFrom>
                        <a:clrTo>
                          <a:srgbClr val="FFFFFF">
                            <a:alpha val="0"/>
                          </a:srgbClr>
                        </a:clrTo>
                      </a:clrChange>
                      <a:extLst>
                        <a:ext uri="{28A0092B-C50C-407E-A947-70E740481C1C}"/>
                      </a:extLst>
                    </a:blip>
                    <a:srcRect/>
                    <a:stretch>
                      <a:fillRect/>
                    </a:stretch>
                  </pic:blipFill>
                  <pic:spPr bwMode="auto">
                    <a:xfrm>
                      <a:off x="0" y="0"/>
                      <a:ext cx="5894705" cy="8278495"/>
                    </a:xfrm>
                    <a:prstGeom prst="rect">
                      <a:avLst/>
                    </a:prstGeom>
                    <a:noFill/>
                  </pic:spPr>
                </pic:pic>
              </a:graphicData>
            </a:graphic>
          </wp:anchor>
        </w:drawing>
      </w:r>
    </w:p>
    <w:p>
      <w:pPr>
        <w:sectPr>
          <w:pgSz w:w="9280" w:h="13037" w:orient="portrait"/>
          <w:cols w:equalWidth="1" w:num="1" w:space="0"/>
          <w:pgMar w:left="1440" w:top="1440" w:right="1440" w:bottom="1440" w:gutter="0" w:footer="0" w:header="0"/>
        </w:sectPr>
      </w:pPr>
    </w:p>
    <w:bookmarkStart w:id="1" w:name="page2"/>
    <w:bookmarkEnd w:id="1"/>
    <w:p>
      <w:pPr>
        <w:spacing w:after="0"/>
        <w:rPr>
          <w:sz w:val="20"/>
          <w:szCs w:val="20"/>
          <w:color w:val="auto"/>
        </w:rPr>
      </w:pPr>
    </w:p>
    <w:p>
      <w:pPr>
        <w:sectPr>
          <w:pgSz w:w="9360" w:h="13039" w:orient="portrait"/>
          <w:cols w:equalWidth="1" w:num="1" w:space="0"/>
          <w:pgMar w:left="1440" w:top="1440" w:right="1440" w:bottom="1440" w:gutter="0" w:footer="0" w:header="0"/>
        </w:sectPr>
      </w:pPr>
    </w:p>
    <w:bookmarkStart w:id="2" w:name="page3"/>
    <w:bookmarkEnd w:id="2"/>
    <w:p>
      <w:pPr>
        <w:spacing w:after="0"/>
        <w:rPr>
          <w:sz w:val="20"/>
          <w:szCs w:val="20"/>
          <w:color w:val="auto"/>
        </w:rPr>
      </w:pPr>
    </w:p>
    <w:p>
      <w:pPr>
        <w:sectPr>
          <w:pgSz w:w="9360" w:h="13039" w:orient="portrait"/>
          <w:cols w:equalWidth="1" w:num="1" w:space="0"/>
          <w:pgMar w:left="1440" w:top="1440" w:right="1440" w:bottom="1440" w:gutter="0" w:footer="0" w:header="0"/>
        </w:sectPr>
      </w:pPr>
    </w:p>
    <w:bookmarkStart w:id="3" w:name="page4"/>
    <w:bookmarkEnd w:id="3"/>
    <w:p>
      <w:pPr>
        <w:spacing w:after="0" w:line="190" w:lineRule="exact"/>
        <w:rPr>
          <w:sz w:val="20"/>
          <w:szCs w:val="20"/>
          <w:color w:val="auto"/>
        </w:rPr>
      </w:pPr>
    </w:p>
    <w:p>
      <w:pPr>
        <w:spacing w:after="0"/>
        <w:rPr>
          <w:sz w:val="20"/>
          <w:szCs w:val="20"/>
          <w:color w:val="auto"/>
        </w:rPr>
      </w:pPr>
      <w:r>
        <w:rPr>
          <w:rFonts w:ascii="Times New Roman" w:cs="Times New Roman" w:eastAsia="Times New Roman" w:hAnsi="Times New Roman"/>
          <w:sz w:val="26"/>
          <w:szCs w:val="26"/>
          <w:color w:val="auto"/>
        </w:rPr>
        <w:t>ANÁLISIS ECOMORFOLÓGICOS</w:t>
      </w:r>
    </w:p>
    <w:p>
      <w:pPr>
        <w:sectPr>
          <w:pgSz w:w="9360" w:h="13039" w:orient="portrait"/>
          <w:cols w:equalWidth="0" w:num="1">
            <w:col w:w="3960"/>
          </w:cols>
          <w:pgMar w:left="2700" w:top="1440" w:right="2700" w:bottom="1440" w:gutter="0" w:footer="0" w:header="0"/>
        </w:sectPr>
      </w:pPr>
    </w:p>
    <w:p>
      <w:pPr>
        <w:spacing w:after="0" w:line="56"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Y ESTUDIOS DE CASO EN MÉXICO</w:t>
      </w:r>
    </w:p>
    <w:p>
      <w:pPr>
        <w:sectPr>
          <w:pgSz w:w="9360" w:h="13039" w:orient="portrait"/>
          <w:cols w:equalWidth="0" w:num="1">
            <w:col w:w="3340"/>
          </w:cols>
          <w:pgMar w:left="3000" w:top="1440" w:right="3020" w:bottom="1440" w:gutter="0" w:footer="0" w:header="0"/>
          <w:type w:val="continuous"/>
        </w:sectPr>
      </w:pPr>
    </w:p>
    <w:bookmarkStart w:id="4" w:name="page5"/>
    <w:bookmarkEnd w:id="4"/>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page">
                  <wp:posOffset>3545840</wp:posOffset>
                </wp:positionH>
                <wp:positionV relativeFrom="page">
                  <wp:posOffset>4933315</wp:posOffset>
                </wp:positionV>
                <wp:extent cx="0" cy="2349500"/>
                <wp:wrapNone/>
                <wp:docPr id="2" name="Shape 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2349500"/>
                        </a:xfrm>
                        <a:prstGeom prst="line">
                          <a:avLst/>
                        </a:prstGeom>
                        <a:solidFill>
                          <a:srgbClr val="FFFFFF"/>
                        </a:solidFill>
                        <a:ln w="3175">
                          <a:solidFill>
                            <a:srgbClr val="000000"/>
                          </a:solidFill>
                          <a:miter lim="800000"/>
                          <a:headEnd/>
                          <a:tailEnd/>
                        </a:ln>
                      </wps:spPr>
                      <wps:bodyPr/>
                    </wps:wsp>
                  </a:graphicData>
                </a:graphic>
              </wp:anchor>
            </w:drawing>
          </mc:Choice>
          <mc:Fallback>
            <w:pict>
              <v:line id="Shape 2" o:spid="_x0000_s1027" style="position:absolute;z-index:251657728;visibility:visible;mso-wrap-style:square;mso-wrap-distance-left:0pt;mso-wrap-distance-top:0;mso-wrap-distance-right:0pt;mso-wrap-distance-bottom:0;mso-position-horizontal:absolute;mso-position-horizontal-relative:page;mso-position-vertical:absolute;mso-position-vertical-relative:page;" from="279.2pt,388.45pt" to="279.2pt,573.45pt" o:allowincell="f" strokecolor="#000000" strokeweight="0.25pt">
                <w10:wrap anchorx="page" anchory="page"/>
              </v:line>
            </w:pict>
          </mc:Fallback>
        </mc:AlternateContent>
        <mc:AlternateContent>
          <mc:Choice Requires="wps">
            <w:drawing>
              <wp:anchor simplePos="0" relativeHeight="251657728" behindDoc="1" locked="0" layoutInCell="0" allowOverlap="1">
                <wp:simplePos x="0" y="0"/>
                <wp:positionH relativeFrom="page">
                  <wp:posOffset>685800</wp:posOffset>
                </wp:positionH>
                <wp:positionV relativeFrom="page">
                  <wp:posOffset>4935220</wp:posOffset>
                </wp:positionV>
                <wp:extent cx="2861310" cy="0"/>
                <wp:wrapNone/>
                <wp:docPr id="3" name="Shape 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2861310" cy="0"/>
                        </a:xfrm>
                        <a:prstGeom prst="line">
                          <a:avLst/>
                        </a:prstGeom>
                        <a:solidFill>
                          <a:srgbClr val="FFFFFF"/>
                        </a:solidFill>
                        <a:ln w="3175">
                          <a:solidFill>
                            <a:srgbClr val="000000"/>
                          </a:solidFill>
                          <a:miter lim="800000"/>
                          <a:headEnd/>
                          <a:tailEnd/>
                        </a:ln>
                      </wps:spPr>
                      <wps:bodyPr/>
                    </wps:wsp>
                  </a:graphicData>
                </a:graphic>
              </wp:anchor>
            </w:drawing>
          </mc:Choice>
          <mc:Fallback>
            <w:pict>
              <v:line id="Shape 3" o:spid="_x0000_s1028" style="position:absolute;z-index:251657728;visibility:visible;mso-wrap-style:square;mso-wrap-distance-left:0pt;mso-wrap-distance-top:0;mso-wrap-distance-right:0pt;mso-wrap-distance-bottom:0;mso-position-horizontal:absolute;mso-position-horizontal-relative:page;mso-position-vertical:absolute;mso-position-vertical-relative:page;" from="54pt,388.6pt" to="279.3pt,388.6pt" o:allowincell="f" strokecolor="#000000" strokeweight="0.25pt">
                <w10:wrap anchorx="page" anchory="page"/>
              </v:line>
            </w:pict>
          </mc:Fallback>
        </mc:AlternateContent>
        <mc:AlternateContent>
          <mc:Choice Requires="wps">
            <w:drawing>
              <wp:anchor simplePos="0" relativeHeight="251657728" behindDoc="1" locked="0" layoutInCell="0" allowOverlap="1">
                <wp:simplePos x="0" y="0"/>
                <wp:positionH relativeFrom="page">
                  <wp:posOffset>687070</wp:posOffset>
                </wp:positionH>
                <wp:positionV relativeFrom="page">
                  <wp:posOffset>4933315</wp:posOffset>
                </wp:positionV>
                <wp:extent cx="0" cy="2349500"/>
                <wp:wrapNone/>
                <wp:docPr id="4" name="Shape 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2349500"/>
                        </a:xfrm>
                        <a:prstGeom prst="line">
                          <a:avLst/>
                        </a:prstGeom>
                        <a:solidFill>
                          <a:srgbClr val="FFFFFF"/>
                        </a:solidFill>
                        <a:ln w="3175">
                          <a:solidFill>
                            <a:srgbClr val="000000"/>
                          </a:solidFill>
                          <a:miter lim="800000"/>
                          <a:headEnd/>
                          <a:tailEnd/>
                        </a:ln>
                      </wps:spPr>
                      <wps:bodyPr/>
                    </wps:wsp>
                  </a:graphicData>
                </a:graphic>
              </wp:anchor>
            </w:drawing>
          </mc:Choice>
          <mc:Fallback>
            <w:pict>
              <v:line id="Shape 4" o:spid="_x0000_s1029" style="position:absolute;z-index:251657728;visibility:visible;mso-wrap-style:square;mso-wrap-distance-left:0pt;mso-wrap-distance-top:0;mso-wrap-distance-right:0pt;mso-wrap-distance-bottom:0;mso-position-horizontal:absolute;mso-position-horizontal-relative:page;mso-position-vertical:absolute;mso-position-vertical-relative:page;" from="54.1pt,388.45pt" to="54.1pt,573.45pt" o:allowincell="f" strokecolor="#000000" strokeweight="0.25pt">
                <w10:wrap anchorx="page" anchory="page"/>
              </v:line>
            </w:pict>
          </mc:Fallback>
        </mc:AlternateContent>
        <mc:AlternateContent>
          <mc:Choice Requires="wps">
            <w:drawing>
              <wp:anchor simplePos="0" relativeHeight="251657728" behindDoc="1" locked="0" layoutInCell="0" allowOverlap="1">
                <wp:simplePos x="0" y="0"/>
                <wp:positionH relativeFrom="page">
                  <wp:posOffset>685800</wp:posOffset>
                </wp:positionH>
                <wp:positionV relativeFrom="page">
                  <wp:posOffset>7281545</wp:posOffset>
                </wp:positionV>
                <wp:extent cx="2861310" cy="0"/>
                <wp:wrapNone/>
                <wp:docPr id="5" name="Shape 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2861310" cy="0"/>
                        </a:xfrm>
                        <a:prstGeom prst="line">
                          <a:avLst/>
                        </a:prstGeom>
                        <a:solidFill>
                          <a:srgbClr val="FFFFFF"/>
                        </a:solidFill>
                        <a:ln w="3175">
                          <a:solidFill>
                            <a:srgbClr val="000000"/>
                          </a:solidFill>
                          <a:miter lim="800000"/>
                          <a:headEnd/>
                          <a:tailEnd/>
                        </a:ln>
                      </wps:spPr>
                      <wps:bodyPr/>
                    </wps:wsp>
                  </a:graphicData>
                </a:graphic>
              </wp:anchor>
            </w:drawing>
          </mc:Choice>
          <mc:Fallback>
            <w:pict>
              <v:line id="Shape 5" o:spid="_x0000_s1030" style="position:absolute;z-index:251657728;visibility:visible;mso-wrap-style:square;mso-wrap-distance-left:0pt;mso-wrap-distance-top:0;mso-wrap-distance-right:0pt;mso-wrap-distance-bottom:0;mso-position-horizontal:absolute;mso-position-horizontal-relative:page;mso-position-vertical:absolute;mso-position-vertical-relative:page;" from="54pt,573.35pt" to="279.3pt,573.35pt" o:allowincell="f" strokecolor="#000000" strokeweight="0.25pt">
                <w10:wrap anchorx="page" anchory="page"/>
              </v:line>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1" w:lineRule="exact"/>
        <w:rPr>
          <w:sz w:val="20"/>
          <w:szCs w:val="20"/>
          <w:color w:val="auto"/>
        </w:rPr>
      </w:pPr>
    </w:p>
    <w:p>
      <w:pPr>
        <w:ind w:right="4100"/>
        <w:spacing w:after="0" w:line="286" w:lineRule="auto"/>
        <w:rPr>
          <w:sz w:val="20"/>
          <w:szCs w:val="20"/>
          <w:color w:val="auto"/>
        </w:rPr>
      </w:pPr>
      <w:r>
        <w:rPr>
          <w:rFonts w:ascii="Times New Roman" w:cs="Times New Roman" w:eastAsia="Times New Roman" w:hAnsi="Times New Roman"/>
          <w:sz w:val="16"/>
          <w:szCs w:val="16"/>
          <w:color w:val="auto"/>
        </w:rPr>
        <w:t>QL 799</w:t>
      </w:r>
    </w:p>
    <w:p>
      <w:pPr>
        <w:spacing w:after="0" w:line="2"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.A535</w:t>
      </w:r>
    </w:p>
    <w:p>
      <w:pPr>
        <w:spacing w:after="0" w:line="36"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2014</w:t>
      </w:r>
    </w:p>
    <w:p>
      <w:pPr>
        <w:spacing w:after="0" w:line="36"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(L.C.) Library of Congress</w:t>
      </w:r>
    </w:p>
    <w:p>
      <w:pPr>
        <w:spacing w:after="0" w:line="256" w:lineRule="exact"/>
        <w:rPr>
          <w:sz w:val="20"/>
          <w:szCs w:val="20"/>
          <w:color w:val="auto"/>
        </w:rPr>
      </w:pPr>
    </w:p>
    <w:p>
      <w:pPr>
        <w:ind w:left="480" w:hanging="479"/>
        <w:spacing w:after="0" w:line="306" w:lineRule="auto"/>
        <w:rPr>
          <w:sz w:val="20"/>
          <w:szCs w:val="20"/>
          <w:color w:val="auto"/>
        </w:rPr>
      </w:pPr>
      <w:r>
        <w:rPr>
          <w:rFonts w:ascii="Times New Roman" w:cs="Times New Roman" w:eastAsia="Times New Roman" w:hAnsi="Times New Roman"/>
          <w:sz w:val="15"/>
          <w:szCs w:val="15"/>
          <w:color w:val="auto"/>
        </w:rPr>
        <w:t>Análisis ecomorfológicos y estudios de caso en México / compiladores, Ruth Moreno Barajas … [et al.].– 1ª ed.– Toluca, Estado de México : UAEM, Facultad de Ciencias, 2014.</w:t>
      </w:r>
    </w:p>
    <w:p>
      <w:pPr>
        <w:ind w:left="480"/>
        <w:spacing w:after="0"/>
        <w:rPr>
          <w:sz w:val="20"/>
          <w:szCs w:val="20"/>
          <w:color w:val="auto"/>
        </w:rPr>
      </w:pPr>
      <w:r>
        <w:rPr>
          <w:rFonts w:ascii="Times New Roman" w:cs="Times New Roman" w:eastAsia="Times New Roman" w:hAnsi="Times New Roman"/>
          <w:sz w:val="16"/>
          <w:szCs w:val="16"/>
          <w:color w:val="auto"/>
        </w:rPr>
        <w:t>149 p. : il. ; 23 cm.</w:t>
      </w:r>
    </w:p>
    <w:p>
      <w:pPr>
        <w:spacing w:after="0" w:line="36" w:lineRule="exact"/>
        <w:rPr>
          <w:sz w:val="20"/>
          <w:szCs w:val="20"/>
          <w:color w:val="auto"/>
        </w:rPr>
      </w:pPr>
    </w:p>
    <w:p>
      <w:pPr>
        <w:ind w:left="480" w:right="1820"/>
        <w:spacing w:after="0" w:line="390" w:lineRule="auto"/>
        <w:rPr>
          <w:sz w:val="20"/>
          <w:szCs w:val="20"/>
          <w:color w:val="auto"/>
        </w:rPr>
      </w:pPr>
      <w:r>
        <w:rPr>
          <w:rFonts w:ascii="Times New Roman" w:cs="Times New Roman" w:eastAsia="Times New Roman" w:hAnsi="Times New Roman"/>
          <w:sz w:val="14"/>
          <w:szCs w:val="14"/>
          <w:color w:val="auto"/>
        </w:rPr>
        <w:t>Incluye referencias bibliográficas. ISBN: 978-607-422-500-6</w:t>
      </w:r>
    </w:p>
    <w:p>
      <w:pPr>
        <w:spacing w:after="0" w:line="137" w:lineRule="exact"/>
        <w:rPr>
          <w:sz w:val="20"/>
          <w:szCs w:val="20"/>
          <w:color w:val="auto"/>
        </w:rPr>
      </w:pPr>
    </w:p>
    <w:p>
      <w:pPr>
        <w:ind w:right="120"/>
        <w:spacing w:after="0" w:line="327" w:lineRule="auto"/>
        <w:rPr>
          <w:sz w:val="20"/>
          <w:szCs w:val="20"/>
          <w:color w:val="auto"/>
        </w:rPr>
      </w:pPr>
      <w:r>
        <w:rPr>
          <w:rFonts w:ascii="Times New Roman" w:cs="Times New Roman" w:eastAsia="Times New Roman" w:hAnsi="Times New Roman"/>
          <w:sz w:val="15"/>
          <w:szCs w:val="15"/>
          <w:color w:val="auto"/>
        </w:rPr>
        <w:t>1. Morfología (Zoología) -- Estudios de caso -- México. 2. Anatomía comparada -- Estudios de caso -- México. I. Moreno Barajas, Ruth, comp. II. Universidad Autónoma del Estado de México.</w:t>
      </w:r>
    </w:p>
    <w:p>
      <w:pPr>
        <w:sectPr>
          <w:pgSz w:w="9360" w:h="13039" w:orient="portrait"/>
          <w:cols w:equalWidth="0" w:num="1">
            <w:col w:w="4340"/>
          </w:cols>
          <w:pgMar w:left="1180" w:top="1440" w:right="3840" w:bottom="1440" w:gutter="0" w:footer="0" w:header="0"/>
        </w:sectPr>
      </w:pPr>
    </w:p>
    <w:bookmarkStart w:id="5" w:name="page6"/>
    <w:bookmarkEnd w:id="5"/>
    <w:p>
      <w:pPr>
        <w:spacing w:after="0" w:line="148" w:lineRule="exact"/>
        <w:rPr>
          <w:sz w:val="20"/>
          <w:szCs w:val="20"/>
          <w:color w:val="auto"/>
        </w:rPr>
      </w:pPr>
    </w:p>
    <w:p>
      <w:pPr>
        <w:spacing w:after="0"/>
        <w:rPr>
          <w:sz w:val="20"/>
          <w:szCs w:val="20"/>
          <w:color w:val="auto"/>
        </w:rPr>
      </w:pPr>
      <w:r>
        <w:rPr>
          <w:rFonts w:ascii="Times New Roman" w:cs="Times New Roman" w:eastAsia="Times New Roman" w:hAnsi="Times New Roman"/>
          <w:sz w:val="48"/>
          <w:szCs w:val="48"/>
          <w:color w:val="auto"/>
        </w:rPr>
        <w:t>ANÁLISIS ECOMORFOLÓGICOS</w:t>
      </w:r>
    </w:p>
    <w:p>
      <w:pPr>
        <w:sectPr>
          <w:pgSz w:w="9360" w:h="13039" w:orient="portrait"/>
          <w:cols w:equalWidth="0" w:num="1">
            <w:col w:w="7240"/>
          </w:cols>
          <w:pgMar w:left="1060" w:top="1440" w:right="1060" w:bottom="1440" w:gutter="0" w:footer="0" w:header="0"/>
        </w:sectPr>
      </w:pPr>
    </w:p>
    <w:p>
      <w:pPr>
        <w:spacing w:after="0" w:line="118" w:lineRule="exact"/>
        <w:rPr>
          <w:sz w:val="20"/>
          <w:szCs w:val="20"/>
          <w:color w:val="auto"/>
        </w:rPr>
      </w:pPr>
    </w:p>
    <w:p>
      <w:pPr>
        <w:spacing w:after="0"/>
        <w:rPr>
          <w:sz w:val="20"/>
          <w:szCs w:val="20"/>
          <w:color w:val="auto"/>
        </w:rPr>
      </w:pPr>
      <w:r>
        <w:rPr>
          <w:rFonts w:ascii="Times New Roman" w:cs="Times New Roman" w:eastAsia="Times New Roman" w:hAnsi="Times New Roman"/>
          <w:sz w:val="36"/>
          <w:szCs w:val="36"/>
          <w:color w:val="auto"/>
        </w:rPr>
        <w:t>Y ESTUDIOS DE CASO EN MÉXICO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-34290</wp:posOffset>
                </wp:positionH>
                <wp:positionV relativeFrom="paragraph">
                  <wp:posOffset>94615</wp:posOffset>
                </wp:positionV>
                <wp:extent cx="3827145" cy="0"/>
                <wp:wrapNone/>
                <wp:docPr id="6" name="Shape 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827145" cy="0"/>
                        </a:xfrm>
                        <a:prstGeom prst="line">
                          <a:avLst/>
                        </a:prstGeom>
                        <a:solidFill>
                          <a:srgbClr val="FFFFFF"/>
                        </a:solidFill>
                        <a:ln w="6350">
                          <a:solidFill>
                            <a:srgbClr val="CCCCCC"/>
                          </a:solidFill>
                          <a:miter lim="800000"/>
                          <a:headEnd/>
                          <a:tailEnd/>
                        </a:ln>
                      </wps:spPr>
                      <wps:bodyPr/>
                    </wps:wsp>
                  </a:graphicData>
                </a:graphic>
              </wp:anchor>
            </w:drawing>
          </mc:Choice>
          <mc:Fallback>
            <w:pict>
              <v:line id="Shape 6" o:spid="_x0000_s103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6999pt,7.45pt" to="298.65pt,7.45pt" o:allowincell="f" strokecolor="#CCCCCC" strokeweight="0.5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5" w:lineRule="exact"/>
        <w:rPr>
          <w:sz w:val="20"/>
          <w:szCs w:val="20"/>
          <w:color w:val="auto"/>
        </w:rPr>
      </w:pPr>
    </w:p>
    <w:p>
      <w:pPr>
        <w:ind w:left="1820"/>
        <w:spacing w:after="0"/>
        <w:rPr>
          <w:sz w:val="20"/>
          <w:szCs w:val="20"/>
          <w:color w:val="auto"/>
        </w:rPr>
      </w:pPr>
      <w:r>
        <w:rPr>
          <w:rFonts w:ascii="Times New Roman" w:cs="Times New Roman" w:eastAsia="Times New Roman" w:hAnsi="Times New Roman"/>
          <w:sz w:val="28"/>
          <w:szCs w:val="28"/>
          <w:i w:val="1"/>
          <w:iCs w:val="1"/>
          <w:color w:val="auto"/>
        </w:rPr>
        <w:t>Ruth Moreno Barajas</w:t>
      </w:r>
    </w:p>
    <w:p>
      <w:pPr>
        <w:spacing w:after="0" w:line="78" w:lineRule="exact"/>
        <w:rPr>
          <w:sz w:val="20"/>
          <w:szCs w:val="20"/>
          <w:color w:val="auto"/>
        </w:rPr>
      </w:pPr>
    </w:p>
    <w:p>
      <w:pPr>
        <w:ind w:left="1180"/>
        <w:spacing w:after="0"/>
        <w:rPr>
          <w:sz w:val="20"/>
          <w:szCs w:val="20"/>
          <w:color w:val="auto"/>
        </w:rPr>
      </w:pPr>
      <w:r>
        <w:rPr>
          <w:rFonts w:ascii="Times New Roman" w:cs="Times New Roman" w:eastAsia="Times New Roman" w:hAnsi="Times New Roman"/>
          <w:sz w:val="28"/>
          <w:szCs w:val="28"/>
          <w:i w:val="1"/>
          <w:iCs w:val="1"/>
          <w:color w:val="auto"/>
        </w:rPr>
        <w:t>Felipe de Jesús Rodríguez Romero</w:t>
      </w:r>
    </w:p>
    <w:p>
      <w:pPr>
        <w:spacing w:after="0" w:line="78" w:lineRule="exact"/>
        <w:rPr>
          <w:sz w:val="20"/>
          <w:szCs w:val="20"/>
          <w:color w:val="auto"/>
        </w:rPr>
      </w:pPr>
    </w:p>
    <w:p>
      <w:pPr>
        <w:ind w:left="1400"/>
        <w:spacing w:after="0"/>
        <w:rPr>
          <w:sz w:val="20"/>
          <w:szCs w:val="20"/>
          <w:color w:val="auto"/>
        </w:rPr>
      </w:pPr>
      <w:r>
        <w:rPr>
          <w:rFonts w:ascii="Times New Roman" w:cs="Times New Roman" w:eastAsia="Times New Roman" w:hAnsi="Times New Roman"/>
          <w:sz w:val="28"/>
          <w:szCs w:val="28"/>
          <w:i w:val="1"/>
          <w:iCs w:val="1"/>
          <w:color w:val="auto"/>
        </w:rPr>
        <w:t>Alma S. Velázquez Rodríguez</w:t>
      </w:r>
    </w:p>
    <w:p>
      <w:pPr>
        <w:spacing w:after="0" w:line="78" w:lineRule="exact"/>
        <w:rPr>
          <w:sz w:val="20"/>
          <w:szCs w:val="20"/>
          <w:color w:val="auto"/>
        </w:rPr>
      </w:pPr>
    </w:p>
    <w:p>
      <w:pPr>
        <w:ind w:left="1900"/>
        <w:spacing w:after="0"/>
        <w:rPr>
          <w:sz w:val="20"/>
          <w:szCs w:val="20"/>
          <w:color w:val="auto"/>
        </w:rPr>
      </w:pPr>
      <w:r>
        <w:rPr>
          <w:rFonts w:ascii="Times New Roman" w:cs="Times New Roman" w:eastAsia="Times New Roman" w:hAnsi="Times New Roman"/>
          <w:sz w:val="28"/>
          <w:szCs w:val="28"/>
          <w:i w:val="1"/>
          <w:iCs w:val="1"/>
          <w:color w:val="auto"/>
        </w:rPr>
        <w:t>Petra Sánchez Nava</w:t>
      </w:r>
    </w:p>
    <w:p>
      <w:pPr>
        <w:spacing w:after="0" w:line="118" w:lineRule="exact"/>
        <w:rPr>
          <w:sz w:val="20"/>
          <w:szCs w:val="20"/>
          <w:color w:val="auto"/>
        </w:rPr>
      </w:pPr>
    </w:p>
    <w:p>
      <w:pPr>
        <w:ind w:left="2000"/>
        <w:spacing w:after="0"/>
        <w:rPr>
          <w:sz w:val="20"/>
          <w:szCs w:val="20"/>
          <w:color w:val="auto"/>
        </w:rPr>
      </w:pPr>
      <w:r>
        <w:rPr>
          <w:rFonts w:ascii="Times New Roman" w:cs="Times New Roman" w:eastAsia="Times New Roman" w:hAnsi="Times New Roman"/>
          <w:sz w:val="28"/>
          <w:szCs w:val="28"/>
          <w:color w:val="auto"/>
        </w:rPr>
        <w:t>(compiladores)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2603500</wp:posOffset>
            </wp:positionH>
            <wp:positionV relativeFrom="paragraph">
              <wp:posOffset>1837690</wp:posOffset>
            </wp:positionV>
            <wp:extent cx="594995" cy="72009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clrChange>
                        <a:clrFrom>
                          <a:srgbClr val="FFFFFF"/>
                        </a:clrFrom>
                        <a:clrTo>
                          <a:srgbClr val="FFFFFF">
                            <a:alpha val="0"/>
                          </a:srgbClr>
                        </a:clrTo>
                      </a:clrChange>
                      <a:extLst>
                        <a:ext uri="{28A0092B-C50C-407E-A947-70E740481C1C}"/>
                      </a:extLst>
                    </a:blip>
                    <a:srcRect/>
                    <a:stretch>
                      <a:fillRect/>
                    </a:stretch>
                  </pic:blipFill>
                  <pic:spPr bwMode="auto">
                    <a:xfrm>
                      <a:off x="0" y="0"/>
                      <a:ext cx="594995" cy="720090"/>
                    </a:xfrm>
                    <a:prstGeom prst="rect">
                      <a:avLst/>
                    </a:prstGeom>
                    <a:noFill/>
                  </pic:spPr>
                </pic:pic>
              </a:graphicData>
            </a:graphic>
          </wp:anchor>
        </w:drawing>
        <w:drawing>
          <wp:anchor simplePos="0" relativeHeight="251657728" behindDoc="1" locked="0" layoutInCell="0" allowOverlap="1">
            <wp:simplePos x="0" y="0"/>
            <wp:positionH relativeFrom="column">
              <wp:posOffset>659130</wp:posOffset>
            </wp:positionH>
            <wp:positionV relativeFrom="paragraph">
              <wp:posOffset>1848485</wp:posOffset>
            </wp:positionV>
            <wp:extent cx="1494155" cy="7054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extLst>
                    </a:blip>
                    <a:srcRect/>
                    <a:stretch>
                      <a:fillRect/>
                    </a:stretch>
                  </pic:blipFill>
                  <pic:spPr bwMode="auto">
                    <a:xfrm>
                      <a:off x="0" y="0"/>
                      <a:ext cx="1494155" cy="70548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0" w:lineRule="exact"/>
        <w:rPr>
          <w:sz w:val="20"/>
          <w:szCs w:val="20"/>
          <w:color w:val="auto"/>
        </w:rPr>
      </w:pPr>
    </w:p>
    <w:p>
      <w:pPr>
        <w:ind w:left="1000"/>
        <w:spacing w:after="0"/>
        <w:rPr>
          <w:sz w:val="20"/>
          <w:szCs w:val="20"/>
          <w:color w:val="auto"/>
        </w:rPr>
      </w:pPr>
      <w:r>
        <w:rPr>
          <w:rFonts w:ascii="Times New Roman" w:cs="Times New Roman" w:eastAsia="Times New Roman" w:hAnsi="Times New Roman"/>
          <w:sz w:val="20"/>
          <w:szCs w:val="20"/>
          <w:i w:val="1"/>
          <w:iCs w:val="1"/>
          <w:color w:val="auto"/>
        </w:rPr>
        <w:t xml:space="preserve">“2014, 70 Aniversario de la Autonomía </w:t>
      </w:r>
      <w:r>
        <w:rPr>
          <w:rFonts w:ascii="Times New Roman" w:cs="Times New Roman" w:eastAsia="Times New Roman" w:hAnsi="Times New Roman"/>
          <w:sz w:val="14"/>
          <w:szCs w:val="14"/>
          <w:i w:val="1"/>
          <w:iCs w:val="1"/>
          <w:color w:val="auto"/>
        </w:rPr>
        <w:t>icla</w:t>
      </w:r>
      <w:r>
        <w:rPr>
          <w:rFonts w:ascii="Times New Roman" w:cs="Times New Roman" w:eastAsia="Times New Roman" w:hAnsi="Times New Roman"/>
          <w:sz w:val="20"/>
          <w:szCs w:val="20"/>
          <w:i w:val="1"/>
          <w:iCs w:val="1"/>
          <w:color w:val="auto"/>
        </w:rPr>
        <w:t>-</w:t>
      </w:r>
      <w:r>
        <w:rPr>
          <w:rFonts w:ascii="Times New Roman" w:cs="Times New Roman" w:eastAsia="Times New Roman" w:hAnsi="Times New Roman"/>
          <w:sz w:val="14"/>
          <w:szCs w:val="14"/>
          <w:i w:val="1"/>
          <w:iCs w:val="1"/>
          <w:color w:val="auto"/>
        </w:rPr>
        <w:t>uaem</w:t>
      </w:r>
      <w:r>
        <w:rPr>
          <w:rFonts w:ascii="Times New Roman" w:cs="Times New Roman" w:eastAsia="Times New Roman" w:hAnsi="Times New Roman"/>
          <w:sz w:val="20"/>
          <w:szCs w:val="20"/>
          <w:i w:val="1"/>
          <w:iCs w:val="1"/>
          <w:color w:val="auto"/>
        </w:rPr>
        <w:t>”</w:t>
      </w:r>
    </w:p>
    <w:p>
      <w:pPr>
        <w:spacing w:after="0" w:line="70" w:lineRule="exact"/>
        <w:rPr>
          <w:sz w:val="20"/>
          <w:szCs w:val="20"/>
          <w:color w:val="auto"/>
        </w:rPr>
      </w:pPr>
    </w:p>
    <w:p>
      <w:pPr>
        <w:ind w:left="400"/>
        <w:spacing w:after="0"/>
        <w:rPr>
          <w:sz w:val="20"/>
          <w:szCs w:val="20"/>
          <w:color w:val="auto"/>
        </w:rPr>
      </w:pPr>
      <w:r>
        <w:rPr>
          <w:rFonts w:ascii="Times New Roman" w:cs="Times New Roman" w:eastAsia="Times New Roman" w:hAnsi="Times New Roman"/>
          <w:sz w:val="20"/>
          <w:szCs w:val="20"/>
          <w:color w:val="auto"/>
        </w:rPr>
        <w:t>UNIVERSIDAD AUTÓNOMA DEL ESTADO DE MÉXICO</w:t>
      </w:r>
    </w:p>
    <w:p>
      <w:pPr>
        <w:sectPr>
          <w:pgSz w:w="9360" w:h="13039" w:orient="portrait"/>
          <w:cols w:equalWidth="0" w:num="1">
            <w:col w:w="6000"/>
          </w:cols>
          <w:pgMar w:left="1680" w:top="1440" w:right="1680" w:bottom="1440" w:gutter="0" w:footer="0" w:header="0"/>
          <w:type w:val="continuous"/>
        </w:sectPr>
      </w:pPr>
    </w:p>
    <w:bookmarkStart w:id="6" w:name="page7"/>
    <w:bookmarkEnd w:id="6"/>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9"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Primera edición, abril 2014</w:t>
      </w:r>
    </w:p>
    <w:p>
      <w:pPr>
        <w:spacing w:after="0" w:line="324"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i w:val="1"/>
          <w:iCs w:val="1"/>
          <w:color w:val="auto"/>
        </w:rPr>
        <w:t>Análisis ecomorfológicos y estudios de caso en México</w:t>
      </w:r>
    </w:p>
    <w:p>
      <w:pPr>
        <w:spacing w:after="0" w:line="36"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Ruth Moreno-Barajas</w:t>
      </w:r>
    </w:p>
    <w:p>
      <w:pPr>
        <w:spacing w:after="0" w:line="36"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Felipe de Jesús Rodríguez-Romero</w:t>
      </w:r>
    </w:p>
    <w:p>
      <w:pPr>
        <w:spacing w:after="0" w:line="36"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Alma S. Velázquez-Rodríguez</w:t>
      </w:r>
    </w:p>
    <w:p>
      <w:pPr>
        <w:spacing w:after="0" w:line="36"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Petra Sánchez-Nava</w:t>
      </w:r>
    </w:p>
    <w:p>
      <w:pPr>
        <w:spacing w:after="0" w:line="256" w:lineRule="exact"/>
        <w:rPr>
          <w:sz w:val="20"/>
          <w:szCs w:val="20"/>
          <w:color w:val="auto"/>
        </w:rPr>
      </w:pPr>
    </w:p>
    <w:p>
      <w:pPr>
        <w:spacing w:after="0" w:line="311" w:lineRule="auto"/>
        <w:rPr>
          <w:sz w:val="20"/>
          <w:szCs w:val="20"/>
          <w:color w:val="auto"/>
        </w:rPr>
      </w:pPr>
      <w:r>
        <w:rPr>
          <w:rFonts w:ascii="Times New Roman" w:cs="Times New Roman" w:eastAsia="Times New Roman" w:hAnsi="Times New Roman"/>
          <w:sz w:val="16"/>
          <w:szCs w:val="16"/>
          <w:color w:val="auto"/>
        </w:rPr>
        <w:t>Esta obra fue dictaminada en la modalidad revisión por pares académicos doble ciego, tal como lo establece el Reglamento Editorial de la Universidad Autónoma del Estado de México.</w:t>
      </w:r>
    </w:p>
    <w:p>
      <w:pPr>
        <w:spacing w:after="0" w:line="183" w:lineRule="exact"/>
        <w:rPr>
          <w:sz w:val="20"/>
          <w:szCs w:val="20"/>
          <w:color w:val="auto"/>
        </w:rPr>
      </w:pPr>
    </w:p>
    <w:p>
      <w:pPr>
        <w:ind w:right="4400"/>
        <w:spacing w:after="0" w:line="286" w:lineRule="auto"/>
        <w:rPr>
          <w:sz w:val="20"/>
          <w:szCs w:val="20"/>
          <w:color w:val="auto"/>
        </w:rPr>
      </w:pPr>
      <w:r>
        <w:rPr>
          <w:rFonts w:ascii="Times New Roman" w:cs="Times New Roman" w:eastAsia="Times New Roman" w:hAnsi="Times New Roman"/>
          <w:sz w:val="16"/>
          <w:szCs w:val="16"/>
          <w:color w:val="auto"/>
        </w:rPr>
        <w:t>Universidad Autónoma del Estado de México Av. Instituto Literario 100 Ote.</w:t>
      </w:r>
    </w:p>
    <w:p>
      <w:pPr>
        <w:spacing w:after="0" w:line="2" w:lineRule="exact"/>
        <w:rPr>
          <w:sz w:val="20"/>
          <w:szCs w:val="20"/>
          <w:color w:val="auto"/>
        </w:rPr>
      </w:pPr>
    </w:p>
    <w:p>
      <w:pPr>
        <w:ind w:right="5600"/>
        <w:spacing w:after="0" w:line="286" w:lineRule="auto"/>
        <w:rPr>
          <w:sz w:val="20"/>
          <w:szCs w:val="20"/>
          <w:color w:val="auto"/>
        </w:rPr>
      </w:pPr>
      <w:r>
        <w:rPr>
          <w:rFonts w:ascii="Times New Roman" w:cs="Times New Roman" w:eastAsia="Times New Roman" w:hAnsi="Times New Roman"/>
          <w:sz w:val="16"/>
          <w:szCs w:val="16"/>
          <w:color w:val="auto"/>
        </w:rPr>
        <w:t>Toluca, Estado de México C.P. 50000</w:t>
      </w:r>
    </w:p>
    <w:p>
      <w:pPr>
        <w:spacing w:after="0" w:line="2" w:lineRule="exact"/>
        <w:rPr>
          <w:sz w:val="20"/>
          <w:szCs w:val="20"/>
          <w:color w:val="auto"/>
        </w:rPr>
      </w:pPr>
    </w:p>
    <w:p>
      <w:pPr>
        <w:ind w:right="5300"/>
        <w:spacing w:after="0" w:line="326" w:lineRule="auto"/>
        <w:rPr>
          <w:sz w:val="20"/>
          <w:szCs w:val="20"/>
          <w:color w:val="auto"/>
        </w:rPr>
      </w:pPr>
      <w:r>
        <w:rPr>
          <w:rFonts w:ascii="Times New Roman" w:cs="Times New Roman" w:eastAsia="Times New Roman" w:hAnsi="Times New Roman"/>
          <w:sz w:val="15"/>
          <w:szCs w:val="15"/>
          <w:color w:val="auto"/>
        </w:rPr>
        <w:t>Tel. (52) 722 277 38 35 y 36 http://www.uaemex.mx direccioneditorial@uaemex.mx</w:t>
      </w:r>
    </w:p>
    <w:p>
      <w:pPr>
        <w:spacing w:after="0" w:line="2" w:lineRule="exact"/>
        <w:rPr>
          <w:sz w:val="20"/>
          <w:szCs w:val="20"/>
          <w:color w:val="auto"/>
        </w:rPr>
      </w:pPr>
    </w:p>
    <w:p>
      <w:pPr>
        <w:jc w:val="both"/>
        <w:spacing w:after="0" w:line="291" w:lineRule="auto"/>
        <w:rPr>
          <w:sz w:val="20"/>
          <w:szCs w:val="20"/>
          <w:color w:val="auto"/>
        </w:rPr>
      </w:pPr>
      <w:r>
        <w:rPr>
          <w:sz w:val="20"/>
          <w:szCs w:val="20"/>
          <w:color w:val="auto"/>
        </w:rPr>
        <w:drawing>
          <wp:inline distT="0" distB="0" distL="0" distR="0">
            <wp:extent cx="589915" cy="2063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extLst>
                    </a:blip>
                    <a:srcRect/>
                    <a:stretch>
                      <a:fillRect/>
                    </a:stretch>
                  </pic:blipFill>
                  <pic:spPr bwMode="auto">
                    <a:xfrm>
                      <a:off x="0" y="0"/>
                      <a:ext cx="589915" cy="206375"/>
                    </a:xfrm>
                    <a:prstGeom prst="rect">
                      <a:avLst/>
                    </a:prstGeom>
                    <a:noFill/>
                    <a:ln>
                      <a:noFill/>
                    </a:ln>
                  </pic:spPr>
                </pic:pic>
              </a:graphicData>
            </a:graphic>
          </wp:inline>
        </w:drawing>
      </w:r>
      <w:r>
        <w:rPr>
          <w:rFonts w:ascii="Times New Roman" w:cs="Times New Roman" w:eastAsia="Times New Roman" w:hAnsi="Times New Roman"/>
          <w:sz w:val="16"/>
          <w:szCs w:val="16"/>
          <w:color w:val="auto"/>
        </w:rPr>
        <w:t xml:space="preserve"> Esta obra está sujeta a la licencia Reconocimiento 4.0 Internacional de </w:t>
      </w:r>
      <w:r>
        <w:rPr>
          <w:rFonts w:ascii="Times New Roman" w:cs="Times New Roman" w:eastAsia="Times New Roman" w:hAnsi="Times New Roman"/>
          <w:sz w:val="16"/>
          <w:szCs w:val="16"/>
          <w:i w:val="1"/>
          <w:iCs w:val="1"/>
          <w:color w:val="auto"/>
        </w:rPr>
        <w:t>Creative Commons</w:t>
      </w:r>
      <w:r>
        <w:rPr>
          <w:rFonts w:ascii="Times New Roman" w:cs="Times New Roman" w:eastAsia="Times New Roman" w:hAnsi="Times New Roman"/>
          <w:sz w:val="16"/>
          <w:szCs w:val="16"/>
          <w:color w:val="auto"/>
        </w:rPr>
        <w:t>. Para ver una copia de esta licencia, visite http://creativecommons.org/licenses/by/4.0/. Puede ser utilizada con fines educativos, informativos o culturales, siempre que se cite la fuente. Disponible para su descarga en acceso abierto en http:// ri.uaemex.mx/</w:t>
      </w:r>
    </w:p>
    <w:p>
      <w:pPr>
        <w:spacing w:after="0" w:line="207"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Citación:</w:t>
      </w:r>
    </w:p>
    <w:p>
      <w:pPr>
        <w:spacing w:after="0" w:line="36" w:lineRule="exact"/>
        <w:rPr>
          <w:sz w:val="20"/>
          <w:szCs w:val="20"/>
          <w:color w:val="auto"/>
        </w:rPr>
      </w:pPr>
    </w:p>
    <w:p>
      <w:pPr>
        <w:jc w:val="both"/>
        <w:spacing w:after="0" w:line="299" w:lineRule="auto"/>
        <w:rPr>
          <w:sz w:val="20"/>
          <w:szCs w:val="20"/>
          <w:color w:val="auto"/>
        </w:rPr>
      </w:pPr>
      <w:r>
        <w:rPr>
          <w:rFonts w:ascii="Times New Roman" w:cs="Times New Roman" w:eastAsia="Times New Roman" w:hAnsi="Times New Roman"/>
          <w:sz w:val="16"/>
          <w:szCs w:val="16"/>
          <w:color w:val="auto"/>
        </w:rPr>
        <w:t xml:space="preserve">Moreno-Barajas, Ruth, Felipe de Jesús Rodríguez-Romero, Alma S. Velázquez-Rodríguez y Petra Sánchez-Nava (2014), </w:t>
      </w:r>
      <w:r>
        <w:rPr>
          <w:rFonts w:ascii="Times New Roman" w:cs="Times New Roman" w:eastAsia="Times New Roman" w:hAnsi="Times New Roman"/>
          <w:sz w:val="16"/>
          <w:szCs w:val="16"/>
          <w:i w:val="1"/>
          <w:iCs w:val="1"/>
          <w:color w:val="auto"/>
        </w:rPr>
        <w:t xml:space="preserve">Análisis ecomorfológicos y estudios de caso en México, </w:t>
      </w:r>
      <w:r>
        <w:rPr>
          <w:rFonts w:ascii="Times New Roman" w:cs="Times New Roman" w:eastAsia="Times New Roman" w:hAnsi="Times New Roman"/>
          <w:sz w:val="16"/>
          <w:szCs w:val="16"/>
          <w:color w:val="auto"/>
        </w:rPr>
        <w:t>(ISBN: 978-607-422-500-6), México, Universidad Autónoma del</w:t>
      </w:r>
      <w:r>
        <w:rPr>
          <w:rFonts w:ascii="Times New Roman" w:cs="Times New Roman" w:eastAsia="Times New Roman" w:hAnsi="Times New Roman"/>
          <w:sz w:val="16"/>
          <w:szCs w:val="16"/>
          <w:i w:val="1"/>
          <w:iCs w:val="1"/>
          <w:color w:val="auto"/>
        </w:rPr>
        <w:t xml:space="preserve"> </w:t>
      </w:r>
      <w:r>
        <w:rPr>
          <w:rFonts w:ascii="Times New Roman" w:cs="Times New Roman" w:eastAsia="Times New Roman" w:hAnsi="Times New Roman"/>
          <w:sz w:val="16"/>
          <w:szCs w:val="16"/>
          <w:color w:val="auto"/>
        </w:rPr>
        <w:t>Estado de México.</w:t>
      </w:r>
    </w:p>
    <w:p>
      <w:pPr>
        <w:spacing w:after="0" w:line="192"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Imagen de portada: fotografía tomada por Ruth Moreno.</w:t>
      </w:r>
    </w:p>
    <w:p>
      <w:pPr>
        <w:spacing w:after="0" w:line="324"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ISBN 978-607-422-500-6</w:t>
      </w:r>
    </w:p>
    <w:p>
      <w:pPr>
        <w:spacing w:after="0" w:line="324"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Impreso y hecho en México</w:t>
      </w:r>
    </w:p>
    <w:p>
      <w:pPr>
        <w:spacing w:after="0" w:line="36"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i w:val="1"/>
          <w:iCs w:val="1"/>
          <w:color w:val="auto"/>
        </w:rPr>
        <w:t>Printed and made in Mexico</w:t>
      </w:r>
    </w:p>
    <w:p>
      <w:pPr>
        <w:sectPr>
          <w:pgSz w:w="9360" w:h="13039" w:orient="portrait"/>
          <w:cols w:equalWidth="0" w:num="1">
            <w:col w:w="7200"/>
          </w:cols>
          <w:pgMar w:left="1080" w:top="1440" w:right="1080" w:bottom="1440" w:gutter="0" w:footer="0" w:header="0"/>
        </w:sectPr>
      </w:pPr>
    </w:p>
    <w:bookmarkStart w:id="7" w:name="page8"/>
    <w:bookmarkEnd w:id="7"/>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2" w:lineRule="exact"/>
        <w:rPr>
          <w:sz w:val="20"/>
          <w:szCs w:val="20"/>
          <w:color w:val="auto"/>
        </w:rPr>
      </w:pPr>
    </w:p>
    <w:p>
      <w:pPr>
        <w:ind w:left="940"/>
        <w:spacing w:after="0"/>
        <w:rPr>
          <w:sz w:val="20"/>
          <w:szCs w:val="20"/>
          <w:color w:val="auto"/>
        </w:rPr>
      </w:pPr>
      <w:r>
        <w:rPr>
          <w:rFonts w:ascii="Times New Roman" w:cs="Times New Roman" w:eastAsia="Times New Roman" w:hAnsi="Times New Roman"/>
          <w:sz w:val="30"/>
          <w:szCs w:val="30"/>
          <w:color w:val="auto"/>
        </w:rPr>
        <w:t>ANÁLISIS</w:t>
      </w:r>
    </w:p>
    <w:p>
      <w:pPr>
        <w:spacing w:after="0" w:line="55" w:lineRule="exact"/>
        <w:rPr>
          <w:sz w:val="20"/>
          <w:szCs w:val="20"/>
          <w:color w:val="auto"/>
        </w:rPr>
      </w:pPr>
    </w:p>
    <w:p>
      <w:pPr>
        <w:spacing w:after="0"/>
        <w:rPr>
          <w:sz w:val="20"/>
          <w:szCs w:val="20"/>
          <w:color w:val="auto"/>
        </w:rPr>
      </w:pPr>
      <w:r>
        <w:rPr>
          <w:rFonts w:ascii="Times New Roman" w:cs="Times New Roman" w:eastAsia="Times New Roman" w:hAnsi="Times New Roman"/>
          <w:sz w:val="30"/>
          <w:szCs w:val="30"/>
          <w:color w:val="auto"/>
        </w:rPr>
        <w:t>ECOMORFOLÓGICOS</w:t>
      </w:r>
    </w:p>
    <w:p>
      <w:pPr>
        <w:spacing w:after="0"/>
        <w:rPr>
          <w:sz w:val="20"/>
          <w:szCs w:val="20"/>
          <w:color w:val="auto"/>
        </w:rPr>
        <w:sectPr>
          <w:pgSz w:w="9360" w:h="13039" w:orient="portrait"/>
          <w:cols w:equalWidth="0" w:num="1">
            <w:col w:w="3240"/>
          </w:cols>
          <w:pgMar w:left="3060" w:top="1440" w:right="30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-1257300</wp:posOffset>
                </wp:positionH>
                <wp:positionV relativeFrom="paragraph">
                  <wp:posOffset>83185</wp:posOffset>
                </wp:positionV>
                <wp:extent cx="4568190" cy="0"/>
                <wp:wrapNone/>
                <wp:docPr id="10" name="Shape 1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568190" cy="0"/>
                        </a:xfrm>
                        <a:prstGeom prst="line">
                          <a:avLst/>
                        </a:prstGeom>
                        <a:solidFill>
                          <a:srgbClr val="FFFFFF"/>
                        </a:solidFill>
                        <a:ln w="6350">
                          <a:solidFill>
                            <a:srgbClr val="CCCCCC"/>
                          </a:solidFill>
                          <a:miter lim="800000"/>
                          <a:headEnd/>
                          <a:tailEnd/>
                        </a:ln>
                      </wps:spPr>
                      <wps:bodyPr/>
                    </wps:wsp>
                  </a:graphicData>
                </a:graphic>
              </wp:anchor>
            </w:drawing>
          </mc:Choice>
          <mc:Fallback>
            <w:pict>
              <v:line id="Shape 10" o:spid="_x0000_s103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99pt,6.55pt" to="260.7pt,6.55pt" o:allowincell="f" strokecolor="#CCCCCC" strokeweight="0.5pt"/>
            </w:pict>
          </mc:Fallback>
        </mc:AlternateContent>
      </w:r>
    </w:p>
    <w:bookmarkStart w:id="8" w:name="page9"/>
    <w:bookmarkEnd w:id="8"/>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2"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1" name="Shape 1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1" o:spid="_x0000_s103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2" name="Shape 1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2" o:spid="_x0000_s103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3" name="Shape 1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3" o:spid="_x0000_s103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1440" w:right="1780" w:bottom="437" w:gutter="0" w:footer="0" w:header="0"/>
        </w:sectPr>
      </w:pPr>
    </w:p>
    <w:bookmarkStart w:id="9" w:name="page10"/>
    <w:bookmarkEnd w:id="9"/>
    <w:p>
      <w:pPr>
        <w:spacing w:after="0" w:line="194" w:lineRule="exact"/>
        <w:rPr>
          <w:sz w:val="20"/>
          <w:szCs w:val="20"/>
          <w:color w:val="auto"/>
        </w:rPr>
      </w:pPr>
    </w:p>
    <w:p>
      <w:pPr>
        <w:ind w:left="2360"/>
        <w:spacing w:after="0"/>
        <w:rPr>
          <w:sz w:val="20"/>
          <w:szCs w:val="20"/>
          <w:color w:val="auto"/>
        </w:rPr>
      </w:pPr>
      <w:r>
        <w:rPr>
          <w:rFonts w:ascii="Times New Roman" w:cs="Times New Roman" w:eastAsia="Times New Roman" w:hAnsi="Times New Roman"/>
          <w:sz w:val="24"/>
          <w:szCs w:val="24"/>
          <w:color w:val="auto"/>
        </w:rPr>
        <w:t>ALGUNOS ASPECTOS</w:t>
      </w:r>
    </w:p>
    <w:p>
      <w:pPr>
        <w:spacing w:after="0" w:line="44" w:lineRule="exact"/>
        <w:rPr>
          <w:sz w:val="20"/>
          <w:szCs w:val="20"/>
          <w:color w:val="auto"/>
        </w:rPr>
      </w:pPr>
    </w:p>
    <w:p>
      <w:pPr>
        <w:ind w:left="960"/>
        <w:spacing w:after="0"/>
        <w:rPr>
          <w:sz w:val="20"/>
          <w:szCs w:val="20"/>
          <w:color w:val="auto"/>
        </w:rPr>
      </w:pPr>
      <w:r>
        <w:rPr>
          <w:rFonts w:ascii="Times New Roman" w:cs="Times New Roman" w:eastAsia="Times New Roman" w:hAnsi="Times New Roman"/>
          <w:sz w:val="24"/>
          <w:szCs w:val="24"/>
          <w:color w:val="auto"/>
        </w:rPr>
        <w:t>RELACIONADOS CON LA ECOMORFOLOGÍA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2"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Ecomorfología</w:t>
      </w:r>
    </w:p>
    <w:p>
      <w:pPr>
        <w:spacing w:after="0" w:line="38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El entendimiento de la estructura básica y función de los organismos es una de las áreas más antiguas, pero todavía activas, de la biología. El éxito continuo de la investigación morfológica y fisiológica se debe a nuestra fascinación natural por saber cómo trabajan los organismos y a la emergencia de nuevas perspectivas y marcos conceptuales dentro de los cuales surgen preguntas acerca de la naturaleza del diseño de los organismos.</w:t>
      </w:r>
    </w:p>
    <w:p>
      <w:pPr>
        <w:spacing w:after="0" w:line="4" w:lineRule="exact"/>
        <w:rPr>
          <w:sz w:val="20"/>
          <w:szCs w:val="20"/>
          <w:color w:val="auto"/>
        </w:rPr>
      </w:pPr>
    </w:p>
    <w:p>
      <w:pPr>
        <w:jc w:val="both"/>
        <w:ind w:firstLine="360"/>
        <w:spacing w:after="0" w:line="308" w:lineRule="auto"/>
        <w:rPr>
          <w:sz w:val="20"/>
          <w:szCs w:val="20"/>
          <w:color w:val="auto"/>
        </w:rPr>
      </w:pPr>
      <w:r>
        <w:rPr>
          <w:rFonts w:ascii="Times New Roman" w:cs="Times New Roman" w:eastAsia="Times New Roman" w:hAnsi="Times New Roman"/>
          <w:sz w:val="22"/>
          <w:szCs w:val="22"/>
          <w:color w:val="auto"/>
        </w:rPr>
        <w:t>De las principales cuestiones que aparecieron durante las dos décadas pasadas de investigación en la morfología funcional de los organismos, fisiología y biomecánica fueron la necesidad de hacer observaciones e interpretaciones de cómo funcionan los organismos dentro de un ambiente dado y la necesidad de entender las consecuencias ecológicas y evolutivas de la forma de los organismos (Wainwright y Reilly, 1994).</w:t>
      </w:r>
    </w:p>
    <w:p>
      <w:pPr>
        <w:spacing w:after="0" w:line="200" w:lineRule="exact"/>
        <w:rPr>
          <w:sz w:val="20"/>
          <w:szCs w:val="20"/>
          <w:color w:val="auto"/>
        </w:rPr>
      </w:pPr>
    </w:p>
    <w:p>
      <w:pPr>
        <w:spacing w:after="0" w:line="200" w:lineRule="exact"/>
        <w:rPr>
          <w:sz w:val="20"/>
          <w:szCs w:val="20"/>
          <w:color w:val="auto"/>
        </w:rPr>
      </w:pPr>
    </w:p>
    <w:p>
      <w:pPr>
        <w:spacing w:after="0" w:line="212"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Una breve historia de la ecomorfología</w:t>
      </w:r>
    </w:p>
    <w:p>
      <w:pPr>
        <w:spacing w:after="0" w:line="387" w:lineRule="exact"/>
        <w:rPr>
          <w:sz w:val="20"/>
          <w:szCs w:val="20"/>
          <w:color w:val="auto"/>
        </w:rPr>
      </w:pPr>
    </w:p>
    <w:p>
      <w:pPr>
        <w:jc w:val="both"/>
        <w:spacing w:after="0" w:line="350" w:lineRule="auto"/>
        <w:rPr>
          <w:sz w:val="20"/>
          <w:szCs w:val="20"/>
          <w:color w:val="auto"/>
        </w:rPr>
      </w:pPr>
      <w:r>
        <w:rPr>
          <w:rFonts w:ascii="Times New Roman" w:cs="Times New Roman" w:eastAsia="Times New Roman" w:hAnsi="Times New Roman"/>
          <w:sz w:val="20"/>
          <w:szCs w:val="20"/>
          <w:color w:val="auto"/>
        </w:rPr>
        <w:t>A principios del siglo xix, se realizaron trabajos sobre la descripción y comparación de la forma, cuyos resultados se utilizaron principalmente para entender la clasificación. Algunos autores, como Fürbringer (1888), presentaron árboles filogenéticos elaborados a través de la comparación morfológica de distintas especies de aves,</w:t>
      </w:r>
    </w:p>
    <w:p>
      <w:pPr>
        <w:sectPr>
          <w:pgSz w:w="9360" w:h="13039" w:orient="portrait"/>
          <w:cols w:equalWidth="0" w:num="1">
            <w:col w:w="7200"/>
          </w:cols>
          <w:pgMar w:left="1080" w:top="1440" w:right="1080" w:bottom="437" w:gutter="0" w:footer="0" w:header="0"/>
        </w:sectPr>
      </w:pPr>
    </w:p>
    <w:p>
      <w:pPr>
        <w:spacing w:after="0" w:line="200" w:lineRule="exact"/>
        <w:rPr>
          <w:sz w:val="20"/>
          <w:szCs w:val="20"/>
          <w:color w:val="auto"/>
        </w:rPr>
      </w:pPr>
    </w:p>
    <w:p>
      <w:pPr>
        <w:spacing w:after="0" w:line="308"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1440" w:right="1080" w:bottom="437" w:gutter="0" w:footer="0" w:header="0"/>
          <w:type w:val="continuous"/>
        </w:sectPr>
      </w:pPr>
    </w:p>
    <w:bookmarkStart w:id="10" w:name="page11"/>
    <w:bookmarkEnd w:id="10"/>
    <w:p>
      <w:pPr>
        <w:spacing w:after="0" w:line="239" w:lineRule="auto"/>
        <w:tabs>
          <w:tab w:leader="none" w:pos="1940" w:val="left"/>
        </w:tabs>
        <w:rPr>
          <w:sz w:val="20"/>
          <w:szCs w:val="20"/>
          <w:color w:val="auto"/>
        </w:rPr>
      </w:pPr>
      <w:r>
        <w:rPr>
          <w:rFonts w:ascii="Arial Narrow" w:cs="Arial Narrow" w:eastAsia="Arial Narrow" w:hAnsi="Arial Narrow"/>
          <w:sz w:val="16"/>
          <w:szCs w:val="16"/>
          <w:color w:val="auto"/>
        </w:rPr>
        <w:t>10</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p>
    <w:p>
      <w:pPr>
        <w:spacing w:after="0" w:line="376" w:lineRule="exact"/>
        <w:rPr>
          <w:sz w:val="20"/>
          <w:szCs w:val="20"/>
          <w:color w:val="auto"/>
        </w:rPr>
      </w:pPr>
    </w:p>
    <w:p>
      <w:pPr>
        <w:jc w:val="both"/>
        <w:spacing w:after="0" w:line="318" w:lineRule="auto"/>
        <w:rPr>
          <w:sz w:val="20"/>
          <w:szCs w:val="20"/>
          <w:color w:val="auto"/>
        </w:rPr>
      </w:pPr>
      <w:r>
        <w:rPr>
          <w:rFonts w:ascii="Times New Roman" w:cs="Times New Roman" w:eastAsia="Times New Roman" w:hAnsi="Times New Roman"/>
          <w:sz w:val="21"/>
          <w:szCs w:val="21"/>
          <w:color w:val="auto"/>
        </w:rPr>
        <w:t>aunque, dada su complejidad, en aquella época se prestó muy poca atención a la historia filogenética y evolutiva de este grupo. Comenzando el siglo xx, numerosos anatomistas intentaron relacionar estudios detallados de la morfología animal con los factores ambientales, lo que provocó una preocupación sobre todo en el entendimiento y la descripción de la morfología de los animales y el funcionamiento de sus estructuras; sin embargo, a menudo intentaron colocar sus observaciones dentro del contexto del conocimiento de la historia natural de las especies. Debido a esto, en ese siglo, el interés en los estudios morfológicos de cualquier grupo de vertebrados disminuyó considerablemente, además de que los morfólogos de esa época no comprendieron el mensaje de Darwin y los conceptos básicos de la teoría evolutiva; más bien, la idea que tomaron fue que el posible entendimiento de la evolución y clasificación de los organismos era sencillamente mediante la comparación de la forma, por lo que no estuvieron interesados en analizar la función y los detalles de las interrelaciones entre la diversidad de los atributos de los organismos y las demandas de los ambientes externos.</w:t>
      </w:r>
    </w:p>
    <w:p>
      <w:pPr>
        <w:spacing w:after="0" w:line="1"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A principios de los cincuenta, ocurrieron algunos cambios en los enfoques de la morfología de los vertebrados: el primero fue el desarrollo de la anatomía funcional con una diversidad de técnicas observacionales y experimentales como la electromiografía, rayos X y ultravioleta; el segundo fue el desarrollo de la morfología evolutiva por investigadores de las áreas de biología evolutiva, sistemática y ecología, quienes tomaban los datos ecomorfológicos como datos empíricos. Diversos artículos publicados a finales de los cincuenta y durante décadas posteriores acerca de temas de preadaptación (Bock, 1977), adaptación (Bock, 1980) y cambios evolutivos proporcionaron el inicio de los conceptos y aproximaciones de la morfología evolutiva.</w:t>
      </w:r>
    </w:p>
    <w:p>
      <w:pPr>
        <w:spacing w:after="0" w:line="6" w:lineRule="exact"/>
        <w:rPr>
          <w:sz w:val="20"/>
          <w:szCs w:val="20"/>
          <w:color w:val="auto"/>
        </w:rPr>
      </w:pPr>
    </w:p>
    <w:p>
      <w:pPr>
        <w:jc w:val="both"/>
        <w:ind w:firstLine="360"/>
        <w:spacing w:after="0" w:line="343" w:lineRule="auto"/>
        <w:rPr>
          <w:sz w:val="20"/>
          <w:szCs w:val="20"/>
          <w:color w:val="auto"/>
        </w:rPr>
      </w:pPr>
      <w:r>
        <w:rPr>
          <w:rFonts w:ascii="Times New Roman" w:cs="Times New Roman" w:eastAsia="Times New Roman" w:hAnsi="Times New Roman"/>
          <w:sz w:val="20"/>
          <w:szCs w:val="20"/>
          <w:color w:val="auto"/>
        </w:rPr>
        <w:t xml:space="preserve">Durante los cincuenta y sesenta, los ecólogos trabajaron principalmente con aves, en las que analizaron una serie de aspectos ecológicos relacionados con los conceptos de nicho, división del hábitat, estructura de la comunidad, diversidad dentro de los taxa, etc., usando medidas morfológicas sencillas. Estos estudios permitieron a Karr y James en 1975 acuñar el término </w:t>
      </w:r>
      <w:r>
        <w:rPr>
          <w:rFonts w:ascii="Times New Roman" w:cs="Times New Roman" w:eastAsia="Times New Roman" w:hAnsi="Times New Roman"/>
          <w:sz w:val="20"/>
          <w:szCs w:val="20"/>
          <w:i w:val="1"/>
          <w:iCs w:val="1"/>
          <w:color w:val="auto"/>
        </w:rPr>
        <w:t>ecomorfología</w:t>
      </w:r>
      <w:r>
        <w:rPr>
          <w:rFonts w:ascii="Times New Roman" w:cs="Times New Roman" w:eastAsia="Times New Roman" w:hAnsi="Times New Roman"/>
          <w:sz w:val="20"/>
          <w:szCs w:val="20"/>
          <w:color w:val="auto"/>
        </w:rPr>
        <w:t>, que examina las relaciones de las características morfológicas y aspectos ambientales (Bock, 1994).</w:t>
      </w:r>
    </w:p>
    <w:p>
      <w:pPr>
        <w:sectPr>
          <w:pgSz w:w="9360" w:h="13039" w:orient="portrait"/>
          <w:cols w:equalWidth="0" w:num="1">
            <w:col w:w="7200"/>
          </w:cols>
          <w:pgMar w:left="1080" w:top="878" w:right="1080" w:bottom="437" w:gutter="0" w:footer="0" w:header="0"/>
        </w:sectPr>
      </w:pPr>
    </w:p>
    <w:p>
      <w:pPr>
        <w:spacing w:after="0" w:line="200" w:lineRule="exact"/>
        <w:rPr>
          <w:sz w:val="20"/>
          <w:szCs w:val="20"/>
          <w:color w:val="auto"/>
        </w:rPr>
      </w:pPr>
    </w:p>
    <w:p>
      <w:pPr>
        <w:spacing w:after="0" w:line="332"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4" name="Shape 1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4" o:spid="_x0000_s103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5" name="Shape 1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5" o:spid="_x0000_s104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6" name="Shape 1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6" o:spid="_x0000_s104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11" w:name="page12"/>
    <w:bookmarkEnd w:id="11"/>
    <w:tbl>
      <w:tblPr>
        <w:tblLayout w:type="fixed"/>
        <w:tblInd w:w="2000" w:type="dxa"/>
        <w:tblCellMar>
          <w:top w:w="0" w:type="dxa"/>
          <w:left w:w="0" w:type="dxa"/>
          <w:bottom w:w="0" w:type="dxa"/>
          <w:right w:w="0" w:type="dxa"/>
        </w:tblCellMar>
      </w:tblPr>
      <w:tr>
        <w:trPr>
          <w:trHeight w:val="222"/>
        </w:trPr>
        <w:tc>
          <w:tcPr>
            <w:tcW w:w="4140" w:type="dxa"/>
            <w:vAlign w:val="bottom"/>
          </w:tcPr>
          <w:p>
            <w:pPr>
              <w:spacing w:after="0"/>
              <w:rPr>
                <w:sz w:val="20"/>
                <w:szCs w:val="20"/>
                <w:color w:val="auto"/>
              </w:rPr>
            </w:pPr>
            <w:r>
              <w:rPr>
                <w:rFonts w:ascii="Arial Narrow" w:cs="Arial Narrow" w:eastAsia="Arial Narrow" w:hAnsi="Arial Narrow"/>
                <w:sz w:val="11"/>
                <w:szCs w:val="11"/>
                <w:color w:val="auto"/>
              </w:rPr>
              <w:t>algunos aspectos relacionados con la ecomorfología</w:t>
            </w:r>
          </w:p>
        </w:tc>
        <w:tc>
          <w:tcPr>
            <w:tcW w:w="1060" w:type="dxa"/>
            <w:vAlign w:val="bottom"/>
          </w:tcPr>
          <w:p>
            <w:pPr>
              <w:jc w:val="right"/>
              <w:spacing w:after="0"/>
              <w:rPr>
                <w:sz w:val="20"/>
                <w:szCs w:val="20"/>
                <w:color w:val="auto"/>
              </w:rPr>
            </w:pPr>
            <w:r>
              <w:rPr>
                <w:rFonts w:ascii="Arial Narrow" w:cs="Arial Narrow" w:eastAsia="Arial Narrow" w:hAnsi="Arial Narrow"/>
                <w:sz w:val="16"/>
                <w:szCs w:val="16"/>
                <w:color w:val="auto"/>
              </w:rPr>
              <w:t>11</w:t>
            </w:r>
          </w:p>
        </w:tc>
      </w:tr>
    </w:tbl>
    <w:p>
      <w:pPr>
        <w:spacing w:after="0" w:line="200" w:lineRule="exact"/>
        <w:rPr>
          <w:sz w:val="20"/>
          <w:szCs w:val="20"/>
          <w:color w:val="auto"/>
        </w:rPr>
      </w:pPr>
    </w:p>
    <w:p>
      <w:pPr>
        <w:spacing w:after="0" w:line="309"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A finales de los setenta y comienzos de los ochenta, hubo una conexión crucial que propició que la genética de poblaciones y los mecanismos de selección natural se unieran al paradigma que había emergido en la morfología funcional y la ecología fisiológica para realizar estudios de adaptación (Arnold, 1983; Huey y Stevenson, 1979, Jande y Arnold, 1983). El diseño que presentan los organismos para determinar cómo interactúan con su ambiente se determina a través de los efectos que tiene éste en su habilidad para realizar varias actividades y conductas. Arnold (1983) formaliza estas relaciones señalando que los gradientes en la morfología (rendimiento y adecuación) pueden estar construidos por los miembros de una población, ayudando tanto en la visualización como en la cuantificación de la conexión entre morfología y adecuación.</w:t>
      </w:r>
    </w:p>
    <w:p>
      <w:pPr>
        <w:spacing w:after="0" w:line="7" w:lineRule="exact"/>
        <w:rPr>
          <w:sz w:val="20"/>
          <w:szCs w:val="20"/>
          <w:color w:val="auto"/>
        </w:rPr>
      </w:pPr>
    </w:p>
    <w:p>
      <w:pPr>
        <w:jc w:val="both"/>
        <w:ind w:firstLine="360"/>
        <w:spacing w:after="0" w:line="319" w:lineRule="auto"/>
        <w:rPr>
          <w:sz w:val="20"/>
          <w:szCs w:val="20"/>
          <w:color w:val="auto"/>
        </w:rPr>
      </w:pPr>
      <w:r>
        <w:rPr>
          <w:rFonts w:ascii="Times New Roman" w:cs="Times New Roman" w:eastAsia="Times New Roman" w:hAnsi="Times New Roman"/>
          <w:sz w:val="21"/>
          <w:szCs w:val="21"/>
          <w:color w:val="auto"/>
        </w:rPr>
        <w:t xml:space="preserve">El desarrollo de metodologías para estudiar las relaciones ecomorfológicas dentro de las poblaciones desde el punto de vista de la adecuación surgió de forma paralela al método comparado (Brooks y McLennan, 1991; Harvey y Pagel, 1981), que se enfoca en la diversidad filética y ofrece una metodología para probar si una característica particular del diseño puede ser una adaptación. Lauder (1982) diferencia los factores extrínsecos o ambientales de los intrínsecos o agentes que moldean el diseño de los organismos. De estos factores, los más importantes son los intrínsecos, ya que son características heredadas de los ancestros que limitan o determinan la evolución de un linaje. Las nuevas especies tienden a parecerse más a sus ancestros directos y algunos aspectos del diseño pueden incrementar la probabilidad de ciertos cambios en determinadas generaciones. Las hipótesis filogenéticas proporcionan una mejor estimación de la historia evolutiva y aportan bases sólidas acerca de la naturaleza adaptativa de las características específicas. Una de las lecciones más significativa en esta área ha sido que muchos de los rasgos de las especies son heredados de sus ancestros y cualquier prueba de hipótesis acerca de cómo una condición particular ocasiona una transición filética específica en la que evolucionan los rasgos puede ser importante. Recientemente, los aspectos de la morfología (rendimiento y adecuación) han sido incorporados al enfoque filogenético y son utilizados para examinar diferentes patrones de correlación evolutiva (Garland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xml:space="preserve"> 1992; Martins y Garland, 1991; Wainwright y Reilly, 1994).</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65"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12" w:name="page13"/>
    <w:bookmarkEnd w:id="12"/>
    <w:p>
      <w:pPr>
        <w:spacing w:after="0" w:line="239" w:lineRule="auto"/>
        <w:tabs>
          <w:tab w:leader="none" w:pos="1940" w:val="left"/>
        </w:tabs>
        <w:rPr>
          <w:sz w:val="20"/>
          <w:szCs w:val="20"/>
          <w:color w:val="auto"/>
        </w:rPr>
      </w:pPr>
      <w:r>
        <w:rPr>
          <w:rFonts w:ascii="Arial Narrow" w:cs="Arial Narrow" w:eastAsia="Arial Narrow" w:hAnsi="Arial Narrow"/>
          <w:sz w:val="16"/>
          <w:szCs w:val="16"/>
          <w:color w:val="auto"/>
        </w:rPr>
        <w:t>12</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p>
    <w:p>
      <w:pPr>
        <w:spacing w:after="0" w:line="376"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Estadística multivariada</w:t>
      </w:r>
    </w:p>
    <w:p>
      <w:pPr>
        <w:spacing w:after="0" w:line="38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Descripción morfológica en el espacio multivariado</w:t>
      </w:r>
    </w:p>
    <w:p>
      <w:pPr>
        <w:spacing w:after="0" w:line="38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Las relaciones de los seres vivos en la naturaleza son complejas. En cualquier sistema ecológico real, los patrones que observamos están dirigidos por un gran número de interacciones ecológicas, las cuales varían en el espacio y en el tiempo. La distribución, abundancia o conducta de un organismo, por ejemplo, son afectadas simultáneamente por diversos factores bióticos y abióticos.</w:t>
      </w:r>
    </w:p>
    <w:p>
      <w:pPr>
        <w:spacing w:after="0" w:line="3"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Esta multiplicidad e interacción de factores causales hace especialmente difícil analizar los sistemas ecológicos. De manera general, los primeros datos que se examinan son medidas lineales, como la longitud del cuerpo, de las extremidades o de la cabeza. Emplear los métodos univariados es muy útil en situaciones donde sólo interesa la respuesta de una variable y el resto puede controlarse. No obstante, cuando hay una respuesta simultánea de diferentes variables, es útil la estadística multivariada, que se refiere a una pluralidad de técnicas descriptivas e inferenciales donde están involucradas un grupo de variables. Estas técnicas multivariadas son convenientes cuando más de una característica es trascendente para la muestra, ya que, debido a las relaciones entre estas características, se requiere que se analicen de manera conjunta.</w:t>
      </w:r>
    </w:p>
    <w:p>
      <w:pPr>
        <w:spacing w:after="0" w:line="7" w:lineRule="exact"/>
        <w:rPr>
          <w:sz w:val="20"/>
          <w:szCs w:val="20"/>
          <w:color w:val="auto"/>
        </w:rPr>
      </w:pPr>
    </w:p>
    <w:p>
      <w:pPr>
        <w:jc w:val="both"/>
        <w:ind w:firstLine="360"/>
        <w:spacing w:after="0" w:line="322" w:lineRule="auto"/>
        <w:rPr>
          <w:sz w:val="20"/>
          <w:szCs w:val="20"/>
          <w:color w:val="auto"/>
        </w:rPr>
      </w:pPr>
      <w:r>
        <w:rPr>
          <w:rFonts w:ascii="Times New Roman" w:cs="Times New Roman" w:eastAsia="Times New Roman" w:hAnsi="Times New Roman"/>
          <w:sz w:val="21"/>
          <w:szCs w:val="21"/>
          <w:color w:val="auto"/>
        </w:rPr>
        <w:t>A pesar de que las combinaciones lineales de las variables originales (componentes principales) disminuyen la redundancia y la dimensionalidad del espacio, es necesario minimizar el efecto de alguna variable, como el tamaño; para esto se generan transformaciones logarítmicas o residuales que tienen como objetivo producir distribuciones normales en el morfoespacio; además, las distancias corresponden más a diferencias factoriales entre puntos que a diferencias longitudinales, lo cual significa que, en un sentido biológico y conforme a la independencia general, se analizan las diferencias entre las especies y se calcula una aproximación de la variación de tamaño y forma (Wainwright y Reilly, 1994).</w:t>
      </w:r>
    </w:p>
    <w:p>
      <w:pPr>
        <w:sectPr>
          <w:pgSz w:w="9360" w:h="13039" w:orient="portrait"/>
          <w:cols w:equalWidth="0" w:num="1">
            <w:col w:w="7200"/>
          </w:cols>
          <w:pgMar w:left="1080" w:top="878"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8"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7" name="Shape 1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7" o:spid="_x0000_s104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8" name="Shape 1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8" o:spid="_x0000_s104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9" name="Shape 1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9" o:spid="_x0000_s104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13" w:name="page14"/>
    <w:bookmarkEnd w:id="13"/>
    <w:tbl>
      <w:tblPr>
        <w:tblLayout w:type="fixed"/>
        <w:tblInd w:w="2000" w:type="dxa"/>
        <w:tblCellMar>
          <w:top w:w="0" w:type="dxa"/>
          <w:left w:w="0" w:type="dxa"/>
          <w:bottom w:w="0" w:type="dxa"/>
          <w:right w:w="0" w:type="dxa"/>
        </w:tblCellMar>
      </w:tblPr>
      <w:tr>
        <w:trPr>
          <w:trHeight w:val="222"/>
        </w:trPr>
        <w:tc>
          <w:tcPr>
            <w:tcW w:w="4120" w:type="dxa"/>
            <w:vAlign w:val="bottom"/>
          </w:tcPr>
          <w:p>
            <w:pPr>
              <w:spacing w:after="0"/>
              <w:rPr>
                <w:sz w:val="20"/>
                <w:szCs w:val="20"/>
                <w:color w:val="auto"/>
              </w:rPr>
            </w:pPr>
            <w:r>
              <w:rPr>
                <w:rFonts w:ascii="Arial Narrow" w:cs="Arial Narrow" w:eastAsia="Arial Narrow" w:hAnsi="Arial Narrow"/>
                <w:sz w:val="11"/>
                <w:szCs w:val="11"/>
                <w:color w:val="auto"/>
              </w:rPr>
              <w:t>algunos aspectos relacionados con la ecomorfología</w:t>
            </w:r>
          </w:p>
        </w:tc>
        <w:tc>
          <w:tcPr>
            <w:tcW w:w="1080" w:type="dxa"/>
            <w:vAlign w:val="bottom"/>
          </w:tcPr>
          <w:p>
            <w:pPr>
              <w:jc w:val="right"/>
              <w:spacing w:after="0"/>
              <w:rPr>
                <w:sz w:val="20"/>
                <w:szCs w:val="20"/>
                <w:color w:val="auto"/>
              </w:rPr>
            </w:pPr>
            <w:r>
              <w:rPr>
                <w:rFonts w:ascii="Arial Narrow" w:cs="Arial Narrow" w:eastAsia="Arial Narrow" w:hAnsi="Arial Narrow"/>
                <w:sz w:val="16"/>
                <w:szCs w:val="16"/>
                <w:color w:val="auto"/>
              </w:rPr>
              <w:t>13</w:t>
            </w:r>
          </w:p>
        </w:tc>
      </w:tr>
    </w:tbl>
    <w:p>
      <w:pPr>
        <w:spacing w:after="0" w:line="200" w:lineRule="exact"/>
        <w:rPr>
          <w:sz w:val="20"/>
          <w:szCs w:val="20"/>
          <w:color w:val="auto"/>
        </w:rPr>
      </w:pPr>
    </w:p>
    <w:p>
      <w:pPr>
        <w:spacing w:after="0" w:line="309"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Tipos de técnicas multivariadas</w:t>
      </w:r>
    </w:p>
    <w:p>
      <w:pPr>
        <w:spacing w:after="0" w:line="38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Las técnicas multivariadas utilizadas comúnmente son:</w:t>
      </w:r>
    </w:p>
    <w:p>
      <w:pPr>
        <w:spacing w:after="0" w:line="67" w:lineRule="exact"/>
        <w:rPr>
          <w:sz w:val="20"/>
          <w:szCs w:val="20"/>
          <w:color w:val="auto"/>
        </w:rPr>
      </w:pPr>
    </w:p>
    <w:p>
      <w:pPr>
        <w:jc w:val="both"/>
        <w:ind w:firstLine="360"/>
        <w:spacing w:after="0" w:line="330" w:lineRule="auto"/>
        <w:rPr>
          <w:sz w:val="20"/>
          <w:szCs w:val="20"/>
          <w:color w:val="auto"/>
        </w:rPr>
      </w:pPr>
      <w:r>
        <w:rPr>
          <w:rFonts w:ascii="Times New Roman" w:cs="Times New Roman" w:eastAsia="Times New Roman" w:hAnsi="Times New Roman"/>
          <w:sz w:val="20"/>
          <w:szCs w:val="20"/>
          <w:i w:val="1"/>
          <w:iCs w:val="1"/>
          <w:color w:val="auto"/>
        </w:rPr>
        <w:t xml:space="preserve">Análisis de componentes principales </w:t>
      </w:r>
      <w:r>
        <w:rPr>
          <w:rFonts w:ascii="Times New Roman" w:cs="Times New Roman" w:eastAsia="Times New Roman" w:hAnsi="Times New Roman"/>
          <w:sz w:val="20"/>
          <w:szCs w:val="20"/>
          <w:color w:val="auto"/>
        </w:rPr>
        <w:t>(acp). Técnica que evalúa las relaciones entre un</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 xml:space="preserve">grupo de variables interdependientes; su objetivo principal es condensar la información contenida en un amplio número de variables originales dentro de un pequeño grupo de nuevas variables con una mínima pérdida de información. Esto reduce las </w:t>
      </w:r>
      <w:r>
        <w:rPr>
          <w:rFonts w:ascii="Times New Roman" w:cs="Times New Roman" w:eastAsia="Times New Roman" w:hAnsi="Times New Roman"/>
          <w:sz w:val="20"/>
          <w:szCs w:val="20"/>
          <w:i w:val="1"/>
          <w:iCs w:val="1"/>
          <w:color w:val="auto"/>
        </w:rPr>
        <w:t xml:space="preserve">P </w:t>
      </w:r>
      <w:r>
        <w:rPr>
          <w:rFonts w:ascii="Times New Roman" w:cs="Times New Roman" w:eastAsia="Times New Roman" w:hAnsi="Times New Roman"/>
          <w:sz w:val="23"/>
          <w:szCs w:val="23"/>
          <w:color w:val="auto"/>
          <w:vertAlign w:val="superscript"/>
        </w:rPr>
        <w:t>1</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dimensiones originales del grupo de variables, donde cada dimensión está definida</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 xml:space="preserve">por una variable, en nuevas dimensiones, donde cada dimensión se define por las combinaciones lineales de las </w:t>
      </w:r>
      <w:r>
        <w:rPr>
          <w:rFonts w:ascii="Times New Roman" w:cs="Times New Roman" w:eastAsia="Times New Roman" w:hAnsi="Times New Roman"/>
          <w:sz w:val="20"/>
          <w:szCs w:val="20"/>
          <w:i w:val="1"/>
          <w:iCs w:val="1"/>
          <w:color w:val="auto"/>
        </w:rPr>
        <w:t>N</w:t>
      </w:r>
      <w:r>
        <w:rPr>
          <w:rFonts w:ascii="Times New Roman" w:cs="Times New Roman" w:eastAsia="Times New Roman" w:hAnsi="Times New Roman"/>
          <w:sz w:val="20"/>
          <w:szCs w:val="20"/>
          <w:color w:val="auto"/>
        </w:rPr>
        <w:t xml:space="preserve"> variables originales. Estas combinaciones lineales se llaman </w:t>
      </w:r>
      <w:r>
        <w:rPr>
          <w:rFonts w:ascii="Times New Roman" w:cs="Times New Roman" w:eastAsia="Times New Roman" w:hAnsi="Times New Roman"/>
          <w:sz w:val="20"/>
          <w:szCs w:val="20"/>
          <w:i w:val="1"/>
          <w:iCs w:val="1"/>
          <w:color w:val="auto"/>
        </w:rPr>
        <w:t>componentes principales.</w:t>
      </w:r>
      <w:r>
        <w:rPr>
          <w:rFonts w:ascii="Times New Roman" w:cs="Times New Roman" w:eastAsia="Times New Roman" w:hAnsi="Times New Roman"/>
          <w:sz w:val="20"/>
          <w:szCs w:val="20"/>
          <w:color w:val="auto"/>
        </w:rPr>
        <w:t xml:space="preserve"> Las nuevas variables maximizan la variación entre los grupos que se analizan; esto quiere decir que las combinaciones lineales que son ponderadas a partir de las variables originales representan gradientes de máxima variación dentro del grupo de datos. El significado biológico de cada componente se refleja en la influencia de la variable para definir el componente; por consiguiente, el acp proporciona una interpretación significativa de cada componente basado en las variables que son más importantes para definir cada dimensión (McGarigal </w:t>
      </w:r>
      <w:r>
        <w:rPr>
          <w:rFonts w:ascii="Times New Roman" w:cs="Times New Roman" w:eastAsia="Times New Roman" w:hAnsi="Times New Roman"/>
          <w:sz w:val="20"/>
          <w:szCs w:val="20"/>
          <w:i w:val="1"/>
          <w:iCs w:val="1"/>
          <w:color w:val="auto"/>
        </w:rPr>
        <w:t>et al.</w:t>
      </w:r>
      <w:r>
        <w:rPr>
          <w:rFonts w:ascii="Times New Roman" w:cs="Times New Roman" w:eastAsia="Times New Roman" w:hAnsi="Times New Roman"/>
          <w:sz w:val="20"/>
          <w:szCs w:val="20"/>
          <w:color w:val="auto"/>
        </w:rPr>
        <w:t>, 2000).</w:t>
      </w:r>
    </w:p>
    <w:p>
      <w:pPr>
        <w:spacing w:after="0" w:line="5"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i w:val="1"/>
          <w:iCs w:val="1"/>
          <w:color w:val="auto"/>
        </w:rPr>
        <w:t xml:space="preserve">Análisis de funciones discriminantes </w:t>
      </w:r>
      <w:r>
        <w:rPr>
          <w:rFonts w:ascii="Times New Roman" w:cs="Times New Roman" w:eastAsia="Times New Roman" w:hAnsi="Times New Roman"/>
          <w:sz w:val="21"/>
          <w:szCs w:val="21"/>
          <w:color w:val="auto"/>
        </w:rPr>
        <w:t>(afd). Este análisis, a diferencia del acp,</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que pretende organizar sólo un grupo mediante la máxima variación dentro del grupo de datos, busca la máxima separación entre grupos predeterminados; es una técnica de clasificación introducida por Fisher (1936) y revisada recientemente por Huberty (1994). Los objetivos del afd son: a) mostrar la separación óptima de los grupos basándose en ciertas transformaciones lineales de las variables originales;</w:t>
      </w:r>
    </w:p>
    <w:p>
      <w:pPr>
        <w:jc w:val="both"/>
        <w:ind w:left="260" w:hanging="260"/>
        <w:spacing w:after="0"/>
        <w:tabs>
          <w:tab w:leader="none" w:pos="260" w:val="left"/>
        </w:tabs>
        <w:numPr>
          <w:ilvl w:val="0"/>
          <w:numId w:val="1"/>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explicar qué variables contribuyen más o explican la separación de estos grupos;</w:t>
      </w:r>
    </w:p>
    <w:p>
      <w:pPr>
        <w:spacing w:after="0" w:line="78" w:lineRule="exact"/>
        <w:rPr>
          <w:rFonts w:ascii="Times New Roman" w:cs="Times New Roman" w:eastAsia="Times New Roman" w:hAnsi="Times New Roman"/>
          <w:sz w:val="21"/>
          <w:szCs w:val="21"/>
          <w:color w:val="auto"/>
        </w:rPr>
      </w:pPr>
    </w:p>
    <w:p>
      <w:pPr>
        <w:jc w:val="both"/>
        <w:spacing w:after="0" w:line="350" w:lineRule="auto"/>
        <w:tabs>
          <w:tab w:leader="none" w:pos="185" w:val="left"/>
        </w:tabs>
        <w:numPr>
          <w:ilvl w:val="0"/>
          <w:numId w:val="1"/>
        </w:numPr>
        <w:rPr>
          <w:rFonts w:ascii="Times New Roman" w:cs="Times New Roman" w:eastAsia="Times New Roman" w:hAnsi="Times New Roman"/>
          <w:sz w:val="20"/>
          <w:szCs w:val="20"/>
          <w:color w:val="auto"/>
        </w:rPr>
      </w:pPr>
      <w:r>
        <w:rPr>
          <w:rFonts w:ascii="Times New Roman" w:cs="Times New Roman" w:eastAsia="Times New Roman" w:hAnsi="Times New Roman"/>
          <w:sz w:val="20"/>
          <w:szCs w:val="20"/>
          <w:color w:val="auto"/>
        </w:rPr>
        <w:t xml:space="preserve">predecir la ubicación de un organismo de origen desconocido con base en la evaluación de las variables originales, de tal manera que este análisis también se conoce como </w:t>
      </w:r>
      <w:r>
        <w:rPr>
          <w:rFonts w:ascii="Times New Roman" w:cs="Times New Roman" w:eastAsia="Times New Roman" w:hAnsi="Times New Roman"/>
          <w:sz w:val="20"/>
          <w:szCs w:val="20"/>
          <w:i w:val="1"/>
          <w:iCs w:val="1"/>
          <w:color w:val="auto"/>
        </w:rPr>
        <w:t>análisis predictivo de discriminantes</w:t>
      </w:r>
      <w:r>
        <w:rPr>
          <w:rFonts w:ascii="Times New Roman" w:cs="Times New Roman" w:eastAsia="Times New Roman" w:hAnsi="Times New Roman"/>
          <w:sz w:val="20"/>
          <w:szCs w:val="20"/>
          <w:color w:val="auto"/>
        </w:rPr>
        <w:t>. El afd se utiliza cuando se tienen observaciones</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de determinados grupos con dos o más variables registradas en cada observación;</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361950</wp:posOffset>
                </wp:positionV>
                <wp:extent cx="608330" cy="0"/>
                <wp:wrapNone/>
                <wp:docPr id="20" name="Shape 2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608330" cy="0"/>
                        </a:xfrm>
                        <a:prstGeom prst="line">
                          <a:avLst/>
                        </a:prstGeom>
                        <a:solidFill>
                          <a:srgbClr val="FFFFFF"/>
                        </a:solidFill>
                        <a:ln w="6350">
                          <a:solidFill>
                            <a:srgbClr val="000000"/>
                          </a:solidFill>
                          <a:miter lim="800000"/>
                          <a:headEnd/>
                          <a:tailEnd/>
                        </a:ln>
                      </wps:spPr>
                      <wps:bodyPr/>
                    </wps:wsp>
                  </a:graphicData>
                </a:graphic>
              </wp:anchor>
            </w:drawing>
          </mc:Choice>
          <mc:Fallback>
            <w:pict>
              <v:line id="Shape 20" o:spid="_x0000_s104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28.5pt" to="47.9pt,28.5pt" o:allowincell="f" strokecolor="#000000" strokeweight="0.5pt"/>
            </w:pict>
          </mc:Fallback>
        </mc:AlternateContent>
      </w:r>
    </w:p>
    <w:p>
      <w:pPr>
        <w:spacing w:after="0" w:line="200" w:lineRule="exact"/>
        <w:rPr>
          <w:sz w:val="20"/>
          <w:szCs w:val="20"/>
          <w:color w:val="auto"/>
        </w:rPr>
      </w:pPr>
    </w:p>
    <w:p>
      <w:pPr>
        <w:spacing w:after="0" w:line="247" w:lineRule="exact"/>
        <w:rPr>
          <w:sz w:val="20"/>
          <w:szCs w:val="20"/>
          <w:color w:val="auto"/>
        </w:rPr>
      </w:pPr>
    </w:p>
    <w:p>
      <w:pPr>
        <w:ind w:left="240"/>
        <w:spacing w:after="0"/>
        <w:rPr>
          <w:sz w:val="20"/>
          <w:szCs w:val="20"/>
          <w:color w:val="auto"/>
        </w:rPr>
      </w:pPr>
      <w:r>
        <w:rPr>
          <w:rFonts w:ascii="Times New Roman" w:cs="Times New Roman" w:eastAsia="Times New Roman" w:hAnsi="Times New Roman"/>
          <w:sz w:val="19"/>
          <w:szCs w:val="19"/>
          <w:color w:val="auto"/>
          <w:vertAlign w:val="superscript"/>
        </w:rPr>
        <w:t>1</w:t>
      </w:r>
      <w:r>
        <w:rPr>
          <w:rFonts w:ascii="Times New Roman" w:cs="Times New Roman" w:eastAsia="Times New Roman" w:hAnsi="Times New Roman"/>
          <w:sz w:val="17"/>
          <w:szCs w:val="17"/>
          <w:i w:val="1"/>
          <w:iCs w:val="1"/>
          <w:color w:val="auto"/>
        </w:rPr>
        <w:t xml:space="preserve"> P </w:t>
      </w:r>
      <w:r>
        <w:rPr>
          <w:rFonts w:ascii="Times New Roman" w:cs="Times New Roman" w:eastAsia="Times New Roman" w:hAnsi="Times New Roman"/>
          <w:sz w:val="17"/>
          <w:szCs w:val="17"/>
          <w:color w:val="auto"/>
        </w:rPr>
        <w:t>/ dimensiones originales del grupo de datos. Donde cada dimensión está definida por una variable.</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18"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14" w:name="page15"/>
    <w:bookmarkEnd w:id="14"/>
    <w:p>
      <w:pPr>
        <w:spacing w:after="0" w:line="239" w:lineRule="auto"/>
        <w:tabs>
          <w:tab w:leader="none" w:pos="1940" w:val="left"/>
        </w:tabs>
        <w:rPr>
          <w:sz w:val="20"/>
          <w:szCs w:val="20"/>
          <w:color w:val="auto"/>
        </w:rPr>
      </w:pPr>
      <w:r>
        <w:rPr>
          <w:rFonts w:ascii="Arial Narrow" w:cs="Arial Narrow" w:eastAsia="Arial Narrow" w:hAnsi="Arial Narrow"/>
          <w:sz w:val="16"/>
          <w:szCs w:val="16"/>
          <w:color w:val="auto"/>
        </w:rPr>
        <w:t>14</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p>
    <w:p>
      <w:pPr>
        <w:spacing w:after="0" w:line="376"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 xml:space="preserve">su objeto es generar combinaciones lineales a partir de las variables originales que maximizan la probabilidad de asignar de manera correcta los organismos a grupos predeterminados; también se puede emplear para clasificar nuevas observaciones en alguno de los grupos y valorar el grado de separación de éstos mediante la diferencia de medias y un modelo de clasificación. Es posible determinar cuáles variables tienen mayor impacto en las funciones discriminantes a través de la carga de cada variable (McGarigal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2000).</w:t>
      </w:r>
    </w:p>
    <w:p>
      <w:pPr>
        <w:spacing w:after="0" w:line="4"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i w:val="1"/>
          <w:iCs w:val="1"/>
          <w:color w:val="auto"/>
        </w:rPr>
        <w:t xml:space="preserve">Análisis multivariado de varianza </w:t>
      </w:r>
      <w:r>
        <w:rPr>
          <w:rFonts w:ascii="Times New Roman" w:cs="Times New Roman" w:eastAsia="Times New Roman" w:hAnsi="Times New Roman"/>
          <w:sz w:val="21"/>
          <w:szCs w:val="21"/>
          <w:color w:val="auto"/>
        </w:rPr>
        <w:t>(Manova). Esta herramienta permite examinar</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 xml:space="preserve">diferentes variables categóricas independientes y dos o más variables métricas dependientes. Mientras el </w:t>
      </w:r>
      <w:r>
        <w:rPr>
          <w:rFonts w:ascii="Times New Roman" w:cs="Times New Roman" w:eastAsia="Times New Roman" w:hAnsi="Times New Roman"/>
          <w:sz w:val="21"/>
          <w:szCs w:val="21"/>
          <w:i w:val="1"/>
          <w:iCs w:val="1"/>
          <w:color w:val="auto"/>
        </w:rPr>
        <w:t>análisis de varianza</w:t>
      </w:r>
      <w:r>
        <w:rPr>
          <w:rFonts w:ascii="Times New Roman" w:cs="Times New Roman" w:eastAsia="Times New Roman" w:hAnsi="Times New Roman"/>
          <w:sz w:val="21"/>
          <w:szCs w:val="21"/>
          <w:color w:val="auto"/>
        </w:rPr>
        <w:t xml:space="preserve"> (Anova) evalúa las diferencias entre grupos usando la prueba de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para dos medias y la prueba de </w:t>
      </w: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1"/>
          <w:szCs w:val="21"/>
          <w:color w:val="auto"/>
        </w:rPr>
        <w:t xml:space="preserve"> para más de dos medias, el Manova valora las relaciones de dependencia entre un grupo de variables métricas dependientes y entre varios grupos o poblaciones. Es un análisis robusto, ya que parte de los supuestos de homogeneidad y normalidad de las matrices de varianza-covarianza, las cuales se basan en los procedimientos de aleatorización. También incluye una prueba fundamentada en lambda de Wilks al utilizar la suma logarítmica de la prueba de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en la que se apoya el análisis univariado, o el valor de </w:t>
      </w: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1"/>
          <w:szCs w:val="21"/>
          <w:color w:val="auto"/>
        </w:rPr>
        <w:t xml:space="preserve"> para cada variable, y compara la suma de cuadrados de las distancias euclidianas entre los organismos y sus centroides, entre grupos y dentro de cada uno de éstos.</w:t>
      </w:r>
    </w:p>
    <w:p>
      <w:pPr>
        <w:jc w:val="both"/>
        <w:ind w:firstLine="360"/>
        <w:spacing w:after="0" w:line="338" w:lineRule="auto"/>
        <w:rPr>
          <w:sz w:val="20"/>
          <w:szCs w:val="20"/>
          <w:color w:val="auto"/>
        </w:rPr>
      </w:pPr>
      <w:r>
        <w:rPr>
          <w:rFonts w:ascii="Times New Roman" w:cs="Times New Roman" w:eastAsia="Times New Roman" w:hAnsi="Times New Roman"/>
          <w:sz w:val="20"/>
          <w:szCs w:val="20"/>
          <w:i w:val="1"/>
          <w:iCs w:val="1"/>
          <w:color w:val="auto"/>
        </w:rPr>
        <w:t xml:space="preserve">Análisis de cluster </w:t>
      </w:r>
      <w:r>
        <w:rPr>
          <w:rFonts w:ascii="Times New Roman" w:cs="Times New Roman" w:eastAsia="Times New Roman" w:hAnsi="Times New Roman"/>
          <w:sz w:val="20"/>
          <w:szCs w:val="20"/>
          <w:color w:val="auto"/>
        </w:rPr>
        <w:t>(ac). El propósito de esta técnica es formar subgrupos a partir</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 xml:space="preserve">de un grupo general. Esta división se realiza con base en la similitud de los individuos o poblaciones a partir de un conjunto de características específicas. Un problema para este análisis son los valores atípicos o poco significativos que algunas veces causan las agrupaciones erróneas. Para el ac, las muestras deben ser representativas de la población y tener variables que estén correlacionadas. Hay tres métodos principales: 1) jerárquico, método apropiado cuando se tiene un grupo pequeño; 2) no jerárquico, que requiere la especificación del número de </w:t>
      </w:r>
      <w:r>
        <w:rPr>
          <w:rFonts w:ascii="Times New Roman" w:cs="Times New Roman" w:eastAsia="Times New Roman" w:hAnsi="Times New Roman"/>
          <w:sz w:val="20"/>
          <w:szCs w:val="20"/>
          <w:i w:val="1"/>
          <w:iCs w:val="1"/>
          <w:color w:val="auto"/>
        </w:rPr>
        <w:t>clusters a priori</w:t>
      </w:r>
      <w:r>
        <w:rPr>
          <w:rFonts w:ascii="Times New Roman" w:cs="Times New Roman" w:eastAsia="Times New Roman" w:hAnsi="Times New Roman"/>
          <w:sz w:val="20"/>
          <w:szCs w:val="20"/>
          <w:color w:val="auto"/>
        </w:rPr>
        <w:t>; 3) una combinación de ambos. En el ac no hay distinción entre las variables dependientes y las variables independientes, que pueden ser continuas o categóricas; sin embargo, usualmente el grupo de datos contiene variables continuas o categóricas. El único requisito del grupo de datos es que todos los individuos sean medidos con las mismas variables. El</w:t>
      </w:r>
    </w:p>
    <w:p>
      <w:pPr>
        <w:sectPr>
          <w:pgSz w:w="9360" w:h="13039" w:orient="portrait"/>
          <w:cols w:equalWidth="0" w:num="1">
            <w:col w:w="7200"/>
          </w:cols>
          <w:pgMar w:left="1080" w:top="878" w:right="1080" w:bottom="437" w:gutter="0" w:footer="0" w:header="0"/>
        </w:sectPr>
      </w:pPr>
    </w:p>
    <w:p>
      <w:pPr>
        <w:spacing w:after="0" w:line="200" w:lineRule="exact"/>
        <w:rPr>
          <w:sz w:val="20"/>
          <w:szCs w:val="20"/>
          <w:color w:val="auto"/>
        </w:rPr>
      </w:pPr>
    </w:p>
    <w:p>
      <w:pPr>
        <w:spacing w:after="0" w:line="338"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1" name="Shape 2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1" o:spid="_x0000_s104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2" name="Shape 2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2" o:spid="_x0000_s104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3" name="Shape 2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3" o:spid="_x0000_s104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15" w:name="page16"/>
    <w:bookmarkEnd w:id="15"/>
    <w:tbl>
      <w:tblPr>
        <w:tblLayout w:type="fixed"/>
        <w:tblInd w:w="2000" w:type="dxa"/>
        <w:tblCellMar>
          <w:top w:w="0" w:type="dxa"/>
          <w:left w:w="0" w:type="dxa"/>
          <w:bottom w:w="0" w:type="dxa"/>
          <w:right w:w="0" w:type="dxa"/>
        </w:tblCellMar>
      </w:tblPr>
      <w:tr>
        <w:trPr>
          <w:trHeight w:val="222"/>
        </w:trPr>
        <w:tc>
          <w:tcPr>
            <w:tcW w:w="4120" w:type="dxa"/>
            <w:vAlign w:val="bottom"/>
          </w:tcPr>
          <w:p>
            <w:pPr>
              <w:spacing w:after="0"/>
              <w:rPr>
                <w:sz w:val="20"/>
                <w:szCs w:val="20"/>
                <w:color w:val="auto"/>
              </w:rPr>
            </w:pPr>
            <w:r>
              <w:rPr>
                <w:rFonts w:ascii="Arial Narrow" w:cs="Arial Narrow" w:eastAsia="Arial Narrow" w:hAnsi="Arial Narrow"/>
                <w:sz w:val="11"/>
                <w:szCs w:val="11"/>
                <w:color w:val="auto"/>
              </w:rPr>
              <w:t>algunos aspectos relacionados con la ecomorfología</w:t>
            </w:r>
          </w:p>
        </w:tc>
        <w:tc>
          <w:tcPr>
            <w:tcW w:w="1080" w:type="dxa"/>
            <w:vAlign w:val="bottom"/>
          </w:tcPr>
          <w:p>
            <w:pPr>
              <w:jc w:val="right"/>
              <w:spacing w:after="0"/>
              <w:rPr>
                <w:sz w:val="20"/>
                <w:szCs w:val="20"/>
                <w:color w:val="auto"/>
              </w:rPr>
            </w:pPr>
            <w:r>
              <w:rPr>
                <w:rFonts w:ascii="Arial Narrow" w:cs="Arial Narrow" w:eastAsia="Arial Narrow" w:hAnsi="Arial Narrow"/>
                <w:sz w:val="16"/>
                <w:szCs w:val="16"/>
                <w:color w:val="auto"/>
              </w:rPr>
              <w:t>15</w:t>
            </w:r>
          </w:p>
        </w:tc>
      </w:tr>
    </w:tbl>
    <w:p>
      <w:pPr>
        <w:spacing w:after="0" w:line="200" w:lineRule="exact"/>
        <w:rPr>
          <w:sz w:val="20"/>
          <w:szCs w:val="20"/>
          <w:color w:val="auto"/>
        </w:rPr>
      </w:pPr>
    </w:p>
    <w:p>
      <w:pPr>
        <w:spacing w:after="0" w:line="309"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 xml:space="preserve">ac es poco común en los estudios biológicos; no obstante, se utiliza para evaluar las interacciones de la especie con su hábitat, pues el objetivo es agrupar las especies con requerimientos de hábitats similares (McGarigal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2000).</w:t>
      </w:r>
    </w:p>
    <w:p>
      <w:pPr>
        <w:spacing w:after="0" w:line="2" w:lineRule="exact"/>
        <w:rPr>
          <w:sz w:val="20"/>
          <w:szCs w:val="20"/>
          <w:color w:val="auto"/>
        </w:rPr>
      </w:pPr>
    </w:p>
    <w:p>
      <w:pPr>
        <w:jc w:val="both"/>
        <w:ind w:firstLine="360"/>
        <w:spacing w:after="0" w:line="333" w:lineRule="auto"/>
        <w:rPr>
          <w:sz w:val="20"/>
          <w:szCs w:val="20"/>
          <w:color w:val="auto"/>
        </w:rPr>
      </w:pPr>
      <w:r>
        <w:rPr>
          <w:rFonts w:ascii="Times New Roman" w:cs="Times New Roman" w:eastAsia="Times New Roman" w:hAnsi="Times New Roman"/>
          <w:sz w:val="20"/>
          <w:szCs w:val="20"/>
          <w:i w:val="1"/>
          <w:iCs w:val="1"/>
          <w:color w:val="auto"/>
        </w:rPr>
        <w:t xml:space="preserve">Análisis de correlación canónica </w:t>
      </w:r>
      <w:r>
        <w:rPr>
          <w:rFonts w:ascii="Times New Roman" w:cs="Times New Roman" w:eastAsia="Times New Roman" w:hAnsi="Times New Roman"/>
          <w:sz w:val="20"/>
          <w:szCs w:val="20"/>
          <w:color w:val="auto"/>
        </w:rPr>
        <w:t>(Cancor). En los estudios biológicos, generalmente,</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se investigan de manera simultánea diversos tipos de variables ambientales o factores, a pesar de que muchas veces es importante determinar cuáles variables influyen más en la distribución de las especies. En otras palabras, de un gran grupo de factores sólo un pequeño grupo de ellos contribuye a la distribución de las especies; de manera que los ecólogos están interesados en relacionar estos patrones en la distribución de los organismos con los patrones ambientales, o bien, de forma general, relacionar los valores de un grupo de variables con un segundo grupo de variables.</w:t>
      </w:r>
    </w:p>
    <w:p>
      <w:pPr>
        <w:spacing w:after="0" w:line="7" w:lineRule="exact"/>
        <w:rPr>
          <w:sz w:val="20"/>
          <w:szCs w:val="20"/>
          <w:color w:val="auto"/>
        </w:rPr>
      </w:pPr>
    </w:p>
    <w:p>
      <w:pPr>
        <w:jc w:val="both"/>
        <w:ind w:firstLine="360"/>
        <w:spacing w:after="0" w:line="315" w:lineRule="auto"/>
        <w:rPr>
          <w:sz w:val="20"/>
          <w:szCs w:val="20"/>
          <w:color w:val="auto"/>
        </w:rPr>
      </w:pPr>
      <w:r>
        <w:rPr>
          <w:rFonts w:ascii="Times New Roman" w:cs="Times New Roman" w:eastAsia="Times New Roman" w:hAnsi="Times New Roman"/>
          <w:sz w:val="22"/>
          <w:szCs w:val="22"/>
          <w:color w:val="auto"/>
        </w:rPr>
        <w:t>El acp examina las relaciones dentro de un grupo de variables; el afd evalúa las relaciones entre diferentes poblaciones, pero sólo con un grupo de variables, y el Cancor permite analizar las interacciones entre dos o más grupos de variables.</w:t>
      </w:r>
    </w:p>
    <w:p>
      <w:pPr>
        <w:spacing w:after="0" w:line="200" w:lineRule="exact"/>
        <w:rPr>
          <w:sz w:val="20"/>
          <w:szCs w:val="20"/>
          <w:color w:val="auto"/>
        </w:rPr>
      </w:pPr>
    </w:p>
    <w:p>
      <w:pPr>
        <w:spacing w:after="0" w:line="200" w:lineRule="exact"/>
        <w:rPr>
          <w:sz w:val="20"/>
          <w:szCs w:val="20"/>
          <w:color w:val="auto"/>
        </w:rPr>
      </w:pPr>
    </w:p>
    <w:p>
      <w:pPr>
        <w:spacing w:after="0" w:line="204"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Morfometría geométrica</w:t>
      </w:r>
    </w:p>
    <w:p>
      <w:pPr>
        <w:spacing w:after="0" w:line="387" w:lineRule="exact"/>
        <w:rPr>
          <w:sz w:val="20"/>
          <w:szCs w:val="20"/>
          <w:color w:val="auto"/>
        </w:rPr>
      </w:pPr>
    </w:p>
    <w:p>
      <w:pPr>
        <w:jc w:val="both"/>
        <w:spacing w:after="0" w:line="321" w:lineRule="auto"/>
        <w:rPr>
          <w:sz w:val="20"/>
          <w:szCs w:val="20"/>
          <w:color w:val="auto"/>
        </w:rPr>
      </w:pPr>
      <w:r>
        <w:rPr>
          <w:rFonts w:ascii="Times New Roman" w:cs="Times New Roman" w:eastAsia="Times New Roman" w:hAnsi="Times New Roman"/>
          <w:sz w:val="21"/>
          <w:szCs w:val="21"/>
          <w:color w:val="auto"/>
        </w:rPr>
        <w:t xml:space="preserve">Tradicionalmente, los estudios morfométricos se basaron en el estudio de variables lineales cuantitativas, tales como ancho, longitud y altura (Zelditch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xml:space="preserve">, 2004). Este enfoque, llamado en la actualidad morfometría clásica, morfometría tradicional (Marcus, 1990; Reyment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1984) o morfometría multivariante (Blackith y Reyment, 1971), consiste en aplicar métodos estadísticos multivariados a un conjunto de variables morfológicas, por lo que se define como el estudio de la variación en la forma y su covariación con otras variables (Bookstein, 1991; Dryden y Mardia, 1998). En un estudio de morfología clásica, la forma y el tamaño del objeto son calculados a partir de un conjunto de variables cuantitativas (longitudes, anchuras, alturas o ángulos) sobre las cuales se aplican análisis estadísticos multivariantes destinados a condensar o resumir el cambio producido en el espacio multidimensional y transformarlo o traducirlo en unos pocos parámetros que expliquen la variación (Bookstein, 1991).</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46"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16" w:name="page17"/>
    <w:bookmarkEnd w:id="16"/>
    <w:p>
      <w:pPr>
        <w:spacing w:after="0" w:line="239" w:lineRule="auto"/>
        <w:tabs>
          <w:tab w:leader="none" w:pos="1940" w:val="left"/>
        </w:tabs>
        <w:rPr>
          <w:sz w:val="20"/>
          <w:szCs w:val="20"/>
          <w:color w:val="auto"/>
        </w:rPr>
      </w:pPr>
      <w:r>
        <w:rPr>
          <w:rFonts w:ascii="Arial Narrow" w:cs="Arial Narrow" w:eastAsia="Arial Narrow" w:hAnsi="Arial Narrow"/>
          <w:sz w:val="16"/>
          <w:szCs w:val="16"/>
          <w:color w:val="auto"/>
        </w:rPr>
        <w:t>16</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p>
    <w:p>
      <w:pPr>
        <w:spacing w:after="0" w:line="376"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 xml:space="preserve">En la década de los noventa, se produjo una revolución en el análisis de la forma, debido, principalmente, al desarrollo y aplicación de métodos geométricos basados en coordenadas de puntos anatómicos. Estos métodos determinan la geometría de las estructuras morfológicas conservando la información básica a lo largo de todo el análisis estadístico. Esta aproximación se denomina </w:t>
      </w:r>
      <w:r>
        <w:rPr>
          <w:rFonts w:ascii="Times New Roman" w:cs="Times New Roman" w:eastAsia="Times New Roman" w:hAnsi="Times New Roman"/>
          <w:sz w:val="21"/>
          <w:szCs w:val="21"/>
          <w:i w:val="1"/>
          <w:iCs w:val="1"/>
          <w:color w:val="auto"/>
        </w:rPr>
        <w:t>morfometría geométrica</w:t>
      </w:r>
      <w:r>
        <w:rPr>
          <w:rFonts w:ascii="Times New Roman" w:cs="Times New Roman" w:eastAsia="Times New Roman" w:hAnsi="Times New Roman"/>
          <w:sz w:val="21"/>
          <w:szCs w:val="21"/>
          <w:color w:val="auto"/>
        </w:rPr>
        <w:t xml:space="preserve"> (Rohlf y Marcus, 1993) y se define como la fusión entre geometría y biología; comprende el estudio de la forma en un espacio bi o tridimensional (Bookstein, 1982), lo que permite investigar a profundidad los cambios morfológicos.</w:t>
      </w: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 xml:space="preserve">El estudio de la forma ha ocupado un lugar fundamental en las ciencias biológicas desde su conformación. En el marco de la morfometría, la forma de un organismo se define como la variación que resta después de que el tamaño ha sido removido (Jungers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xml:space="preserve"> 1995). Muchas preguntas biológicas involucra el estudio de la forma (Adams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xml:space="preserve"> 2004; Slice, 2007): ¿cuál es la variación morfológica entre y dentro de un conjunto de individuos, poblaciones o especies?, ¿cuál es la relación entre la forma de una estructura y un conjunto de variables ambientales?, ¿cómo se modifica la forma de una estructura durante la vida de un organismo, o cuál es la asociación de la misma con el crecimiento del individuo?, ¿cómo se mapea la variación morfológica en la variación molecular o genética?</w:t>
      </w: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La morfometría geométrica se enfoca en la geometría de la forma estimándola a partir de la localización relativa de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xml:space="preserve">, puntos anatómicos homólogos identificados por alguna característica constante (rasgo o estructura) de la morfología. Esto implica que, al establecer un grupo de puntos homólogos en dos morfos, estos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xml:space="preserve"> podrán ubicarse sin lugar a dudas en dichos individuos (Strauss y Bookstein, 1982).</w:t>
      </w:r>
    </w:p>
    <w:p>
      <w:pPr>
        <w:spacing w:after="0" w:line="4" w:lineRule="exact"/>
        <w:rPr>
          <w:sz w:val="20"/>
          <w:szCs w:val="20"/>
          <w:color w:val="auto"/>
        </w:rPr>
      </w:pPr>
    </w:p>
    <w:p>
      <w:pPr>
        <w:jc w:val="both"/>
        <w:ind w:firstLine="360"/>
        <w:spacing w:after="0" w:line="342" w:lineRule="auto"/>
        <w:rPr>
          <w:sz w:val="20"/>
          <w:szCs w:val="20"/>
          <w:color w:val="auto"/>
        </w:rPr>
      </w:pPr>
      <w:r>
        <w:rPr>
          <w:rFonts w:ascii="Times New Roman" w:cs="Times New Roman" w:eastAsia="Times New Roman" w:hAnsi="Times New Roman"/>
          <w:sz w:val="20"/>
          <w:szCs w:val="20"/>
          <w:color w:val="auto"/>
        </w:rPr>
        <w:t>Por lo general, las variables usadas en análisis de morfometría geométrica son distancias entre puntos (</w:t>
      </w:r>
      <w:r>
        <w:rPr>
          <w:rFonts w:ascii="Times New Roman" w:cs="Times New Roman" w:eastAsia="Times New Roman" w:hAnsi="Times New Roman"/>
          <w:sz w:val="20"/>
          <w:szCs w:val="20"/>
          <w:i w:val="1"/>
          <w:iCs w:val="1"/>
          <w:color w:val="auto"/>
        </w:rPr>
        <w:t>landmarks</w:t>
      </w:r>
      <w:r>
        <w:rPr>
          <w:rFonts w:ascii="Times New Roman" w:cs="Times New Roman" w:eastAsia="Times New Roman" w:hAnsi="Times New Roman"/>
          <w:sz w:val="20"/>
          <w:szCs w:val="20"/>
          <w:color w:val="auto"/>
        </w:rPr>
        <w:t xml:space="preserve">) y éstas se miden directamente en el organismo. Lo anterior es posible usando y teniendo la disponibilidad de imágenes digitales sobre las cuales se examinan los caracteres de interés. Esto es una ventaja importante, ya que las variables no son todas lineales, es decir, se pueden marcar tantos puntos como sean necesarios para observar alguna variación sobre la forma del organismo (Zelditch </w:t>
      </w:r>
      <w:r>
        <w:rPr>
          <w:rFonts w:ascii="Times New Roman" w:cs="Times New Roman" w:eastAsia="Times New Roman" w:hAnsi="Times New Roman"/>
          <w:sz w:val="20"/>
          <w:szCs w:val="20"/>
          <w:i w:val="1"/>
          <w:iCs w:val="1"/>
          <w:color w:val="auto"/>
        </w:rPr>
        <w:t xml:space="preserve">et al., </w:t>
      </w:r>
      <w:r>
        <w:rPr>
          <w:rFonts w:ascii="Times New Roman" w:cs="Times New Roman" w:eastAsia="Times New Roman" w:hAnsi="Times New Roman"/>
          <w:sz w:val="20"/>
          <w:szCs w:val="20"/>
          <w:color w:val="auto"/>
        </w:rPr>
        <w:t>2004). Capturar imágenes de los ejemplares tiene varias ventajas: a) evaluar un</w:t>
      </w:r>
    </w:p>
    <w:p>
      <w:pPr>
        <w:sectPr>
          <w:pgSz w:w="9360" w:h="13039" w:orient="portrait"/>
          <w:cols w:equalWidth="0" w:num="1">
            <w:col w:w="7200"/>
          </w:cols>
          <w:pgMar w:left="1080" w:top="878" w:right="1080" w:bottom="437" w:gutter="0" w:footer="0" w:header="0"/>
        </w:sectPr>
      </w:pPr>
    </w:p>
    <w:p>
      <w:pPr>
        <w:spacing w:after="0" w:line="200" w:lineRule="exact"/>
        <w:rPr>
          <w:sz w:val="20"/>
          <w:szCs w:val="20"/>
          <w:color w:val="auto"/>
        </w:rPr>
      </w:pPr>
    </w:p>
    <w:p>
      <w:pPr>
        <w:spacing w:after="0" w:line="330"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4" name="Shape 2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4" o:spid="_x0000_s104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5" name="Shape 2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5" o:spid="_x0000_s105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6" name="Shape 2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6" o:spid="_x0000_s105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17" w:name="page18"/>
    <w:bookmarkEnd w:id="17"/>
    <w:tbl>
      <w:tblPr>
        <w:tblLayout w:type="fixed"/>
        <w:tblInd w:w="2000" w:type="dxa"/>
        <w:tblCellMar>
          <w:top w:w="0" w:type="dxa"/>
          <w:left w:w="0" w:type="dxa"/>
          <w:bottom w:w="0" w:type="dxa"/>
          <w:right w:w="0" w:type="dxa"/>
        </w:tblCellMar>
      </w:tblPr>
      <w:tr>
        <w:trPr>
          <w:trHeight w:val="222"/>
        </w:trPr>
        <w:tc>
          <w:tcPr>
            <w:tcW w:w="4120" w:type="dxa"/>
            <w:vAlign w:val="bottom"/>
          </w:tcPr>
          <w:p>
            <w:pPr>
              <w:spacing w:after="0"/>
              <w:rPr>
                <w:sz w:val="20"/>
                <w:szCs w:val="20"/>
                <w:color w:val="auto"/>
              </w:rPr>
            </w:pPr>
            <w:r>
              <w:rPr>
                <w:rFonts w:ascii="Arial Narrow" w:cs="Arial Narrow" w:eastAsia="Arial Narrow" w:hAnsi="Arial Narrow"/>
                <w:sz w:val="11"/>
                <w:szCs w:val="11"/>
                <w:color w:val="auto"/>
              </w:rPr>
              <w:t>algunos aspectos relacionados con la ecomorfología</w:t>
            </w:r>
          </w:p>
        </w:tc>
        <w:tc>
          <w:tcPr>
            <w:tcW w:w="1080" w:type="dxa"/>
            <w:vAlign w:val="bottom"/>
          </w:tcPr>
          <w:p>
            <w:pPr>
              <w:jc w:val="right"/>
              <w:spacing w:after="0"/>
              <w:rPr>
                <w:sz w:val="20"/>
                <w:szCs w:val="20"/>
                <w:color w:val="auto"/>
              </w:rPr>
            </w:pPr>
            <w:r>
              <w:rPr>
                <w:rFonts w:ascii="Arial Narrow" w:cs="Arial Narrow" w:eastAsia="Arial Narrow" w:hAnsi="Arial Narrow"/>
                <w:sz w:val="16"/>
                <w:szCs w:val="16"/>
                <w:color w:val="auto"/>
              </w:rPr>
              <w:t>17</w:t>
            </w:r>
          </w:p>
        </w:tc>
      </w:tr>
    </w:tbl>
    <w:p>
      <w:pPr>
        <w:spacing w:after="0" w:line="200" w:lineRule="exact"/>
        <w:rPr>
          <w:sz w:val="20"/>
          <w:szCs w:val="20"/>
          <w:color w:val="auto"/>
        </w:rPr>
      </w:pPr>
    </w:p>
    <w:p>
      <w:pPr>
        <w:spacing w:after="0" w:line="309"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grupo de variables diferentes a las seleccionadas originalmente; b) analizar caracteres que no se observan a simple vista o que al medirlos presentan un margen de error alto, y c) la medida de distancias lineales entre y con varios ejemplares incrementa el error en los resultados (Rohlf, 1990).</w:t>
      </w:r>
    </w:p>
    <w:p>
      <w:pPr>
        <w:spacing w:after="0" w:line="2"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 xml:space="preserve">En el mismo contexto de los </w:t>
      </w:r>
      <w:r>
        <w:rPr>
          <w:rFonts w:ascii="Times New Roman" w:cs="Times New Roman" w:eastAsia="Times New Roman" w:hAnsi="Times New Roman"/>
          <w:sz w:val="21"/>
          <w:szCs w:val="21"/>
          <w:i w:val="1"/>
          <w:iCs w:val="1"/>
          <w:color w:val="auto"/>
        </w:rPr>
        <w:t>landmarks</w:t>
      </w:r>
      <w:r>
        <w:rPr>
          <w:rFonts w:ascii="Times New Roman" w:cs="Times New Roman" w:eastAsia="Times New Roman" w:hAnsi="Times New Roman"/>
          <w:sz w:val="21"/>
          <w:szCs w:val="21"/>
          <w:color w:val="auto"/>
        </w:rPr>
        <w:t xml:space="preserve">, es posible evaluar la curvatura de una estructura; para ello es necesario identificar puntos en la curva que se puedan tratar como </w:t>
      </w:r>
      <w:r>
        <w:rPr>
          <w:rFonts w:ascii="Times New Roman" w:cs="Times New Roman" w:eastAsia="Times New Roman" w:hAnsi="Times New Roman"/>
          <w:sz w:val="21"/>
          <w:szCs w:val="21"/>
          <w:i w:val="1"/>
          <w:iCs w:val="1"/>
          <w:color w:val="auto"/>
        </w:rPr>
        <w:t>landmarks</w:t>
      </w:r>
      <w:r>
        <w:rPr>
          <w:rFonts w:ascii="Times New Roman" w:cs="Times New Roman" w:eastAsia="Times New Roman" w:hAnsi="Times New Roman"/>
          <w:sz w:val="21"/>
          <w:szCs w:val="21"/>
          <w:color w:val="auto"/>
        </w:rPr>
        <w:t xml:space="preserve">, los cuales se llaman </w:t>
      </w:r>
      <w:r>
        <w:rPr>
          <w:rFonts w:ascii="Times New Roman" w:cs="Times New Roman" w:eastAsia="Times New Roman" w:hAnsi="Times New Roman"/>
          <w:sz w:val="21"/>
          <w:szCs w:val="21"/>
          <w:i w:val="1"/>
          <w:iCs w:val="1"/>
          <w:color w:val="auto"/>
        </w:rPr>
        <w:t>semilandmarks</w:t>
      </w:r>
      <w:r>
        <w:rPr>
          <w:rFonts w:ascii="Times New Roman" w:cs="Times New Roman" w:eastAsia="Times New Roman" w:hAnsi="Times New Roman"/>
          <w:sz w:val="21"/>
          <w:szCs w:val="21"/>
          <w:color w:val="auto"/>
        </w:rPr>
        <w:t xml:space="preserve"> (Bookstein, 1997). Finalmente, los datos morfométricos se analizan con métodos estadísticos multivariados que permiten cuantificar la formación de grupos entre o dentro de las poblaciones con base en las deformaciones que muestren los organismos (Zelditch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2004).</w:t>
      </w:r>
    </w:p>
    <w:p>
      <w:pPr>
        <w:jc w:val="both"/>
        <w:ind w:firstLine="360"/>
        <w:spacing w:after="0" w:line="299" w:lineRule="auto"/>
        <w:rPr>
          <w:sz w:val="20"/>
          <w:szCs w:val="20"/>
          <w:color w:val="auto"/>
        </w:rPr>
      </w:pPr>
      <w:r>
        <w:rPr>
          <w:rFonts w:ascii="Times New Roman" w:cs="Times New Roman" w:eastAsia="Times New Roman" w:hAnsi="Times New Roman"/>
          <w:sz w:val="22"/>
          <w:szCs w:val="22"/>
          <w:color w:val="auto"/>
        </w:rPr>
        <w:t xml:space="preserve">La aparición de estos métodos analíticos y gráficos que posibilitan observar los cambios espaciales desde una óptica estadística es un paso fundamental en el desarrollo de un método biológico. En resumen, la morfometría geométrica brinda una aproximación minuciosa y potente del cambio en la forma, lo que se deberá tener presente en análisis futuros (Van der Molen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2007).</w:t>
      </w:r>
    </w:p>
    <w:p>
      <w:pPr>
        <w:spacing w:after="0" w:line="200" w:lineRule="exact"/>
        <w:rPr>
          <w:sz w:val="20"/>
          <w:szCs w:val="20"/>
          <w:color w:val="auto"/>
        </w:rPr>
      </w:pPr>
    </w:p>
    <w:p>
      <w:pPr>
        <w:spacing w:after="0" w:line="200" w:lineRule="exact"/>
        <w:rPr>
          <w:sz w:val="20"/>
          <w:szCs w:val="20"/>
          <w:color w:val="auto"/>
        </w:rPr>
      </w:pPr>
    </w:p>
    <w:p>
      <w:pPr>
        <w:spacing w:after="0" w:line="266"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Referencias</w:t>
      </w:r>
    </w:p>
    <w:p>
      <w:pPr>
        <w:spacing w:after="0" w:line="200" w:lineRule="exact"/>
        <w:rPr>
          <w:sz w:val="20"/>
          <w:szCs w:val="20"/>
          <w:color w:val="auto"/>
        </w:rPr>
      </w:pPr>
    </w:p>
    <w:p>
      <w:pPr>
        <w:spacing w:after="0" w:line="201" w:lineRule="exact"/>
        <w:rPr>
          <w:sz w:val="20"/>
          <w:szCs w:val="20"/>
          <w:color w:val="auto"/>
        </w:rPr>
      </w:pPr>
    </w:p>
    <w:p>
      <w:pPr>
        <w:jc w:val="both"/>
        <w:ind w:left="360" w:hanging="359"/>
        <w:spacing w:after="0" w:line="318" w:lineRule="auto"/>
        <w:rPr>
          <w:sz w:val="20"/>
          <w:szCs w:val="20"/>
          <w:color w:val="auto"/>
        </w:rPr>
      </w:pPr>
      <w:r>
        <w:rPr>
          <w:rFonts w:ascii="Times New Roman" w:cs="Times New Roman" w:eastAsia="Times New Roman" w:hAnsi="Times New Roman"/>
          <w:sz w:val="21"/>
          <w:szCs w:val="21"/>
          <w:color w:val="auto"/>
        </w:rPr>
        <w:t xml:space="preserve">Adams, D. C., F. J. Rohlf y D. E. Slice (2004), “Geometric morphometrics: ten years of progress following the revolution”, </w:t>
      </w:r>
      <w:r>
        <w:rPr>
          <w:rFonts w:ascii="Times New Roman" w:cs="Times New Roman" w:eastAsia="Times New Roman" w:hAnsi="Times New Roman"/>
          <w:sz w:val="21"/>
          <w:szCs w:val="21"/>
          <w:i w:val="1"/>
          <w:iCs w:val="1"/>
          <w:color w:val="auto"/>
        </w:rPr>
        <w:t>Italian Journal of Zoology,</w:t>
      </w:r>
      <w:r>
        <w:rPr>
          <w:rFonts w:ascii="Times New Roman" w:cs="Times New Roman" w:eastAsia="Times New Roman" w:hAnsi="Times New Roman"/>
          <w:sz w:val="21"/>
          <w:szCs w:val="21"/>
          <w:color w:val="auto"/>
        </w:rPr>
        <w:t xml:space="preserve"> 71, pp. 5-16.</w:t>
      </w: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Arnold, S. J. (1983), “Morphology performance and fitness”, </w:t>
      </w:r>
      <w:r>
        <w:rPr>
          <w:rFonts w:ascii="Times New Roman" w:cs="Times New Roman" w:eastAsia="Times New Roman" w:hAnsi="Times New Roman"/>
          <w:sz w:val="22"/>
          <w:szCs w:val="22"/>
          <w:i w:val="1"/>
          <w:iCs w:val="1"/>
          <w:color w:val="auto"/>
        </w:rPr>
        <w:t>Amer. Zool</w:t>
      </w:r>
      <w:r>
        <w:rPr>
          <w:rFonts w:ascii="Times New Roman" w:cs="Times New Roman" w:eastAsia="Times New Roman" w:hAnsi="Times New Roman"/>
          <w:sz w:val="22"/>
          <w:szCs w:val="22"/>
          <w:color w:val="auto"/>
        </w:rPr>
        <w:t>.</w:t>
      </w:r>
      <w:r>
        <w:rPr>
          <w:rFonts w:ascii="Times New Roman" w:cs="Times New Roman" w:eastAsia="Times New Roman" w:hAnsi="Times New Roman"/>
          <w:sz w:val="22"/>
          <w:szCs w:val="22"/>
          <w:i w:val="1"/>
          <w:iCs w:val="1"/>
          <w:color w:val="auto"/>
        </w:rPr>
        <w:t>,</w:t>
      </w:r>
      <w:r>
        <w:rPr>
          <w:rFonts w:ascii="Times New Roman" w:cs="Times New Roman" w:eastAsia="Times New Roman" w:hAnsi="Times New Roman"/>
          <w:sz w:val="22"/>
          <w:szCs w:val="22"/>
          <w:color w:val="auto"/>
        </w:rPr>
        <w:t xml:space="preserve"> 23, pp. 347-361.</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Blackith, R. E. y R. A. Reyment (1971), </w:t>
      </w:r>
      <w:r>
        <w:rPr>
          <w:rFonts w:ascii="Times New Roman" w:cs="Times New Roman" w:eastAsia="Times New Roman" w:hAnsi="Times New Roman"/>
          <w:sz w:val="22"/>
          <w:szCs w:val="22"/>
          <w:i w:val="1"/>
          <w:iCs w:val="1"/>
          <w:color w:val="auto"/>
        </w:rPr>
        <w:t>Multivariate morphometrics</w:t>
      </w:r>
      <w:r>
        <w:rPr>
          <w:rFonts w:ascii="Times New Roman" w:cs="Times New Roman" w:eastAsia="Times New Roman" w:hAnsi="Times New Roman"/>
          <w:sz w:val="22"/>
          <w:szCs w:val="22"/>
          <w:color w:val="auto"/>
        </w:rPr>
        <w:t>, Nueva York, Academic Press.</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Bock, W. J. (1977), “Toward an ecological morphology”, </w:t>
      </w:r>
      <w:r>
        <w:rPr>
          <w:rFonts w:ascii="Times New Roman" w:cs="Times New Roman" w:eastAsia="Times New Roman" w:hAnsi="Times New Roman"/>
          <w:sz w:val="22"/>
          <w:szCs w:val="22"/>
          <w:i w:val="1"/>
          <w:iCs w:val="1"/>
          <w:color w:val="auto"/>
        </w:rPr>
        <w:t>Vogelwarte,</w:t>
      </w:r>
      <w:r>
        <w:rPr>
          <w:rFonts w:ascii="Times New Roman" w:cs="Times New Roman" w:eastAsia="Times New Roman" w:hAnsi="Times New Roman"/>
          <w:sz w:val="22"/>
          <w:szCs w:val="22"/>
          <w:color w:val="auto"/>
        </w:rPr>
        <w:t xml:space="preserve"> 29, pp. 127-135.</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 (1980), “The definition and recognition of biological adaptation”, </w:t>
      </w:r>
      <w:r>
        <w:rPr>
          <w:rFonts w:ascii="Times New Roman" w:cs="Times New Roman" w:eastAsia="Times New Roman" w:hAnsi="Times New Roman"/>
          <w:sz w:val="22"/>
          <w:szCs w:val="22"/>
          <w:i w:val="1"/>
          <w:iCs w:val="1"/>
          <w:color w:val="auto"/>
        </w:rPr>
        <w:t>Amer.</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Zool</w:t>
      </w:r>
      <w:r>
        <w:rPr>
          <w:rFonts w:ascii="Times New Roman" w:cs="Times New Roman" w:eastAsia="Times New Roman" w:hAnsi="Times New Roman"/>
          <w:sz w:val="22"/>
          <w:szCs w:val="22"/>
          <w:color w:val="auto"/>
        </w:rPr>
        <w:t>., 20, pp. 217-227.</w:t>
      </w:r>
    </w:p>
    <w:p>
      <w:pPr>
        <w:spacing w:after="0" w:line="1" w:lineRule="exact"/>
        <w:rPr>
          <w:sz w:val="20"/>
          <w:szCs w:val="20"/>
          <w:color w:val="auto"/>
        </w:rPr>
      </w:pPr>
    </w:p>
    <w:p>
      <w:pPr>
        <w:jc w:val="both"/>
        <w:ind w:left="360" w:hanging="359"/>
        <w:spacing w:after="0" w:line="327" w:lineRule="auto"/>
        <w:rPr>
          <w:sz w:val="20"/>
          <w:szCs w:val="20"/>
          <w:color w:val="auto"/>
        </w:rPr>
      </w:pPr>
      <w:r>
        <w:rPr>
          <w:rFonts w:ascii="Times New Roman" w:cs="Times New Roman" w:eastAsia="Times New Roman" w:hAnsi="Times New Roman"/>
          <w:sz w:val="22"/>
          <w:szCs w:val="22"/>
          <w:color w:val="auto"/>
        </w:rPr>
        <w:t xml:space="preserve">——— (1994), “Concepts and methods in ecomorphology”, </w:t>
      </w:r>
      <w:r>
        <w:rPr>
          <w:rFonts w:ascii="Times New Roman" w:cs="Times New Roman" w:eastAsia="Times New Roman" w:hAnsi="Times New Roman"/>
          <w:sz w:val="22"/>
          <w:szCs w:val="22"/>
          <w:i w:val="1"/>
          <w:iCs w:val="1"/>
          <w:color w:val="auto"/>
        </w:rPr>
        <w:t>J. Biosci</w:t>
      </w:r>
      <w:r>
        <w:rPr>
          <w:rFonts w:ascii="Times New Roman" w:cs="Times New Roman" w:eastAsia="Times New Roman" w:hAnsi="Times New Roman"/>
          <w:sz w:val="22"/>
          <w:szCs w:val="22"/>
          <w:color w:val="auto"/>
        </w:rPr>
        <w:t>., 19, pp. 403-413.</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19"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18" w:name="page19"/>
    <w:bookmarkEnd w:id="18"/>
    <w:p>
      <w:pPr>
        <w:spacing w:after="0" w:line="239" w:lineRule="auto"/>
        <w:tabs>
          <w:tab w:leader="none" w:pos="1940" w:val="left"/>
        </w:tabs>
        <w:rPr>
          <w:sz w:val="20"/>
          <w:szCs w:val="20"/>
          <w:color w:val="auto"/>
        </w:rPr>
      </w:pPr>
      <w:r>
        <w:rPr>
          <w:rFonts w:ascii="Arial Narrow" w:cs="Arial Narrow" w:eastAsia="Arial Narrow" w:hAnsi="Arial Narrow"/>
          <w:sz w:val="16"/>
          <w:szCs w:val="16"/>
          <w:color w:val="auto"/>
        </w:rPr>
        <w:t>18</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p>
    <w:p>
      <w:pPr>
        <w:spacing w:after="0" w:line="376" w:lineRule="exact"/>
        <w:rPr>
          <w:sz w:val="20"/>
          <w:szCs w:val="20"/>
          <w:color w:val="auto"/>
        </w:rPr>
      </w:pPr>
    </w:p>
    <w:p>
      <w:pPr>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Bookstein, F. L. (1982), “Foundations of morphometrics”, </w:t>
      </w:r>
      <w:r>
        <w:rPr>
          <w:rFonts w:ascii="Times New Roman" w:cs="Times New Roman" w:eastAsia="Times New Roman" w:hAnsi="Times New Roman"/>
          <w:sz w:val="22"/>
          <w:szCs w:val="22"/>
          <w:i w:val="1"/>
          <w:iCs w:val="1"/>
          <w:color w:val="auto"/>
        </w:rPr>
        <w:t>Annual Review of Ecology</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and Systematics</w:t>
      </w:r>
      <w:r>
        <w:rPr>
          <w:rFonts w:ascii="Times New Roman" w:cs="Times New Roman" w:eastAsia="Times New Roman" w:hAnsi="Times New Roman"/>
          <w:sz w:val="22"/>
          <w:szCs w:val="22"/>
          <w:color w:val="auto"/>
        </w:rPr>
        <w:t>, 13, pp. 451-470.</w:t>
      </w:r>
    </w:p>
    <w:p>
      <w:pPr>
        <w:spacing w:after="0" w:line="1" w:lineRule="exact"/>
        <w:rPr>
          <w:sz w:val="20"/>
          <w:szCs w:val="20"/>
          <w:color w:val="auto"/>
        </w:rPr>
      </w:pPr>
    </w:p>
    <w:p>
      <w:pPr>
        <w:jc w:val="both"/>
        <w:ind w:left="360" w:hanging="360"/>
        <w:spacing w:after="0" w:line="303" w:lineRule="auto"/>
        <w:rPr>
          <w:sz w:val="20"/>
          <w:szCs w:val="20"/>
          <w:color w:val="auto"/>
        </w:rPr>
      </w:pPr>
      <w:r>
        <w:rPr>
          <w:rFonts w:ascii="Times New Roman" w:cs="Times New Roman" w:eastAsia="Times New Roman" w:hAnsi="Times New Roman"/>
          <w:sz w:val="22"/>
          <w:szCs w:val="22"/>
          <w:color w:val="auto"/>
        </w:rPr>
        <w:t xml:space="preserve">——— (1991), </w:t>
      </w:r>
      <w:r>
        <w:rPr>
          <w:rFonts w:ascii="Times New Roman" w:cs="Times New Roman" w:eastAsia="Times New Roman" w:hAnsi="Times New Roman"/>
          <w:sz w:val="22"/>
          <w:szCs w:val="22"/>
          <w:i w:val="1"/>
          <w:iCs w:val="1"/>
          <w:color w:val="auto"/>
        </w:rPr>
        <w:t>Morphometric tools for landmark data: geometry and biology,</w:t>
      </w:r>
      <w:r>
        <w:rPr>
          <w:rFonts w:ascii="Times New Roman" w:cs="Times New Roman" w:eastAsia="Times New Roman" w:hAnsi="Times New Roman"/>
          <w:sz w:val="22"/>
          <w:szCs w:val="22"/>
          <w:color w:val="auto"/>
        </w:rPr>
        <w:t xml:space="preserve"> Nueva York, Cambridge University Press.</w:t>
      </w:r>
    </w:p>
    <w:p>
      <w:pPr>
        <w:spacing w:after="0" w:line="1" w:lineRule="exact"/>
        <w:rPr>
          <w:sz w:val="20"/>
          <w:szCs w:val="20"/>
          <w:color w:val="auto"/>
        </w:rPr>
      </w:pPr>
    </w:p>
    <w:p>
      <w:pPr>
        <w:jc w:val="both"/>
        <w:spacing w:after="0"/>
        <w:rPr>
          <w:sz w:val="20"/>
          <w:szCs w:val="20"/>
          <w:color w:val="auto"/>
        </w:rPr>
      </w:pPr>
      <w:r>
        <w:rPr>
          <w:rFonts w:ascii="Times New Roman" w:cs="Times New Roman" w:eastAsia="Times New Roman" w:hAnsi="Times New Roman"/>
          <w:sz w:val="22"/>
          <w:szCs w:val="22"/>
          <w:color w:val="auto"/>
        </w:rPr>
        <w:t>——— (1997), “Shape and the information in medical images: a decade of the</w:t>
      </w:r>
    </w:p>
    <w:p>
      <w:pPr>
        <w:spacing w:after="0" w:line="67" w:lineRule="exact"/>
        <w:rPr>
          <w:sz w:val="20"/>
          <w:szCs w:val="20"/>
          <w:color w:val="auto"/>
        </w:rPr>
      </w:pPr>
    </w:p>
    <w:p>
      <w:pPr>
        <w:ind w:left="360"/>
        <w:spacing w:after="0" w:line="303" w:lineRule="auto"/>
        <w:rPr>
          <w:sz w:val="20"/>
          <w:szCs w:val="20"/>
          <w:color w:val="auto"/>
        </w:rPr>
      </w:pPr>
      <w:r>
        <w:rPr>
          <w:rFonts w:ascii="Times New Roman" w:cs="Times New Roman" w:eastAsia="Times New Roman" w:hAnsi="Times New Roman"/>
          <w:sz w:val="22"/>
          <w:szCs w:val="22"/>
          <w:color w:val="auto"/>
        </w:rPr>
        <w:t xml:space="preserve">morphometric synthesis”, </w:t>
      </w:r>
      <w:r>
        <w:rPr>
          <w:rFonts w:ascii="Times New Roman" w:cs="Times New Roman" w:eastAsia="Times New Roman" w:hAnsi="Times New Roman"/>
          <w:sz w:val="22"/>
          <w:szCs w:val="22"/>
          <w:i w:val="1"/>
          <w:iCs w:val="1"/>
          <w:color w:val="auto"/>
        </w:rPr>
        <w:t>Computer Vision and Image Understanding</w:t>
      </w:r>
      <w:r>
        <w:rPr>
          <w:rFonts w:ascii="Times New Roman" w:cs="Times New Roman" w:eastAsia="Times New Roman" w:hAnsi="Times New Roman"/>
          <w:sz w:val="22"/>
          <w:szCs w:val="22"/>
          <w:color w:val="auto"/>
        </w:rPr>
        <w:t>, 66, pp. 97-118.</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Brooks, D. R. y D. A. McLennan (1991), </w:t>
      </w:r>
      <w:r>
        <w:rPr>
          <w:rFonts w:ascii="Times New Roman" w:cs="Times New Roman" w:eastAsia="Times New Roman" w:hAnsi="Times New Roman"/>
          <w:sz w:val="22"/>
          <w:szCs w:val="22"/>
          <w:i w:val="1"/>
          <w:iCs w:val="1"/>
          <w:color w:val="auto"/>
        </w:rPr>
        <w:t>Phylogeny, ecology and behavior</w:t>
      </w:r>
      <w:r>
        <w:rPr>
          <w:rFonts w:ascii="Times New Roman" w:cs="Times New Roman" w:eastAsia="Times New Roman" w:hAnsi="Times New Roman"/>
          <w:sz w:val="22"/>
          <w:szCs w:val="22"/>
          <w:color w:val="auto"/>
        </w:rPr>
        <w:t>, Chicago, University of Chicago Press.</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Dryden, I. L. y K. V. Mardia (1998), </w:t>
      </w:r>
      <w:r>
        <w:rPr>
          <w:rFonts w:ascii="Times New Roman" w:cs="Times New Roman" w:eastAsia="Times New Roman" w:hAnsi="Times New Roman"/>
          <w:sz w:val="22"/>
          <w:szCs w:val="22"/>
          <w:i w:val="1"/>
          <w:iCs w:val="1"/>
          <w:color w:val="auto"/>
        </w:rPr>
        <w:t>Statistical shape analysis</w:t>
      </w:r>
      <w:r>
        <w:rPr>
          <w:rFonts w:ascii="Times New Roman" w:cs="Times New Roman" w:eastAsia="Times New Roman" w:hAnsi="Times New Roman"/>
          <w:sz w:val="22"/>
          <w:szCs w:val="22"/>
          <w:color w:val="auto"/>
        </w:rPr>
        <w:t>, Estados Unidos, John Wiley and Sons.</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Fisher, R. A. (1936), “The use of multiple measurements in taxonomic problems”, </w:t>
      </w:r>
      <w:r>
        <w:rPr>
          <w:rFonts w:ascii="Times New Roman" w:cs="Times New Roman" w:eastAsia="Times New Roman" w:hAnsi="Times New Roman"/>
          <w:sz w:val="22"/>
          <w:szCs w:val="22"/>
          <w:i w:val="1"/>
          <w:iCs w:val="1"/>
          <w:color w:val="auto"/>
        </w:rPr>
        <w:t>Annals of Eugenics</w:t>
      </w:r>
      <w:r>
        <w:rPr>
          <w:rFonts w:ascii="Times New Roman" w:cs="Times New Roman" w:eastAsia="Times New Roman" w:hAnsi="Times New Roman"/>
          <w:sz w:val="22"/>
          <w:szCs w:val="22"/>
          <w:color w:val="auto"/>
        </w:rPr>
        <w:t>, 7(2), pp. 179-188.</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Fürbringer, M. (1888), </w:t>
      </w:r>
      <w:r>
        <w:rPr>
          <w:rFonts w:ascii="Times New Roman" w:cs="Times New Roman" w:eastAsia="Times New Roman" w:hAnsi="Times New Roman"/>
          <w:sz w:val="22"/>
          <w:szCs w:val="22"/>
          <w:i w:val="1"/>
          <w:iCs w:val="1"/>
          <w:color w:val="auto"/>
        </w:rPr>
        <w:t>Untersuchungen zur Morphologie und Systematik der Voegel</w:t>
      </w:r>
      <w:r>
        <w:rPr>
          <w:rFonts w:ascii="Times New Roman" w:cs="Times New Roman" w:eastAsia="Times New Roman" w:hAnsi="Times New Roman"/>
          <w:sz w:val="22"/>
          <w:szCs w:val="22"/>
          <w:color w:val="auto"/>
        </w:rPr>
        <w:t>, Amsterdam, van Halkema.</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Garland Jr., T., P. H. Harvey y A. R. Ives (1992), “Procedures for the analysis of comparative data using phylogenetically independent contrasts”, </w:t>
      </w:r>
      <w:r>
        <w:rPr>
          <w:rFonts w:ascii="Times New Roman" w:cs="Times New Roman" w:eastAsia="Times New Roman" w:hAnsi="Times New Roman"/>
          <w:sz w:val="22"/>
          <w:szCs w:val="22"/>
          <w:i w:val="1"/>
          <w:iCs w:val="1"/>
          <w:color w:val="auto"/>
        </w:rPr>
        <w:t>Syst. Biol</w:t>
      </w:r>
      <w:r>
        <w:rPr>
          <w:rFonts w:ascii="Times New Roman" w:cs="Times New Roman" w:eastAsia="Times New Roman" w:hAnsi="Times New Roman"/>
          <w:sz w:val="22"/>
          <w:szCs w:val="22"/>
          <w:color w:val="auto"/>
        </w:rPr>
        <w:t>., 41, pp. 18-32.</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Harvey, P. H. y M. D. Pagel (1981), </w:t>
      </w:r>
      <w:r>
        <w:rPr>
          <w:rFonts w:ascii="Times New Roman" w:cs="Times New Roman" w:eastAsia="Times New Roman" w:hAnsi="Times New Roman"/>
          <w:sz w:val="22"/>
          <w:szCs w:val="22"/>
          <w:i w:val="1"/>
          <w:iCs w:val="1"/>
          <w:color w:val="auto"/>
        </w:rPr>
        <w:t>The comparative method in evolutionary biology</w:t>
      </w:r>
      <w:r>
        <w:rPr>
          <w:rFonts w:ascii="Times New Roman" w:cs="Times New Roman" w:eastAsia="Times New Roman" w:hAnsi="Times New Roman"/>
          <w:sz w:val="22"/>
          <w:szCs w:val="22"/>
          <w:color w:val="auto"/>
        </w:rPr>
        <w:t>, Nueva York, Oxford University Press.</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Huberty, C. J. (1994), </w:t>
      </w:r>
      <w:r>
        <w:rPr>
          <w:rFonts w:ascii="Times New Roman" w:cs="Times New Roman" w:eastAsia="Times New Roman" w:hAnsi="Times New Roman"/>
          <w:sz w:val="22"/>
          <w:szCs w:val="22"/>
          <w:i w:val="1"/>
          <w:iCs w:val="1"/>
          <w:color w:val="auto"/>
        </w:rPr>
        <w:t>Applied discriminant analysis</w:t>
      </w:r>
      <w:r>
        <w:rPr>
          <w:rFonts w:ascii="Times New Roman" w:cs="Times New Roman" w:eastAsia="Times New Roman" w:hAnsi="Times New Roman"/>
          <w:sz w:val="22"/>
          <w:szCs w:val="22"/>
          <w:color w:val="auto"/>
        </w:rPr>
        <w:t>, Nueva York, John Wiley &amp; Sons, Inc.</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Huey, R. B. y R. D. Stevenson (1979), “Integratin termal physiology and ecology of ectoterms: a discussion of approaches”, </w:t>
      </w:r>
      <w:r>
        <w:rPr>
          <w:rFonts w:ascii="Times New Roman" w:cs="Times New Roman" w:eastAsia="Times New Roman" w:hAnsi="Times New Roman"/>
          <w:sz w:val="22"/>
          <w:szCs w:val="22"/>
          <w:i w:val="1"/>
          <w:iCs w:val="1"/>
          <w:color w:val="auto"/>
        </w:rPr>
        <w:t>Amer. Zool.,</w:t>
      </w:r>
      <w:r>
        <w:rPr>
          <w:rFonts w:ascii="Times New Roman" w:cs="Times New Roman" w:eastAsia="Times New Roman" w:hAnsi="Times New Roman"/>
          <w:sz w:val="22"/>
          <w:szCs w:val="22"/>
          <w:color w:val="auto"/>
        </w:rPr>
        <w:t xml:space="preserve"> 19, pp. 357-366.</w:t>
      </w:r>
    </w:p>
    <w:p>
      <w:pPr>
        <w:spacing w:after="0" w:line="1" w:lineRule="exact"/>
        <w:rPr>
          <w:sz w:val="20"/>
          <w:szCs w:val="20"/>
          <w:color w:val="auto"/>
        </w:rPr>
      </w:pPr>
    </w:p>
    <w:p>
      <w:pPr>
        <w:jc w:val="both"/>
        <w:ind w:left="360" w:hanging="359"/>
        <w:spacing w:after="0" w:line="333" w:lineRule="auto"/>
        <w:rPr>
          <w:sz w:val="20"/>
          <w:szCs w:val="20"/>
          <w:color w:val="auto"/>
        </w:rPr>
      </w:pPr>
      <w:r>
        <w:rPr>
          <w:rFonts w:ascii="Times New Roman" w:cs="Times New Roman" w:eastAsia="Times New Roman" w:hAnsi="Times New Roman"/>
          <w:sz w:val="20"/>
          <w:szCs w:val="20"/>
          <w:color w:val="auto"/>
        </w:rPr>
        <w:t xml:space="preserve">Jungers, W. L., A. Falsetti y C. E. Wall (1995), “Shape, relative size and sizeadjustments in morphometrics”, </w:t>
      </w:r>
      <w:r>
        <w:rPr>
          <w:rFonts w:ascii="Times New Roman" w:cs="Times New Roman" w:eastAsia="Times New Roman" w:hAnsi="Times New Roman"/>
          <w:sz w:val="20"/>
          <w:szCs w:val="20"/>
          <w:i w:val="1"/>
          <w:iCs w:val="1"/>
          <w:color w:val="auto"/>
        </w:rPr>
        <w:t>American Journal of Physical Anthropology,</w:t>
      </w:r>
    </w:p>
    <w:p>
      <w:pPr>
        <w:spacing w:after="0" w:line="2" w:lineRule="exact"/>
        <w:rPr>
          <w:sz w:val="20"/>
          <w:szCs w:val="20"/>
          <w:color w:val="auto"/>
        </w:rPr>
      </w:pPr>
    </w:p>
    <w:p>
      <w:pPr>
        <w:ind w:left="360"/>
        <w:spacing w:after="0"/>
        <w:rPr>
          <w:sz w:val="20"/>
          <w:szCs w:val="20"/>
          <w:color w:val="auto"/>
        </w:rPr>
      </w:pPr>
      <w:r>
        <w:rPr>
          <w:rFonts w:ascii="Times New Roman" w:cs="Times New Roman" w:eastAsia="Times New Roman" w:hAnsi="Times New Roman"/>
          <w:sz w:val="22"/>
          <w:szCs w:val="22"/>
          <w:color w:val="auto"/>
        </w:rPr>
        <w:t>38, pp. 137-161.</w:t>
      </w:r>
    </w:p>
    <w:p>
      <w:pPr>
        <w:spacing w:after="0" w:line="67"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Lande, R. y J. Arnold (1983), “The measurement of selection on correlated characters”, </w:t>
      </w:r>
      <w:r>
        <w:rPr>
          <w:rFonts w:ascii="Times New Roman" w:cs="Times New Roman" w:eastAsia="Times New Roman" w:hAnsi="Times New Roman"/>
          <w:sz w:val="22"/>
          <w:szCs w:val="22"/>
          <w:i w:val="1"/>
          <w:iCs w:val="1"/>
          <w:color w:val="auto"/>
        </w:rPr>
        <w:t>Evolution</w:t>
      </w:r>
      <w:r>
        <w:rPr>
          <w:rFonts w:ascii="Times New Roman" w:cs="Times New Roman" w:eastAsia="Times New Roman" w:hAnsi="Times New Roman"/>
          <w:sz w:val="22"/>
          <w:szCs w:val="22"/>
          <w:color w:val="auto"/>
        </w:rPr>
        <w:t>, 37, pp. 1210-1226.</w:t>
      </w:r>
    </w:p>
    <w:p>
      <w:pPr>
        <w:spacing w:after="0" w:line="1" w:lineRule="exact"/>
        <w:rPr>
          <w:sz w:val="20"/>
          <w:szCs w:val="20"/>
          <w:color w:val="auto"/>
        </w:rPr>
      </w:pPr>
    </w:p>
    <w:p>
      <w:pPr>
        <w:jc w:val="both"/>
        <w:ind w:left="360" w:hanging="359"/>
        <w:spacing w:after="0" w:line="327" w:lineRule="auto"/>
        <w:rPr>
          <w:sz w:val="20"/>
          <w:szCs w:val="20"/>
          <w:color w:val="auto"/>
        </w:rPr>
      </w:pPr>
      <w:r>
        <w:rPr>
          <w:rFonts w:ascii="Times New Roman" w:cs="Times New Roman" w:eastAsia="Times New Roman" w:hAnsi="Times New Roman"/>
          <w:sz w:val="22"/>
          <w:szCs w:val="22"/>
          <w:color w:val="auto"/>
        </w:rPr>
        <w:t xml:space="preserve">Lauder, G. V. (1982), “Historical biology and the problem of design”, </w:t>
      </w:r>
      <w:r>
        <w:rPr>
          <w:rFonts w:ascii="Times New Roman" w:cs="Times New Roman" w:eastAsia="Times New Roman" w:hAnsi="Times New Roman"/>
          <w:sz w:val="22"/>
          <w:szCs w:val="22"/>
          <w:i w:val="1"/>
          <w:iCs w:val="1"/>
          <w:color w:val="auto"/>
        </w:rPr>
        <w:t>J. Theor. Biol.</w:t>
      </w:r>
      <w:r>
        <w:rPr>
          <w:rFonts w:ascii="Times New Roman" w:cs="Times New Roman" w:eastAsia="Times New Roman" w:hAnsi="Times New Roman"/>
          <w:sz w:val="22"/>
          <w:szCs w:val="22"/>
          <w:color w:val="auto"/>
        </w:rPr>
        <w:t>, 97, pp. 57-67.</w:t>
      </w:r>
    </w:p>
    <w:p>
      <w:pPr>
        <w:sectPr>
          <w:pgSz w:w="9360" w:h="13039" w:orient="portrait"/>
          <w:cols w:equalWidth="0" w:num="1">
            <w:col w:w="7200"/>
          </w:cols>
          <w:pgMar w:left="1080" w:top="878" w:right="1080" w:bottom="437" w:gutter="0" w:footer="0" w:header="0"/>
        </w:sectPr>
      </w:pPr>
    </w:p>
    <w:p>
      <w:pPr>
        <w:spacing w:after="0" w:line="200" w:lineRule="exact"/>
        <w:rPr>
          <w:sz w:val="20"/>
          <w:szCs w:val="20"/>
          <w:color w:val="auto"/>
        </w:rPr>
      </w:pPr>
    </w:p>
    <w:p>
      <w:pPr>
        <w:spacing w:after="0" w:line="335"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7" name="Shape 2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7" o:spid="_x0000_s105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8" name="Shape 2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8" o:spid="_x0000_s105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9" name="Shape 2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9" o:spid="_x0000_s105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19" w:name="page20"/>
    <w:bookmarkEnd w:id="19"/>
    <w:tbl>
      <w:tblPr>
        <w:tblLayout w:type="fixed"/>
        <w:tblInd w:w="1640" w:type="dxa"/>
        <w:tblCellMar>
          <w:top w:w="0" w:type="dxa"/>
          <w:left w:w="0" w:type="dxa"/>
          <w:bottom w:w="0" w:type="dxa"/>
          <w:right w:w="0" w:type="dxa"/>
        </w:tblCellMar>
      </w:tblPr>
      <w:tr>
        <w:trPr>
          <w:trHeight w:val="222"/>
        </w:trPr>
        <w:tc>
          <w:tcPr>
            <w:tcW w:w="4120" w:type="dxa"/>
            <w:vAlign w:val="bottom"/>
          </w:tcPr>
          <w:p>
            <w:pPr>
              <w:spacing w:after="0"/>
              <w:rPr>
                <w:sz w:val="20"/>
                <w:szCs w:val="20"/>
                <w:color w:val="auto"/>
              </w:rPr>
            </w:pPr>
            <w:r>
              <w:rPr>
                <w:rFonts w:ascii="Arial Narrow" w:cs="Arial Narrow" w:eastAsia="Arial Narrow" w:hAnsi="Arial Narrow"/>
                <w:sz w:val="11"/>
                <w:szCs w:val="11"/>
                <w:color w:val="auto"/>
              </w:rPr>
              <w:t>algunos aspectos relacionados con la ecomorfología</w:t>
            </w:r>
          </w:p>
        </w:tc>
        <w:tc>
          <w:tcPr>
            <w:tcW w:w="1080" w:type="dxa"/>
            <w:vAlign w:val="bottom"/>
          </w:tcPr>
          <w:p>
            <w:pPr>
              <w:jc w:val="right"/>
              <w:spacing w:after="0"/>
              <w:rPr>
                <w:sz w:val="20"/>
                <w:szCs w:val="20"/>
                <w:color w:val="auto"/>
              </w:rPr>
            </w:pPr>
            <w:r>
              <w:rPr>
                <w:rFonts w:ascii="Arial Narrow" w:cs="Arial Narrow" w:eastAsia="Arial Narrow" w:hAnsi="Arial Narrow"/>
                <w:sz w:val="16"/>
                <w:szCs w:val="16"/>
                <w:color w:val="auto"/>
              </w:rPr>
              <w:t>19</w:t>
            </w:r>
          </w:p>
        </w:tc>
      </w:tr>
    </w:tbl>
    <w:p>
      <w:pPr>
        <w:spacing w:after="0" w:line="200" w:lineRule="exact"/>
        <w:rPr>
          <w:sz w:val="20"/>
          <w:szCs w:val="20"/>
          <w:color w:val="auto"/>
        </w:rPr>
      </w:pPr>
    </w:p>
    <w:p>
      <w:pPr>
        <w:spacing w:after="0" w:line="309"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Marcus, L. F. (1990), “Traditional morphometrics</w:t>
      </w:r>
      <w:r>
        <w:rPr>
          <w:rFonts w:ascii="Times New Roman" w:cs="Times New Roman" w:eastAsia="Times New Roman" w:hAnsi="Times New Roman"/>
          <w:sz w:val="22"/>
          <w:szCs w:val="22"/>
          <w:i w:val="1"/>
          <w:iCs w:val="1"/>
          <w:color w:val="auto"/>
        </w:rPr>
        <w:t>”,</w:t>
      </w:r>
      <w:r>
        <w:rPr>
          <w:rFonts w:ascii="Times New Roman" w:cs="Times New Roman" w:eastAsia="Times New Roman" w:hAnsi="Times New Roman"/>
          <w:sz w:val="22"/>
          <w:szCs w:val="22"/>
          <w:color w:val="auto"/>
        </w:rPr>
        <w:t xml:space="preserve"> en F. J. Rohlf y F. L. Bookstein (eds.), </w:t>
      </w:r>
      <w:r>
        <w:rPr>
          <w:rFonts w:ascii="Times New Roman" w:cs="Times New Roman" w:eastAsia="Times New Roman" w:hAnsi="Times New Roman"/>
          <w:sz w:val="22"/>
          <w:szCs w:val="22"/>
          <w:i w:val="1"/>
          <w:iCs w:val="1"/>
          <w:color w:val="auto"/>
        </w:rPr>
        <w:t>Proceedings of the Michigan morphometrics workshop</w:t>
      </w:r>
      <w:r>
        <w:rPr>
          <w:rFonts w:ascii="Times New Roman" w:cs="Times New Roman" w:eastAsia="Times New Roman" w:hAnsi="Times New Roman"/>
          <w:sz w:val="22"/>
          <w:szCs w:val="22"/>
          <w:color w:val="auto"/>
        </w:rPr>
        <w:t xml:space="preserve"> [Special publication No. 2], Ann Arbor, Michigan, The University of Michigan Museum of Zoology, pp. 77-122.</w:t>
      </w:r>
    </w:p>
    <w:p>
      <w:pPr>
        <w:spacing w:after="0" w:line="2"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Martins, E. P. y T. Garland (1991), “Phylogenetic analyses of the correlated evolution of continuos characters”, </w:t>
      </w:r>
      <w:r>
        <w:rPr>
          <w:rFonts w:ascii="Times New Roman" w:cs="Times New Roman" w:eastAsia="Times New Roman" w:hAnsi="Times New Roman"/>
          <w:sz w:val="22"/>
          <w:szCs w:val="22"/>
          <w:i w:val="1"/>
          <w:iCs w:val="1"/>
          <w:color w:val="auto"/>
        </w:rPr>
        <w:t>Evolution</w:t>
      </w:r>
      <w:r>
        <w:rPr>
          <w:rFonts w:ascii="Times New Roman" w:cs="Times New Roman" w:eastAsia="Times New Roman" w:hAnsi="Times New Roman"/>
          <w:sz w:val="22"/>
          <w:szCs w:val="22"/>
          <w:color w:val="auto"/>
        </w:rPr>
        <w:t>, 45, pp. 534-557.</w:t>
      </w:r>
    </w:p>
    <w:p>
      <w:pPr>
        <w:spacing w:after="0" w:line="1"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McGarigal, K., S. Cushman y S. Stafford (2000), </w:t>
      </w:r>
      <w:r>
        <w:rPr>
          <w:rFonts w:ascii="Times New Roman" w:cs="Times New Roman" w:eastAsia="Times New Roman" w:hAnsi="Times New Roman"/>
          <w:sz w:val="22"/>
          <w:szCs w:val="22"/>
          <w:i w:val="1"/>
          <w:iCs w:val="1"/>
          <w:color w:val="auto"/>
        </w:rPr>
        <w:t>Multivariate statistics for wildlife and</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ecology research</w:t>
      </w:r>
      <w:r>
        <w:rPr>
          <w:rFonts w:ascii="Times New Roman" w:cs="Times New Roman" w:eastAsia="Times New Roman" w:hAnsi="Times New Roman"/>
          <w:sz w:val="22"/>
          <w:szCs w:val="22"/>
          <w:color w:val="auto"/>
        </w:rPr>
        <w:t>, Nueva York, Springer.</w:t>
      </w:r>
    </w:p>
    <w:p>
      <w:pPr>
        <w:spacing w:after="0" w:line="1"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Reyment, R. A., R. E. Blackwith y N. A. Campbell (1984), </w:t>
      </w:r>
      <w:r>
        <w:rPr>
          <w:rFonts w:ascii="Times New Roman" w:cs="Times New Roman" w:eastAsia="Times New Roman" w:hAnsi="Times New Roman"/>
          <w:sz w:val="22"/>
          <w:szCs w:val="22"/>
          <w:i w:val="1"/>
          <w:iCs w:val="1"/>
          <w:color w:val="auto"/>
        </w:rPr>
        <w:t>Multivariate morphometrics</w:t>
      </w:r>
      <w:r>
        <w:rPr>
          <w:rFonts w:ascii="Times New Roman" w:cs="Times New Roman" w:eastAsia="Times New Roman" w:hAnsi="Times New Roman"/>
          <w:sz w:val="22"/>
          <w:szCs w:val="22"/>
          <w:color w:val="auto"/>
        </w:rPr>
        <w:t>, Nueva York, Academic Press, 2 a ed.</w:t>
      </w:r>
    </w:p>
    <w:p>
      <w:pPr>
        <w:spacing w:after="0" w:line="1"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Rohlf, F. J. (1990), “Rotational fit (Procrustes) methods”, en F. J. Rohlf y F. L. Bookstein (eds), </w:t>
      </w:r>
      <w:r>
        <w:rPr>
          <w:rFonts w:ascii="Times New Roman" w:cs="Times New Roman" w:eastAsia="Times New Roman" w:hAnsi="Times New Roman"/>
          <w:sz w:val="22"/>
          <w:szCs w:val="22"/>
          <w:i w:val="1"/>
          <w:iCs w:val="1"/>
          <w:color w:val="auto"/>
        </w:rPr>
        <w:t>Proceedings of the Michigan morphometrics workshop</w:t>
      </w:r>
      <w:r>
        <w:rPr>
          <w:rFonts w:ascii="Times New Roman" w:cs="Times New Roman" w:eastAsia="Times New Roman" w:hAnsi="Times New Roman"/>
          <w:sz w:val="22"/>
          <w:szCs w:val="22"/>
          <w:color w:val="auto"/>
        </w:rPr>
        <w:t xml:space="preserve"> [Special publication No. 2], Ann Arbor, Michigan, The University of Michigan Museum of Zoology, pp. 227-236.</w:t>
      </w:r>
    </w:p>
    <w:p>
      <w:pPr>
        <w:spacing w:after="0" w:line="2"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 y L. F. Marcus (1993), “A revolution in morphometrics”, </w:t>
      </w:r>
      <w:r>
        <w:rPr>
          <w:rFonts w:ascii="Times New Roman" w:cs="Times New Roman" w:eastAsia="Times New Roman" w:hAnsi="Times New Roman"/>
          <w:sz w:val="22"/>
          <w:szCs w:val="22"/>
          <w:i w:val="1"/>
          <w:iCs w:val="1"/>
          <w:color w:val="auto"/>
        </w:rPr>
        <w:t>Trends in Ecology</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and Evolution</w:t>
      </w:r>
      <w:r>
        <w:rPr>
          <w:rFonts w:ascii="Times New Roman" w:cs="Times New Roman" w:eastAsia="Times New Roman" w:hAnsi="Times New Roman"/>
          <w:sz w:val="22"/>
          <w:szCs w:val="22"/>
          <w:color w:val="auto"/>
        </w:rPr>
        <w:t>, 8, pp. 129-132.</w:t>
      </w:r>
    </w:p>
    <w:p>
      <w:pPr>
        <w:spacing w:after="0" w:line="1"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Slice, D. E. (2007), “Geometric morphometrics”, </w:t>
      </w:r>
      <w:r>
        <w:rPr>
          <w:rFonts w:ascii="Times New Roman" w:cs="Times New Roman" w:eastAsia="Times New Roman" w:hAnsi="Times New Roman"/>
          <w:sz w:val="22"/>
          <w:szCs w:val="22"/>
          <w:i w:val="1"/>
          <w:iCs w:val="1"/>
          <w:color w:val="auto"/>
        </w:rPr>
        <w:t>Annual Review of Anthropology,</w:t>
      </w:r>
      <w:r>
        <w:rPr>
          <w:rFonts w:ascii="Times New Roman" w:cs="Times New Roman" w:eastAsia="Times New Roman" w:hAnsi="Times New Roman"/>
          <w:sz w:val="22"/>
          <w:szCs w:val="22"/>
          <w:color w:val="auto"/>
        </w:rPr>
        <w:t xml:space="preserve"> 36, pp. 261-281.</w:t>
      </w:r>
    </w:p>
    <w:p>
      <w:pPr>
        <w:spacing w:after="0" w:line="1"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Strauss, R. E. y F. L. Bookstein (1982), “The truss-body from reconstructions in morphometrics”, </w:t>
      </w:r>
      <w:r>
        <w:rPr>
          <w:rFonts w:ascii="Times New Roman" w:cs="Times New Roman" w:eastAsia="Times New Roman" w:hAnsi="Times New Roman"/>
          <w:sz w:val="22"/>
          <w:szCs w:val="22"/>
          <w:i w:val="1"/>
          <w:iCs w:val="1"/>
          <w:color w:val="auto"/>
        </w:rPr>
        <w:t>Systematic Zoology</w:t>
      </w:r>
      <w:r>
        <w:rPr>
          <w:rFonts w:ascii="Times New Roman" w:cs="Times New Roman" w:eastAsia="Times New Roman" w:hAnsi="Times New Roman"/>
          <w:sz w:val="22"/>
          <w:szCs w:val="22"/>
          <w:color w:val="auto"/>
        </w:rPr>
        <w:t>, 31, pp. 113-135.</w:t>
      </w:r>
    </w:p>
    <w:p>
      <w:pPr>
        <w:spacing w:after="0" w:line="1"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Van der Molen, S., N. Martínez Abadías y R. González-José (2007), </w:t>
      </w:r>
      <w:r>
        <w:rPr>
          <w:rFonts w:ascii="Times New Roman" w:cs="Times New Roman" w:eastAsia="Times New Roman" w:hAnsi="Times New Roman"/>
          <w:sz w:val="22"/>
          <w:szCs w:val="22"/>
          <w:i w:val="1"/>
          <w:iCs w:val="1"/>
          <w:color w:val="auto"/>
        </w:rPr>
        <w:t>Introducción a la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morfometría geométrica: curso teórico-práctico</w:t>
      </w:r>
      <w:r>
        <w:rPr>
          <w:rFonts w:ascii="Times New Roman" w:cs="Times New Roman" w:eastAsia="Times New Roman" w:hAnsi="Times New Roman"/>
          <w:sz w:val="22"/>
          <w:szCs w:val="22"/>
          <w:color w:val="auto"/>
        </w:rPr>
        <w:t>, Puerto Madryn, Barcelona, Cenpat/</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Conicet/Universitat de Barcelona.</w:t>
      </w:r>
    </w:p>
    <w:p>
      <w:pPr>
        <w:spacing w:after="0" w:line="2"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Wainwright, C. y M. Reilly (1994), </w:t>
      </w:r>
      <w:r>
        <w:rPr>
          <w:rFonts w:ascii="Times New Roman" w:cs="Times New Roman" w:eastAsia="Times New Roman" w:hAnsi="Times New Roman"/>
          <w:sz w:val="22"/>
          <w:szCs w:val="22"/>
          <w:i w:val="1"/>
          <w:iCs w:val="1"/>
          <w:color w:val="auto"/>
        </w:rPr>
        <w:t>Ecological morphology: integrative organism biology</w:t>
      </w:r>
      <w:r>
        <w:rPr>
          <w:rFonts w:ascii="Times New Roman" w:cs="Times New Roman" w:eastAsia="Times New Roman" w:hAnsi="Times New Roman"/>
          <w:sz w:val="22"/>
          <w:szCs w:val="22"/>
          <w:color w:val="auto"/>
        </w:rPr>
        <w:t>, Chicago, University of Chicago Press.</w:t>
      </w:r>
    </w:p>
    <w:p>
      <w:pPr>
        <w:spacing w:after="0" w:line="1" w:lineRule="exact"/>
        <w:rPr>
          <w:sz w:val="20"/>
          <w:szCs w:val="20"/>
          <w:color w:val="auto"/>
        </w:rPr>
      </w:pPr>
    </w:p>
    <w:p>
      <w:pPr>
        <w:jc w:val="both"/>
        <w:ind w:hanging="359"/>
        <w:spacing w:after="0" w:line="354" w:lineRule="auto"/>
        <w:rPr>
          <w:sz w:val="20"/>
          <w:szCs w:val="20"/>
          <w:color w:val="auto"/>
        </w:rPr>
      </w:pPr>
      <w:r>
        <w:rPr>
          <w:rFonts w:ascii="Times New Roman" w:cs="Times New Roman" w:eastAsia="Times New Roman" w:hAnsi="Times New Roman"/>
          <w:sz w:val="21"/>
          <w:szCs w:val="21"/>
          <w:color w:val="auto"/>
        </w:rPr>
        <w:t xml:space="preserve">Zelditch, M. L., D. L. Swiderski, H. D. Sheets y W. L. Fink (2004), </w:t>
      </w:r>
      <w:r>
        <w:rPr>
          <w:rFonts w:ascii="Times New Roman" w:cs="Times New Roman" w:eastAsia="Times New Roman" w:hAnsi="Times New Roman"/>
          <w:sz w:val="21"/>
          <w:szCs w:val="21"/>
          <w:i w:val="1"/>
          <w:iCs w:val="1"/>
          <w:color w:val="auto"/>
        </w:rPr>
        <w:t>Geometric</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morphometric for biologists: a primer</w:t>
      </w:r>
      <w:r>
        <w:rPr>
          <w:rFonts w:ascii="Times New Roman" w:cs="Times New Roman" w:eastAsia="Times New Roman" w:hAnsi="Times New Roman"/>
          <w:sz w:val="21"/>
          <w:szCs w:val="21"/>
          <w:color w:val="auto"/>
        </w:rPr>
        <w:t>, San Diego, CA, Elsevier Academic Press.</w:t>
      </w:r>
    </w:p>
    <w:p>
      <w:pPr>
        <w:sectPr>
          <w:pgSz w:w="9360" w:h="13039" w:orient="portrait"/>
          <w:cols w:equalWidth="0" w:num="1">
            <w:col w:w="6840"/>
          </w:cols>
          <w:pgMar w:left="144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2"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20" w:name="page21"/>
    <w:bookmarkEnd w:id="20"/>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2"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30" name="Shape 3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0" o:spid="_x0000_s105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31" name="Shape 3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1" o:spid="_x0000_s105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32" name="Shape 3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2" o:spid="_x0000_s105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1440" w:right="1780" w:bottom="437" w:gutter="0" w:footer="0" w:header="0"/>
        </w:sectPr>
      </w:pPr>
    </w:p>
    <w:bookmarkStart w:id="21" w:name="page22"/>
    <w:bookmarkEnd w:id="21"/>
    <w:p>
      <w:pPr>
        <w:spacing w:after="0" w:line="194" w:lineRule="exact"/>
        <w:rPr>
          <w:sz w:val="20"/>
          <w:szCs w:val="20"/>
          <w:color w:val="auto"/>
        </w:rPr>
      </w:pPr>
    </w:p>
    <w:p>
      <w:pPr>
        <w:ind w:left="1880"/>
        <w:spacing w:after="0"/>
        <w:rPr>
          <w:sz w:val="20"/>
          <w:szCs w:val="20"/>
          <w:color w:val="auto"/>
        </w:rPr>
      </w:pPr>
      <w:r>
        <w:rPr>
          <w:rFonts w:ascii="Times New Roman" w:cs="Times New Roman" w:eastAsia="Times New Roman" w:hAnsi="Times New Roman"/>
          <w:sz w:val="24"/>
          <w:szCs w:val="24"/>
          <w:color w:val="auto"/>
        </w:rPr>
        <w:t>MANUAL DE MORFOMETRÍA</w:t>
      </w:r>
    </w:p>
    <w:p>
      <w:pPr>
        <w:spacing w:after="0" w:line="32" w:lineRule="exact"/>
        <w:rPr>
          <w:sz w:val="20"/>
          <w:szCs w:val="20"/>
          <w:color w:val="auto"/>
        </w:rPr>
      </w:pPr>
    </w:p>
    <w:p>
      <w:pPr>
        <w:ind w:left="1760"/>
        <w:spacing w:after="0"/>
        <w:rPr>
          <w:sz w:val="20"/>
          <w:szCs w:val="20"/>
          <w:color w:val="auto"/>
        </w:rPr>
      </w:pPr>
      <w:r>
        <w:rPr>
          <w:rFonts w:ascii="Times New Roman" w:cs="Times New Roman" w:eastAsia="Times New Roman" w:hAnsi="Times New Roman"/>
          <w:sz w:val="24"/>
          <w:szCs w:val="24"/>
          <w:color w:val="auto"/>
        </w:rPr>
        <w:t>TRADICIONAL Y GEOMÉTRICA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6" w:lineRule="exact"/>
        <w:rPr>
          <w:sz w:val="20"/>
          <w:szCs w:val="20"/>
          <w:color w:val="auto"/>
        </w:rPr>
      </w:pPr>
    </w:p>
    <w:p>
      <w:pPr>
        <w:jc w:val="both"/>
        <w:spacing w:after="0" w:line="300" w:lineRule="auto"/>
        <w:rPr>
          <w:sz w:val="20"/>
          <w:szCs w:val="20"/>
          <w:color w:val="auto"/>
        </w:rPr>
      </w:pPr>
      <w:r>
        <w:rPr>
          <w:rFonts w:ascii="Times New Roman" w:cs="Times New Roman" w:eastAsia="Times New Roman" w:hAnsi="Times New Roman"/>
          <w:sz w:val="22"/>
          <w:szCs w:val="22"/>
          <w:color w:val="auto"/>
        </w:rPr>
        <w:t xml:space="preserve">A continuación se muestran los pasos a seguir en el uso de los programas que se utilizan para morfometría tradicional con los análisis de medidas lineales y de morfometría geométrica con la configuración de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semilandmarks</w:t>
      </w:r>
      <w:r>
        <w:rPr>
          <w:rFonts w:ascii="Times New Roman" w:cs="Times New Roman" w:eastAsia="Times New Roman" w:hAnsi="Times New Roman"/>
          <w:sz w:val="22"/>
          <w:szCs w:val="22"/>
          <w:color w:val="auto"/>
        </w:rPr>
        <w:t>. Entre los programas que se emplean en este libro se encuentran:</w:t>
      </w:r>
    </w:p>
    <w:p>
      <w:pPr>
        <w:spacing w:after="0" w:line="279" w:lineRule="exact"/>
        <w:rPr>
          <w:sz w:val="20"/>
          <w:szCs w:val="20"/>
          <w:color w:val="auto"/>
        </w:rPr>
      </w:pPr>
    </w:p>
    <w:p>
      <w:pPr>
        <w:jc w:val="both"/>
        <w:ind w:left="240" w:hanging="240"/>
        <w:spacing w:after="0"/>
        <w:tabs>
          <w:tab w:leader="none" w:pos="240" w:val="left"/>
        </w:tabs>
        <w:numPr>
          <w:ilvl w:val="0"/>
          <w:numId w:val="3"/>
        </w:numPr>
        <w:rPr>
          <w:rFonts w:ascii="Arial" w:cs="Arial" w:eastAsia="Arial" w:hAnsi="Arial"/>
          <w:sz w:val="22"/>
          <w:szCs w:val="22"/>
          <w:color w:val="auto"/>
        </w:rPr>
      </w:pPr>
      <w:r>
        <w:rPr>
          <w:rFonts w:ascii="Arial" w:cs="Arial" w:eastAsia="Arial" w:hAnsi="Arial"/>
          <w:sz w:val="22"/>
          <w:szCs w:val="22"/>
          <w:color w:val="auto"/>
        </w:rPr>
        <w:t>Para morfometría tradicional:</w:t>
      </w:r>
    </w:p>
    <w:p>
      <w:pPr>
        <w:spacing w:after="0" w:line="57" w:lineRule="exact"/>
        <w:rPr>
          <w:rFonts w:ascii="Arial" w:cs="Arial" w:eastAsia="Arial" w:hAnsi="Arial"/>
          <w:sz w:val="22"/>
          <w:szCs w:val="22"/>
          <w:color w:val="auto"/>
        </w:rPr>
      </w:pPr>
    </w:p>
    <w:p>
      <w:pPr>
        <w:jc w:val="both"/>
        <w:ind w:left="540" w:hanging="300"/>
        <w:spacing w:after="0"/>
        <w:tabs>
          <w:tab w:leader="none" w:pos="540" w:val="left"/>
        </w:tabs>
        <w:numPr>
          <w:ilvl w:val="1"/>
          <w:numId w:val="3"/>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ImageJ</w:t>
      </w:r>
    </w:p>
    <w:p>
      <w:pPr>
        <w:spacing w:after="0" w:line="57" w:lineRule="exact"/>
        <w:rPr>
          <w:rFonts w:ascii="Times New Roman" w:cs="Times New Roman" w:eastAsia="Times New Roman" w:hAnsi="Times New Roman"/>
          <w:sz w:val="22"/>
          <w:szCs w:val="22"/>
          <w:color w:val="auto"/>
        </w:rPr>
      </w:pPr>
    </w:p>
    <w:p>
      <w:pPr>
        <w:jc w:val="both"/>
        <w:ind w:left="240" w:hanging="240"/>
        <w:spacing w:after="0"/>
        <w:tabs>
          <w:tab w:leader="none" w:pos="240" w:val="left"/>
        </w:tabs>
        <w:numPr>
          <w:ilvl w:val="0"/>
          <w:numId w:val="3"/>
        </w:numPr>
        <w:rPr>
          <w:rFonts w:ascii="Arial" w:cs="Arial" w:eastAsia="Arial" w:hAnsi="Arial"/>
          <w:sz w:val="22"/>
          <w:szCs w:val="22"/>
          <w:color w:val="auto"/>
        </w:rPr>
      </w:pPr>
      <w:r>
        <w:rPr>
          <w:rFonts w:ascii="Arial" w:cs="Arial" w:eastAsia="Arial" w:hAnsi="Arial"/>
          <w:sz w:val="22"/>
          <w:szCs w:val="22"/>
          <w:color w:val="auto"/>
        </w:rPr>
        <w:t>Para morfometría geométrica:</w:t>
      </w:r>
    </w:p>
    <w:p>
      <w:pPr>
        <w:spacing w:after="0" w:line="57" w:lineRule="exact"/>
        <w:rPr>
          <w:rFonts w:ascii="Arial" w:cs="Arial" w:eastAsia="Arial" w:hAnsi="Arial"/>
          <w:sz w:val="22"/>
          <w:szCs w:val="22"/>
          <w:color w:val="auto"/>
        </w:rPr>
      </w:pPr>
    </w:p>
    <w:p>
      <w:pPr>
        <w:jc w:val="both"/>
        <w:ind w:left="240"/>
        <w:spacing w:after="0"/>
        <w:rPr>
          <w:rFonts w:ascii="Arial" w:cs="Arial" w:eastAsia="Arial" w:hAnsi="Arial"/>
          <w:sz w:val="22"/>
          <w:szCs w:val="22"/>
          <w:color w:val="auto"/>
        </w:rPr>
      </w:pPr>
      <w:r>
        <w:rPr>
          <w:rFonts w:ascii="Times New Roman" w:cs="Times New Roman" w:eastAsia="Times New Roman" w:hAnsi="Times New Roman"/>
          <w:sz w:val="22"/>
          <w:szCs w:val="22"/>
          <w:color w:val="auto"/>
        </w:rPr>
        <w:t>1) Software tps (</w:t>
      </w:r>
      <w:r>
        <w:rPr>
          <w:rFonts w:ascii="Times New Roman" w:cs="Times New Roman" w:eastAsia="Times New Roman" w:hAnsi="Times New Roman"/>
          <w:sz w:val="22"/>
          <w:szCs w:val="22"/>
          <w:i w:val="1"/>
          <w:iCs w:val="1"/>
          <w:color w:val="auto"/>
        </w:rPr>
        <w:t>thin plate spline</w:t>
      </w:r>
      <w:r>
        <w:rPr>
          <w:rFonts w:ascii="Times New Roman" w:cs="Times New Roman" w:eastAsia="Times New Roman" w:hAnsi="Times New Roman"/>
          <w:sz w:val="22"/>
          <w:szCs w:val="22"/>
          <w:color w:val="auto"/>
        </w:rPr>
        <w:t>)</w:t>
      </w:r>
    </w:p>
    <w:p>
      <w:pPr>
        <w:spacing w:after="0" w:line="57" w:lineRule="exact"/>
        <w:rPr>
          <w:rFonts w:ascii="Arial" w:cs="Arial" w:eastAsia="Arial" w:hAnsi="Arial"/>
          <w:sz w:val="22"/>
          <w:szCs w:val="22"/>
          <w:color w:val="auto"/>
        </w:rPr>
      </w:pPr>
    </w:p>
    <w:p>
      <w:pPr>
        <w:jc w:val="both"/>
        <w:ind w:left="720" w:hanging="240"/>
        <w:spacing w:after="0"/>
        <w:tabs>
          <w:tab w:leader="none" w:pos="720" w:val="left"/>
        </w:tabs>
        <w:numPr>
          <w:ilvl w:val="2"/>
          <w:numId w:val="3"/>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tpsUtil</w:t>
      </w:r>
    </w:p>
    <w:p>
      <w:pPr>
        <w:spacing w:after="0" w:line="57" w:lineRule="exact"/>
        <w:rPr>
          <w:rFonts w:ascii="Times New Roman" w:cs="Times New Roman" w:eastAsia="Times New Roman" w:hAnsi="Times New Roman"/>
          <w:sz w:val="22"/>
          <w:szCs w:val="22"/>
          <w:color w:val="auto"/>
        </w:rPr>
      </w:pPr>
    </w:p>
    <w:p>
      <w:pPr>
        <w:jc w:val="both"/>
        <w:ind w:left="720" w:hanging="240"/>
        <w:spacing w:after="0"/>
        <w:tabs>
          <w:tab w:leader="none" w:pos="720" w:val="left"/>
        </w:tabs>
        <w:numPr>
          <w:ilvl w:val="2"/>
          <w:numId w:val="3"/>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tpsDig</w:t>
      </w:r>
    </w:p>
    <w:p>
      <w:pPr>
        <w:spacing w:after="0" w:line="57" w:lineRule="exact"/>
        <w:rPr>
          <w:sz w:val="20"/>
          <w:szCs w:val="20"/>
          <w:color w:val="auto"/>
        </w:rPr>
      </w:pPr>
    </w:p>
    <w:p>
      <w:pPr>
        <w:jc w:val="both"/>
        <w:ind w:left="540" w:hanging="300"/>
        <w:spacing w:after="0"/>
        <w:tabs>
          <w:tab w:leader="none" w:pos="540" w:val="left"/>
        </w:tabs>
        <w:numPr>
          <w:ilvl w:val="0"/>
          <w:numId w:val="4"/>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Software imp (</w:t>
      </w:r>
      <w:r>
        <w:rPr>
          <w:rFonts w:ascii="Times New Roman" w:cs="Times New Roman" w:eastAsia="Times New Roman" w:hAnsi="Times New Roman"/>
          <w:sz w:val="22"/>
          <w:szCs w:val="22"/>
          <w:i w:val="1"/>
          <w:iCs w:val="1"/>
          <w:color w:val="auto"/>
        </w:rPr>
        <w:t>integrated morphometrics package</w:t>
      </w:r>
      <w:r>
        <w:rPr>
          <w:rFonts w:ascii="Times New Roman" w:cs="Times New Roman" w:eastAsia="Times New Roman" w:hAnsi="Times New Roman"/>
          <w:sz w:val="22"/>
          <w:szCs w:val="22"/>
          <w:color w:val="auto"/>
        </w:rPr>
        <w:t>)</w:t>
      </w:r>
    </w:p>
    <w:p>
      <w:pPr>
        <w:spacing w:after="0" w:line="57" w:lineRule="exact"/>
        <w:rPr>
          <w:rFonts w:ascii="Times New Roman" w:cs="Times New Roman" w:eastAsia="Times New Roman" w:hAnsi="Times New Roman"/>
          <w:sz w:val="22"/>
          <w:szCs w:val="22"/>
          <w:color w:val="auto"/>
        </w:rPr>
      </w:pPr>
    </w:p>
    <w:p>
      <w:pPr>
        <w:jc w:val="both"/>
        <w:ind w:left="720" w:hanging="240"/>
        <w:spacing w:after="0"/>
        <w:tabs>
          <w:tab w:leader="none" w:pos="720" w:val="left"/>
        </w:tabs>
        <w:numPr>
          <w:ilvl w:val="1"/>
          <w:numId w:val="4"/>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CoordGen</w:t>
      </w:r>
    </w:p>
    <w:p>
      <w:pPr>
        <w:spacing w:after="0" w:line="57" w:lineRule="exact"/>
        <w:rPr>
          <w:rFonts w:ascii="Times New Roman" w:cs="Times New Roman" w:eastAsia="Times New Roman" w:hAnsi="Times New Roman"/>
          <w:sz w:val="22"/>
          <w:szCs w:val="22"/>
          <w:color w:val="auto"/>
        </w:rPr>
      </w:pPr>
    </w:p>
    <w:p>
      <w:pPr>
        <w:jc w:val="both"/>
        <w:ind w:left="720" w:hanging="240"/>
        <w:spacing w:after="0"/>
        <w:tabs>
          <w:tab w:leader="none" w:pos="720" w:val="left"/>
        </w:tabs>
        <w:numPr>
          <w:ilvl w:val="1"/>
          <w:numId w:val="4"/>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PCAGen</w:t>
      </w:r>
    </w:p>
    <w:p>
      <w:pPr>
        <w:spacing w:after="0" w:line="57" w:lineRule="exact"/>
        <w:rPr>
          <w:rFonts w:ascii="Times New Roman" w:cs="Times New Roman" w:eastAsia="Times New Roman" w:hAnsi="Times New Roman"/>
          <w:sz w:val="22"/>
          <w:szCs w:val="22"/>
          <w:color w:val="auto"/>
        </w:rPr>
      </w:pPr>
    </w:p>
    <w:p>
      <w:pPr>
        <w:jc w:val="both"/>
        <w:ind w:left="720" w:hanging="240"/>
        <w:spacing w:after="0"/>
        <w:tabs>
          <w:tab w:leader="none" w:pos="720" w:val="left"/>
        </w:tabs>
        <w:numPr>
          <w:ilvl w:val="1"/>
          <w:numId w:val="4"/>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CVAGen</w:t>
      </w:r>
    </w:p>
    <w:p>
      <w:pPr>
        <w:spacing w:after="0" w:line="57" w:lineRule="exact"/>
        <w:rPr>
          <w:rFonts w:ascii="Times New Roman" w:cs="Times New Roman" w:eastAsia="Times New Roman" w:hAnsi="Times New Roman"/>
          <w:sz w:val="22"/>
          <w:szCs w:val="22"/>
          <w:color w:val="auto"/>
        </w:rPr>
      </w:pPr>
    </w:p>
    <w:p>
      <w:pPr>
        <w:jc w:val="both"/>
        <w:ind w:left="720" w:hanging="240"/>
        <w:spacing w:after="0"/>
        <w:tabs>
          <w:tab w:leader="none" w:pos="720" w:val="left"/>
        </w:tabs>
        <w:numPr>
          <w:ilvl w:val="1"/>
          <w:numId w:val="4"/>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MakeFan</w:t>
      </w:r>
    </w:p>
    <w:p>
      <w:pPr>
        <w:spacing w:after="0" w:line="57" w:lineRule="exact"/>
        <w:rPr>
          <w:rFonts w:ascii="Times New Roman" w:cs="Times New Roman" w:eastAsia="Times New Roman" w:hAnsi="Times New Roman"/>
          <w:sz w:val="22"/>
          <w:szCs w:val="22"/>
          <w:color w:val="auto"/>
        </w:rPr>
      </w:pPr>
    </w:p>
    <w:p>
      <w:pPr>
        <w:jc w:val="both"/>
        <w:ind w:left="720" w:hanging="240"/>
        <w:spacing w:after="0"/>
        <w:tabs>
          <w:tab w:leader="none" w:pos="720" w:val="left"/>
        </w:tabs>
        <w:numPr>
          <w:ilvl w:val="1"/>
          <w:numId w:val="4"/>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Semiland</w:t>
      </w:r>
    </w:p>
    <w:p>
      <w:pPr>
        <w:spacing w:after="0" w:line="365"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Los programas mencionados están disponibles en los siguientes sitios electrónicos:</w:t>
      </w:r>
    </w:p>
    <w:p>
      <w:pPr>
        <w:spacing w:after="0" w:line="67" w:lineRule="exact"/>
        <w:rPr>
          <w:sz w:val="20"/>
          <w:szCs w:val="20"/>
          <w:color w:val="auto"/>
        </w:rPr>
      </w:pPr>
    </w:p>
    <w:p>
      <w:pPr>
        <w:jc w:val="both"/>
        <w:ind w:left="240" w:hanging="240"/>
        <w:spacing w:after="0"/>
        <w:tabs>
          <w:tab w:leader="none" w:pos="240" w:val="left"/>
        </w:tabs>
        <w:numPr>
          <w:ilvl w:val="0"/>
          <w:numId w:val="5"/>
        </w:numPr>
        <w:rPr>
          <w:rFonts w:ascii="Arial" w:cs="Arial" w:eastAsia="Arial" w:hAnsi="Arial"/>
          <w:sz w:val="22"/>
          <w:szCs w:val="22"/>
          <w:color w:val="auto"/>
        </w:rPr>
      </w:pPr>
      <w:r>
        <w:rPr>
          <w:rFonts w:ascii="Arial" w:cs="Arial" w:eastAsia="Arial" w:hAnsi="Arial"/>
          <w:sz w:val="22"/>
          <w:szCs w:val="22"/>
          <w:color w:val="auto"/>
        </w:rPr>
        <w:t>http://life.bio.sunysb.edu/morph/soft-dataacq.html (tpsDig)</w:t>
      </w:r>
    </w:p>
    <w:p>
      <w:pPr>
        <w:spacing w:after="0" w:line="55" w:lineRule="exact"/>
        <w:rPr>
          <w:rFonts w:ascii="Arial" w:cs="Arial" w:eastAsia="Arial" w:hAnsi="Arial"/>
          <w:sz w:val="22"/>
          <w:szCs w:val="22"/>
          <w:color w:val="auto"/>
        </w:rPr>
      </w:pPr>
    </w:p>
    <w:p>
      <w:pPr>
        <w:jc w:val="both"/>
        <w:ind w:left="240" w:hanging="240"/>
        <w:spacing w:after="0"/>
        <w:tabs>
          <w:tab w:leader="none" w:pos="240" w:val="left"/>
        </w:tabs>
        <w:numPr>
          <w:ilvl w:val="0"/>
          <w:numId w:val="5"/>
        </w:numPr>
        <w:rPr>
          <w:rFonts w:ascii="Arial" w:cs="Arial" w:eastAsia="Arial" w:hAnsi="Arial"/>
          <w:sz w:val="22"/>
          <w:szCs w:val="22"/>
          <w:color w:val="auto"/>
        </w:rPr>
      </w:pPr>
      <w:r>
        <w:rPr>
          <w:rFonts w:ascii="Arial" w:cs="Arial" w:eastAsia="Arial" w:hAnsi="Arial"/>
          <w:sz w:val="22"/>
          <w:szCs w:val="22"/>
          <w:color w:val="auto"/>
        </w:rPr>
        <w:t>http://life.bio.sunysb.edu/morph/soft-utility.html (tpsUtil)</w:t>
      </w:r>
    </w:p>
    <w:p>
      <w:pPr>
        <w:spacing w:after="0" w:line="55" w:lineRule="exact"/>
        <w:rPr>
          <w:rFonts w:ascii="Arial" w:cs="Arial" w:eastAsia="Arial" w:hAnsi="Arial"/>
          <w:sz w:val="22"/>
          <w:szCs w:val="22"/>
          <w:color w:val="auto"/>
        </w:rPr>
      </w:pPr>
    </w:p>
    <w:p>
      <w:pPr>
        <w:jc w:val="both"/>
        <w:ind w:left="240" w:hanging="240"/>
        <w:spacing w:after="0"/>
        <w:tabs>
          <w:tab w:leader="none" w:pos="240" w:val="left"/>
        </w:tabs>
        <w:numPr>
          <w:ilvl w:val="0"/>
          <w:numId w:val="5"/>
        </w:numPr>
        <w:rPr>
          <w:rFonts w:ascii="Arial" w:cs="Arial" w:eastAsia="Arial" w:hAnsi="Arial"/>
          <w:sz w:val="22"/>
          <w:szCs w:val="22"/>
          <w:color w:val="auto"/>
        </w:rPr>
      </w:pPr>
      <w:r>
        <w:rPr>
          <w:rFonts w:ascii="Arial" w:cs="Arial" w:eastAsia="Arial" w:hAnsi="Arial"/>
          <w:sz w:val="22"/>
          <w:szCs w:val="22"/>
          <w:color w:val="auto"/>
        </w:rPr>
        <w:t>http://www3.canisius.edu/~sheets/morphsoft.html (</w:t>
      </w:r>
      <w:r>
        <w:rPr>
          <w:rFonts w:ascii="Times New Roman" w:cs="Times New Roman" w:eastAsia="Times New Roman" w:hAnsi="Times New Roman"/>
          <w:sz w:val="22"/>
          <w:szCs w:val="22"/>
          <w:color w:val="auto"/>
        </w:rPr>
        <w:t>imp)</w:t>
      </w:r>
    </w:p>
    <w:p>
      <w:pPr>
        <w:spacing w:after="0" w:line="66" w:lineRule="exact"/>
        <w:rPr>
          <w:rFonts w:ascii="Arial" w:cs="Arial" w:eastAsia="Arial" w:hAnsi="Arial"/>
          <w:sz w:val="22"/>
          <w:szCs w:val="22"/>
          <w:color w:val="auto"/>
        </w:rPr>
      </w:pPr>
    </w:p>
    <w:p>
      <w:pPr>
        <w:jc w:val="both"/>
        <w:ind w:left="240" w:hanging="240"/>
        <w:spacing w:after="0"/>
        <w:tabs>
          <w:tab w:leader="none" w:pos="240" w:val="left"/>
        </w:tabs>
        <w:numPr>
          <w:ilvl w:val="0"/>
          <w:numId w:val="5"/>
        </w:numPr>
        <w:rPr>
          <w:rFonts w:ascii="Arial" w:cs="Arial" w:eastAsia="Arial" w:hAnsi="Arial"/>
          <w:sz w:val="22"/>
          <w:szCs w:val="22"/>
          <w:color w:val="auto"/>
        </w:rPr>
      </w:pPr>
      <w:r>
        <w:rPr>
          <w:rFonts w:ascii="Arial" w:cs="Arial" w:eastAsia="Arial" w:hAnsi="Arial"/>
          <w:sz w:val="22"/>
          <w:szCs w:val="22"/>
          <w:color w:val="auto"/>
        </w:rPr>
        <w:t>http://rsbweb.nih.gov/i</w:t>
      </w:r>
      <w:r>
        <w:rPr>
          <w:rFonts w:ascii="Times New Roman" w:cs="Times New Roman" w:eastAsia="Times New Roman" w:hAnsi="Times New Roman"/>
          <w:sz w:val="22"/>
          <w:szCs w:val="22"/>
          <w:color w:val="auto"/>
        </w:rPr>
        <w:t>j/</w:t>
      </w:r>
    </w:p>
    <w:p>
      <w:pPr>
        <w:sectPr>
          <w:pgSz w:w="9360" w:h="13039" w:orient="portrait"/>
          <w:cols w:equalWidth="0" w:num="1">
            <w:col w:w="7200"/>
          </w:cols>
          <w:pgMar w:left="1080" w:top="1440"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48"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1440" w:right="1080" w:bottom="437" w:gutter="0" w:footer="0" w:header="0"/>
          <w:type w:val="continuous"/>
        </w:sectPr>
      </w:pPr>
    </w:p>
    <w:bookmarkStart w:id="22" w:name="page23"/>
    <w:bookmarkEnd w:id="22"/>
    <w:p>
      <w:pPr>
        <w:spacing w:after="0" w:line="239" w:lineRule="auto"/>
        <w:tabs>
          <w:tab w:leader="none" w:pos="1940" w:val="left"/>
        </w:tabs>
        <w:rPr>
          <w:sz w:val="20"/>
          <w:szCs w:val="20"/>
          <w:color w:val="auto"/>
        </w:rPr>
      </w:pPr>
      <w:r>
        <w:rPr>
          <w:rFonts w:ascii="Arial Narrow" w:cs="Arial Narrow" w:eastAsia="Arial Narrow" w:hAnsi="Arial Narrow"/>
          <w:sz w:val="16"/>
          <w:szCs w:val="16"/>
          <w:color w:val="auto"/>
        </w:rPr>
        <w:t>22</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p>
    <w:p>
      <w:pPr>
        <w:spacing w:after="0" w:line="376"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Morfometría tradicional</w:t>
      </w:r>
    </w:p>
    <w:p>
      <w:pPr>
        <w:spacing w:after="0" w:line="38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ImageJ</w:t>
      </w:r>
    </w:p>
    <w:p>
      <w:pPr>
        <w:spacing w:after="0" w:line="38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Programa procesador de imágenes digitales con formatos tiff, gif, jpeg, bmp, dicom, fits y raw; es una herramienta útil para calcular medidas lineales como distancias, ángulos, áreas y contornos.</w:t>
      </w:r>
    </w:p>
    <w:p>
      <w:pPr>
        <w:spacing w:after="0" w:line="2" w:lineRule="exact"/>
        <w:rPr>
          <w:sz w:val="20"/>
          <w:szCs w:val="20"/>
          <w:color w:val="auto"/>
        </w:rPr>
      </w:pPr>
    </w:p>
    <w:p>
      <w:pPr>
        <w:jc w:val="both"/>
        <w:ind w:left="240" w:hanging="240"/>
        <w:spacing w:after="0" w:line="308" w:lineRule="auto"/>
        <w:tabs>
          <w:tab w:leader="none" w:pos="240" w:val="left"/>
        </w:tabs>
        <w:numPr>
          <w:ilvl w:val="0"/>
          <w:numId w:val="6"/>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Toma de fotografías digitales. Las fotografías deben tomarse con una cámara digital de alta resolución; es importante que los caracteres de interés estén perfectamente definidos y que cada imagen tenga una escala milimétrica, que puede ser una regla o papel milimétrico (es recomendable utilizar la misma escala para todas las imágenes, sobre todo si se usa una regla). Las imágenes deben organizarse en carpetas de acuerdo con el objeto de estudio.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224790</wp:posOffset>
            </wp:positionV>
            <wp:extent cx="4570095" cy="316992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2">
                      <a:extLst>
                        <a:ext uri="{28A0092B-C50C-407E-A947-70E740481C1C}"/>
                      </a:extLst>
                    </a:blip>
                    <a:srcRect/>
                    <a:stretch>
                      <a:fillRect/>
                    </a:stretch>
                  </pic:blipFill>
                  <pic:spPr bwMode="auto">
                    <a:xfrm>
                      <a:off x="0" y="0"/>
                      <a:ext cx="4570095" cy="316992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9"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Fuente: Moreno, 2012.</w:t>
      </w:r>
    </w:p>
    <w:p>
      <w:pPr>
        <w:sectPr>
          <w:pgSz w:w="9360" w:h="13039" w:orient="portrait"/>
          <w:cols w:equalWidth="0" w:num="1">
            <w:col w:w="7200"/>
          </w:cols>
          <w:pgMar w:left="1080" w:top="878"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33"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34" name="Shape 3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4" o:spid="_x0000_s105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35" name="Shape 3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5" o:spid="_x0000_s106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36" name="Shape 3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6" o:spid="_x0000_s106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23" w:name="page24"/>
    <w:bookmarkEnd w:id="23"/>
    <w:tbl>
      <w:tblPr>
        <w:tblLayout w:type="fixed"/>
        <w:tblInd w:w="2160" w:type="dxa"/>
        <w:tblCellMar>
          <w:top w:w="0" w:type="dxa"/>
          <w:left w:w="0" w:type="dxa"/>
          <w:bottom w:w="0" w:type="dxa"/>
          <w:right w:w="0" w:type="dxa"/>
        </w:tblCellMar>
      </w:tblPr>
      <w:tr>
        <w:trPr>
          <w:trHeight w:val="222"/>
        </w:trPr>
        <w:tc>
          <w:tcPr>
            <w:tcW w:w="3880" w:type="dxa"/>
            <w:vAlign w:val="bottom"/>
          </w:tcPr>
          <w:p>
            <w:pPr>
              <w:spacing w:after="0"/>
              <w:rPr>
                <w:sz w:val="20"/>
                <w:szCs w:val="20"/>
                <w:color w:val="auto"/>
              </w:rPr>
            </w:pPr>
            <w:r>
              <w:rPr>
                <w:rFonts w:ascii="Arial Narrow" w:cs="Arial Narrow" w:eastAsia="Arial Narrow" w:hAnsi="Arial Narrow"/>
                <w:sz w:val="11"/>
                <w:szCs w:val="11"/>
                <w:color w:val="auto"/>
              </w:rPr>
              <w:t>manual de morfometría tradicional y geométrica</w:t>
            </w:r>
          </w:p>
        </w:tc>
        <w:tc>
          <w:tcPr>
            <w:tcW w:w="1160" w:type="dxa"/>
            <w:vAlign w:val="bottom"/>
          </w:tcPr>
          <w:p>
            <w:pPr>
              <w:jc w:val="right"/>
              <w:spacing w:after="0"/>
              <w:rPr>
                <w:sz w:val="20"/>
                <w:szCs w:val="20"/>
                <w:color w:val="auto"/>
              </w:rPr>
            </w:pPr>
            <w:r>
              <w:rPr>
                <w:rFonts w:ascii="Arial Narrow" w:cs="Arial Narrow" w:eastAsia="Arial Narrow" w:hAnsi="Arial Narrow"/>
                <w:sz w:val="16"/>
                <w:szCs w:val="16"/>
                <w:color w:val="auto"/>
              </w:rPr>
              <w:t>23</w:t>
            </w:r>
          </w:p>
        </w:tc>
      </w:tr>
    </w:tbl>
    <w:p>
      <w:pPr>
        <w:spacing w:after="0" w:line="200" w:lineRule="exact"/>
        <w:rPr>
          <w:sz w:val="20"/>
          <w:szCs w:val="20"/>
          <w:color w:val="auto"/>
        </w:rPr>
      </w:pPr>
    </w:p>
    <w:p>
      <w:pPr>
        <w:spacing w:after="0" w:line="309" w:lineRule="exact"/>
        <w:rPr>
          <w:sz w:val="20"/>
          <w:szCs w:val="20"/>
          <w:color w:val="auto"/>
        </w:rPr>
      </w:pPr>
    </w:p>
    <w:p>
      <w:pPr>
        <w:jc w:val="both"/>
        <w:ind w:left="240" w:hanging="240"/>
        <w:spacing w:after="0" w:line="322" w:lineRule="auto"/>
        <w:tabs>
          <w:tab w:leader="none" w:pos="240" w:val="left"/>
        </w:tabs>
        <w:numPr>
          <w:ilvl w:val="0"/>
          <w:numId w:val="7"/>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Cálculo de distancias. En la siguiente imagen se muestran los pasos a seguir en ImageJ.</w:t>
      </w:r>
    </w:p>
    <w:p>
      <w:pPr>
        <w:spacing w:after="0" w:line="1" w:lineRule="exact"/>
        <w:rPr>
          <w:rFonts w:ascii="Times New Roman" w:cs="Times New Roman" w:eastAsia="Times New Roman" w:hAnsi="Times New Roman"/>
          <w:sz w:val="22"/>
          <w:szCs w:val="22"/>
          <w:color w:val="auto"/>
        </w:rPr>
      </w:pPr>
    </w:p>
    <w:p>
      <w:pPr>
        <w:jc w:val="both"/>
        <w:ind w:left="240"/>
        <w:spacing w:after="0"/>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2.1.  Abrir la imagen.</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518795</wp:posOffset>
            </wp:positionV>
            <wp:extent cx="4564380" cy="2968625"/>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3">
                      <a:extLst>
                        <a:ext uri="{28A0092B-C50C-407E-A947-70E740481C1C}"/>
                      </a:extLst>
                    </a:blip>
                    <a:srcRect/>
                    <a:stretch>
                      <a:fillRect/>
                    </a:stretch>
                  </pic:blipFill>
                  <pic:spPr bwMode="auto">
                    <a:xfrm>
                      <a:off x="0" y="0"/>
                      <a:ext cx="4564380" cy="296862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2" w:lineRule="exact"/>
        <w:rPr>
          <w:sz w:val="20"/>
          <w:szCs w:val="20"/>
          <w:color w:val="auto"/>
        </w:rPr>
      </w:pPr>
    </w:p>
    <w:p>
      <w:pPr>
        <w:jc w:val="both"/>
        <w:ind w:left="720" w:hanging="480"/>
        <w:spacing w:after="0" w:line="322" w:lineRule="auto"/>
        <w:tabs>
          <w:tab w:leader="none" w:pos="720" w:val="left"/>
        </w:tabs>
        <w:numPr>
          <w:ilvl w:val="0"/>
          <w:numId w:val="8"/>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Calibrar la escala. Debido a que la escala está en pixeles, es necesario cambiarla a milímetros, para lo cual se debe:</w:t>
      </w:r>
    </w:p>
    <w:p>
      <w:pPr>
        <w:spacing w:after="0" w:line="1" w:lineRule="exact"/>
        <w:rPr>
          <w:rFonts w:ascii="Times New Roman" w:cs="Times New Roman" w:eastAsia="Times New Roman" w:hAnsi="Times New Roman"/>
          <w:sz w:val="22"/>
          <w:szCs w:val="22"/>
          <w:color w:val="auto"/>
        </w:rPr>
      </w:pPr>
    </w:p>
    <w:p>
      <w:pPr>
        <w:jc w:val="both"/>
        <w:ind w:left="1080" w:hanging="360"/>
        <w:spacing w:after="0"/>
        <w:tabs>
          <w:tab w:leader="none" w:pos="1080" w:val="left"/>
        </w:tabs>
        <w:numPr>
          <w:ilvl w:val="1"/>
          <w:numId w:val="8"/>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Seleccionar el icono de la línea recta.</w:t>
      </w:r>
    </w:p>
    <w:p>
      <w:pPr>
        <w:spacing w:after="0" w:line="87" w:lineRule="exact"/>
        <w:rPr>
          <w:rFonts w:ascii="Times New Roman" w:cs="Times New Roman" w:eastAsia="Times New Roman" w:hAnsi="Times New Roman"/>
          <w:sz w:val="22"/>
          <w:szCs w:val="22"/>
          <w:color w:val="auto"/>
        </w:rPr>
      </w:pPr>
    </w:p>
    <w:p>
      <w:pPr>
        <w:jc w:val="both"/>
        <w:ind w:left="1080" w:hanging="360"/>
        <w:spacing w:after="0"/>
        <w:tabs>
          <w:tab w:leader="none" w:pos="1080" w:val="left"/>
        </w:tabs>
        <w:numPr>
          <w:ilvl w:val="1"/>
          <w:numId w:val="8"/>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Marcar una línea de 10 mm según la escala de la imagen.</w:t>
      </w:r>
    </w:p>
    <w:p>
      <w:pPr>
        <w:spacing w:after="0" w:line="87" w:lineRule="exact"/>
        <w:rPr>
          <w:sz w:val="20"/>
          <w:szCs w:val="20"/>
          <w:color w:val="auto"/>
        </w:rPr>
      </w:pPr>
    </w:p>
    <w:p>
      <w:pPr>
        <w:ind w:left="1080" w:hanging="359"/>
        <w:spacing w:after="0" w:line="322" w:lineRule="auto"/>
        <w:tabs>
          <w:tab w:leader="none" w:pos="1060" w:val="left"/>
        </w:tabs>
        <w:rPr>
          <w:sz w:val="20"/>
          <w:szCs w:val="20"/>
          <w:color w:val="auto"/>
        </w:rPr>
      </w:pPr>
      <w:r>
        <w:rPr>
          <w:rFonts w:ascii="Times New Roman" w:cs="Times New Roman" w:eastAsia="Times New Roman" w:hAnsi="Times New Roman"/>
          <w:sz w:val="22"/>
          <w:szCs w:val="22"/>
          <w:color w:val="auto"/>
        </w:rPr>
        <w:t>c)</w:t>
      </w:r>
      <w:r>
        <w:rPr>
          <w:sz w:val="20"/>
          <w:szCs w:val="20"/>
          <w:color w:val="auto"/>
        </w:rPr>
        <w:tab/>
      </w:r>
      <w:r>
        <w:rPr>
          <w:rFonts w:ascii="Times New Roman" w:cs="Times New Roman" w:eastAsia="Times New Roman" w:hAnsi="Times New Roman"/>
          <w:sz w:val="22"/>
          <w:szCs w:val="22"/>
          <w:color w:val="auto"/>
        </w:rPr>
        <w:t>Dar clic en Analyze de la barra de herramientas y después elegir Set Scale.</w:t>
      </w:r>
    </w:p>
    <w:p>
      <w:pPr>
        <w:spacing w:after="0" w:line="1" w:lineRule="exact"/>
        <w:rPr>
          <w:sz w:val="20"/>
          <w:szCs w:val="20"/>
          <w:color w:val="auto"/>
        </w:rPr>
      </w:pPr>
    </w:p>
    <w:p>
      <w:pPr>
        <w:jc w:val="both"/>
        <w:ind w:left="1080" w:hanging="360"/>
        <w:spacing w:after="0" w:line="346" w:lineRule="auto"/>
        <w:tabs>
          <w:tab w:leader="none" w:pos="1080" w:val="left"/>
        </w:tabs>
        <w:numPr>
          <w:ilvl w:val="0"/>
          <w:numId w:val="9"/>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En la ventana desplegada, cambiar Known Distance a 10, Pixel Aspect Ratio a 1.0 y Unit of Length a milímetros.</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00"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24" w:name="page25"/>
    <w:bookmarkEnd w:id="24"/>
    <w:p>
      <w:pPr>
        <w:spacing w:after="0" w:line="239" w:lineRule="auto"/>
        <w:tabs>
          <w:tab w:leader="none" w:pos="1940" w:val="left"/>
        </w:tabs>
        <w:rPr>
          <w:sz w:val="20"/>
          <w:szCs w:val="20"/>
          <w:color w:val="auto"/>
        </w:rPr>
      </w:pPr>
      <w:r>
        <w:rPr>
          <w:rFonts w:ascii="Arial Narrow" w:cs="Arial Narrow" w:eastAsia="Arial Narrow" w:hAnsi="Arial Narrow"/>
          <w:sz w:val="16"/>
          <w:szCs w:val="16"/>
          <w:color w:val="auto"/>
        </w:rPr>
        <w:t>24</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575945</wp:posOffset>
            </wp:positionH>
            <wp:positionV relativeFrom="paragraph">
              <wp:posOffset>392430</wp:posOffset>
            </wp:positionV>
            <wp:extent cx="3416935" cy="321564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4">
                      <a:extLst>
                        <a:ext uri="{28A0092B-C50C-407E-A947-70E740481C1C}"/>
                      </a:extLst>
                    </a:blip>
                    <a:srcRect/>
                    <a:stretch>
                      <a:fillRect/>
                    </a:stretch>
                  </pic:blipFill>
                  <pic:spPr bwMode="auto">
                    <a:xfrm>
                      <a:off x="0" y="0"/>
                      <a:ext cx="3416935" cy="3215640"/>
                    </a:xfrm>
                    <a:prstGeom prst="rect">
                      <a:avLst/>
                    </a:prstGeom>
                    <a:noFill/>
                  </pic:spPr>
                </pic:pic>
              </a:graphicData>
            </a:graphic>
          </wp:anchor>
        </w:drawing>
      </w:r>
    </w:p>
    <w:p>
      <w:pPr>
        <w:spacing w:after="0" w:line="200" w:lineRule="exact"/>
        <w:rPr>
          <w:sz w:val="20"/>
          <w:szCs w:val="20"/>
          <w:color w:val="auto"/>
        </w:rPr>
      </w:pPr>
    </w:p>
    <w:p>
      <w:pPr>
        <w:spacing w:after="0" w:line="260" w:lineRule="exact"/>
        <w:rPr>
          <w:sz w:val="20"/>
          <w:szCs w:val="20"/>
          <w:color w:val="auto"/>
        </w:rPr>
      </w:pPr>
    </w:p>
    <w:p>
      <w:pPr>
        <w:ind w:left="1000"/>
        <w:spacing w:after="0"/>
        <w:rPr>
          <w:sz w:val="20"/>
          <w:szCs w:val="20"/>
          <w:color w:val="auto"/>
        </w:rPr>
      </w:pPr>
      <w:r>
        <w:rPr>
          <w:rFonts w:ascii="Times New Roman" w:cs="Times New Roman" w:eastAsia="Times New Roman" w:hAnsi="Times New Roman"/>
          <w:sz w:val="22"/>
          <w:szCs w:val="22"/>
          <w:color w:val="auto"/>
        </w:rPr>
        <w:t>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6" w:lineRule="exact"/>
        <w:rPr>
          <w:sz w:val="20"/>
          <w:szCs w:val="20"/>
          <w:color w:val="auto"/>
        </w:rPr>
      </w:pPr>
    </w:p>
    <w:p>
      <w:pPr>
        <w:ind w:left="1480"/>
        <w:spacing w:after="0"/>
        <w:rPr>
          <w:sz w:val="20"/>
          <w:szCs w:val="20"/>
          <w:color w:val="auto"/>
        </w:rPr>
      </w:pPr>
      <w:r>
        <w:rPr>
          <w:rFonts w:ascii="Times New Roman" w:cs="Times New Roman" w:eastAsia="Times New Roman" w:hAnsi="Times New Roman"/>
          <w:sz w:val="22"/>
          <w:szCs w:val="22"/>
          <w:color w:val="auto"/>
        </w:rPr>
        <w:t>b)</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181610</wp:posOffset>
            </wp:positionH>
            <wp:positionV relativeFrom="paragraph">
              <wp:posOffset>2346325</wp:posOffset>
            </wp:positionV>
            <wp:extent cx="4204970" cy="2750185"/>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5">
                      <a:extLst>
                        <a:ext uri="{28A0092B-C50C-407E-A947-70E740481C1C}"/>
                      </a:extLst>
                    </a:blip>
                    <a:srcRect/>
                    <a:stretch>
                      <a:fillRect/>
                    </a:stretch>
                  </pic:blipFill>
                  <pic:spPr bwMode="auto">
                    <a:xfrm>
                      <a:off x="0" y="0"/>
                      <a:ext cx="4204970" cy="275018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7" w:lineRule="exact"/>
        <w:rPr>
          <w:sz w:val="20"/>
          <w:szCs w:val="20"/>
          <w:color w:val="auto"/>
        </w:rPr>
      </w:pPr>
    </w:p>
    <w:tbl>
      <w:tblPr>
        <w:tblLayout w:type="fixed"/>
        <w:tblInd w:w="540" w:type="dxa"/>
        <w:tblCellMar>
          <w:top w:w="0" w:type="dxa"/>
          <w:left w:w="0" w:type="dxa"/>
          <w:bottom w:w="0" w:type="dxa"/>
          <w:right w:w="0" w:type="dxa"/>
        </w:tblCellMar>
      </w:tblPr>
      <w:tr>
        <w:trPr>
          <w:trHeight w:val="278"/>
        </w:trPr>
        <w:tc>
          <w:tcPr>
            <w:tcW w:w="1860" w:type="dxa"/>
            <w:vAlign w:val="bottom"/>
          </w:tcPr>
          <w:p>
            <w:pPr>
              <w:spacing w:after="0"/>
              <w:rPr>
                <w:sz w:val="20"/>
                <w:szCs w:val="20"/>
                <w:color w:val="auto"/>
              </w:rPr>
            </w:pPr>
            <w:r>
              <w:rPr>
                <w:rFonts w:ascii="Times New Roman" w:cs="Times New Roman" w:eastAsia="Times New Roman" w:hAnsi="Times New Roman"/>
                <w:sz w:val="22"/>
                <w:szCs w:val="22"/>
                <w:color w:val="auto"/>
              </w:rPr>
              <w:t>c)</w:t>
            </w:r>
          </w:p>
        </w:tc>
        <w:tc>
          <w:tcPr>
            <w:tcW w:w="1880" w:type="dxa"/>
            <w:vAlign w:val="bottom"/>
            <w:vMerge w:val="restart"/>
          </w:tcPr>
          <w:p>
            <w:pPr>
              <w:ind w:left="1700"/>
              <w:spacing w:after="0"/>
              <w:rPr>
                <w:sz w:val="20"/>
                <w:szCs w:val="20"/>
                <w:color w:val="auto"/>
              </w:rPr>
            </w:pPr>
            <w:r>
              <w:rPr>
                <w:rFonts w:ascii="Times New Roman" w:cs="Times New Roman" w:eastAsia="Times New Roman" w:hAnsi="Times New Roman"/>
                <w:sz w:val="22"/>
                <w:szCs w:val="22"/>
                <w:color w:val="auto"/>
                <w:w w:val="87"/>
              </w:rPr>
              <w:t>d)</w:t>
            </w:r>
          </w:p>
        </w:tc>
        <w:tc>
          <w:tcPr>
            <w:tcW w:w="0" w:type="dxa"/>
            <w:vAlign w:val="bottom"/>
          </w:tcPr>
          <w:p>
            <w:pPr>
              <w:spacing w:after="0"/>
              <w:rPr>
                <w:sz w:val="1"/>
                <w:szCs w:val="1"/>
                <w:color w:val="auto"/>
              </w:rPr>
            </w:pPr>
          </w:p>
        </w:tc>
      </w:tr>
      <w:tr>
        <w:trPr>
          <w:trHeight w:val="133"/>
        </w:trPr>
        <w:tc>
          <w:tcPr>
            <w:tcW w:w="1860" w:type="dxa"/>
            <w:vAlign w:val="bottom"/>
          </w:tcPr>
          <w:p>
            <w:pPr>
              <w:spacing w:after="0"/>
              <w:rPr>
                <w:sz w:val="11"/>
                <w:szCs w:val="11"/>
                <w:color w:val="auto"/>
              </w:rPr>
            </w:pPr>
          </w:p>
        </w:tc>
        <w:tc>
          <w:tcPr>
            <w:tcW w:w="1880" w:type="dxa"/>
            <w:vAlign w:val="bottom"/>
            <w:vMerge w:val="continue"/>
          </w:tcPr>
          <w:p>
            <w:pPr>
              <w:spacing w:after="0"/>
              <w:rPr>
                <w:sz w:val="11"/>
                <w:szCs w:val="11"/>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4"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16"/>
          <w:szCs w:val="16"/>
          <w:color w:val="auto"/>
        </w:rPr>
        <w:t>Fuente: Moreno, 2012.</w:t>
      </w:r>
    </w:p>
    <w:p>
      <w:pPr>
        <w:sectPr>
          <w:pgSz w:w="9360" w:h="13039" w:orient="portrait"/>
          <w:cols w:equalWidth="0" w:num="1">
            <w:col w:w="5220"/>
          </w:cols>
          <w:pgMar w:left="1080" w:top="878" w:right="306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33"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40" name="Shape 4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40" o:spid="_x0000_s106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41" name="Shape 4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41" o:spid="_x0000_s106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42" name="Shape 4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42" o:spid="_x0000_s106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25" w:name="page26"/>
    <w:bookmarkEnd w:id="25"/>
    <w:tbl>
      <w:tblPr>
        <w:tblLayout w:type="fixed"/>
        <w:tblInd w:w="2162" w:type="dxa"/>
        <w:tblCellMar>
          <w:top w:w="0" w:type="dxa"/>
          <w:left w:w="0" w:type="dxa"/>
          <w:bottom w:w="0" w:type="dxa"/>
          <w:right w:w="0" w:type="dxa"/>
        </w:tblCellMar>
      </w:tblPr>
      <w:tr>
        <w:trPr>
          <w:trHeight w:val="222"/>
        </w:trPr>
        <w:tc>
          <w:tcPr>
            <w:tcW w:w="3880" w:type="dxa"/>
            <w:vAlign w:val="bottom"/>
          </w:tcPr>
          <w:p>
            <w:pPr>
              <w:spacing w:after="0"/>
              <w:rPr>
                <w:sz w:val="20"/>
                <w:szCs w:val="20"/>
                <w:color w:val="auto"/>
              </w:rPr>
            </w:pPr>
            <w:r>
              <w:rPr>
                <w:rFonts w:ascii="Arial Narrow" w:cs="Arial Narrow" w:eastAsia="Arial Narrow" w:hAnsi="Arial Narrow"/>
                <w:sz w:val="11"/>
                <w:szCs w:val="11"/>
                <w:color w:val="auto"/>
              </w:rPr>
              <w:t>manual de morfometría tradicional y geométrica</w:t>
            </w:r>
          </w:p>
        </w:tc>
        <w:tc>
          <w:tcPr>
            <w:tcW w:w="1160" w:type="dxa"/>
            <w:vAlign w:val="bottom"/>
          </w:tcPr>
          <w:p>
            <w:pPr>
              <w:jc w:val="right"/>
              <w:spacing w:after="0"/>
              <w:rPr>
                <w:sz w:val="20"/>
                <w:szCs w:val="20"/>
                <w:color w:val="auto"/>
              </w:rPr>
            </w:pPr>
            <w:r>
              <w:rPr>
                <w:rFonts w:ascii="Arial Narrow" w:cs="Arial Narrow" w:eastAsia="Arial Narrow" w:hAnsi="Arial Narrow"/>
                <w:sz w:val="16"/>
                <w:szCs w:val="16"/>
                <w:color w:val="auto"/>
              </w:rPr>
              <w:t>25</w:t>
            </w:r>
          </w:p>
        </w:tc>
      </w:tr>
    </w:tbl>
    <w:p>
      <w:pPr>
        <w:spacing w:after="0" w:line="200" w:lineRule="exact"/>
        <w:rPr>
          <w:sz w:val="20"/>
          <w:szCs w:val="20"/>
          <w:color w:val="auto"/>
        </w:rPr>
      </w:pPr>
    </w:p>
    <w:p>
      <w:pPr>
        <w:spacing w:after="0" w:line="309" w:lineRule="exact"/>
        <w:rPr>
          <w:sz w:val="20"/>
          <w:szCs w:val="20"/>
          <w:color w:val="auto"/>
        </w:rPr>
      </w:pPr>
    </w:p>
    <w:p>
      <w:pPr>
        <w:jc w:val="both"/>
        <w:ind w:left="242" w:hanging="242"/>
        <w:spacing w:after="0"/>
        <w:tabs>
          <w:tab w:leader="none" w:pos="242" w:val="left"/>
        </w:tabs>
        <w:numPr>
          <w:ilvl w:val="0"/>
          <w:numId w:val="10"/>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Toma de medidas:</w:t>
      </w:r>
    </w:p>
    <w:p>
      <w:pPr>
        <w:spacing w:after="0" w:line="67" w:lineRule="exact"/>
        <w:rPr>
          <w:rFonts w:ascii="Times New Roman" w:cs="Times New Roman" w:eastAsia="Times New Roman" w:hAnsi="Times New Roman"/>
          <w:sz w:val="22"/>
          <w:szCs w:val="22"/>
          <w:color w:val="auto"/>
        </w:rPr>
      </w:pPr>
    </w:p>
    <w:p>
      <w:pPr>
        <w:jc w:val="both"/>
        <w:ind w:left="542" w:hanging="302"/>
        <w:spacing w:after="0" w:line="303" w:lineRule="auto"/>
        <w:tabs>
          <w:tab w:leader="none" w:pos="542" w:val="left"/>
        </w:tabs>
        <w:numPr>
          <w:ilvl w:val="1"/>
          <w:numId w:val="10"/>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Seleccionar el icono de la línea para trazar una sobre la característica que se desea medir.</w:t>
      </w:r>
    </w:p>
    <w:p>
      <w:pPr>
        <w:spacing w:after="0" w:line="1" w:lineRule="exact"/>
        <w:rPr>
          <w:rFonts w:ascii="Times New Roman" w:cs="Times New Roman" w:eastAsia="Times New Roman" w:hAnsi="Times New Roman"/>
          <w:sz w:val="22"/>
          <w:szCs w:val="22"/>
          <w:color w:val="auto"/>
        </w:rPr>
      </w:pPr>
    </w:p>
    <w:p>
      <w:pPr>
        <w:jc w:val="both"/>
        <w:ind w:left="542" w:hanging="302"/>
        <w:spacing w:after="0"/>
        <w:tabs>
          <w:tab w:leader="none" w:pos="542" w:val="left"/>
        </w:tabs>
        <w:numPr>
          <w:ilvl w:val="1"/>
          <w:numId w:val="10"/>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Del menú principal elegir Analyze y dar clic en Measure.</w:t>
      </w:r>
    </w:p>
    <w:p>
      <w:pPr>
        <w:spacing w:after="0" w:line="67" w:lineRule="exact"/>
        <w:rPr>
          <w:rFonts w:ascii="Times New Roman" w:cs="Times New Roman" w:eastAsia="Times New Roman" w:hAnsi="Times New Roman"/>
          <w:sz w:val="22"/>
          <w:szCs w:val="22"/>
          <w:color w:val="auto"/>
        </w:rPr>
      </w:pPr>
    </w:p>
    <w:p>
      <w:pPr>
        <w:jc w:val="both"/>
        <w:ind w:left="542" w:hanging="302"/>
        <w:spacing w:after="0" w:line="327" w:lineRule="auto"/>
        <w:tabs>
          <w:tab w:leader="none" w:pos="542" w:val="left"/>
        </w:tabs>
        <w:numPr>
          <w:ilvl w:val="1"/>
          <w:numId w:val="10"/>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Aparecerá un cuadro de resultados donde se irán generando las medidas que se tomen.</w:t>
      </w:r>
    </w:p>
    <w:p>
      <w:pPr>
        <w:spacing w:after="0" w:line="234" w:lineRule="exact"/>
        <w:rPr>
          <w:sz w:val="20"/>
          <w:szCs w:val="20"/>
          <w:color w:val="auto"/>
        </w:rPr>
      </w:pPr>
    </w:p>
    <w:p>
      <w:pPr>
        <w:ind w:left="3202"/>
        <w:spacing w:after="0"/>
        <w:rPr>
          <w:sz w:val="20"/>
          <w:szCs w:val="20"/>
          <w:color w:val="auto"/>
        </w:rPr>
      </w:pPr>
      <w:r>
        <w:rPr>
          <w:rFonts w:ascii="Times New Roman" w:cs="Times New Roman" w:eastAsia="Times New Roman" w:hAnsi="Times New Roman"/>
          <w:sz w:val="22"/>
          <w:szCs w:val="22"/>
          <w:color w:val="auto"/>
        </w:rPr>
        <w:t>a)</w:t>
      </w:r>
    </w:p>
    <w:p>
      <w:pPr>
        <w:spacing w:after="0" w:line="227"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106045</wp:posOffset>
            </wp:positionH>
            <wp:positionV relativeFrom="paragraph">
              <wp:posOffset>-151130</wp:posOffset>
            </wp:positionV>
            <wp:extent cx="4359910" cy="1922145"/>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6">
                      <a:extLst>
                        <a:ext uri="{28A0092B-C50C-407E-A947-70E740481C1C}"/>
                      </a:extLst>
                    </a:blip>
                    <a:srcRect/>
                    <a:stretch>
                      <a:fillRect/>
                    </a:stretch>
                  </pic:blipFill>
                  <pic:spPr bwMode="auto">
                    <a:xfrm>
                      <a:off x="0" y="0"/>
                      <a:ext cx="4359910" cy="1922145"/>
                    </a:xfrm>
                    <a:prstGeom prst="rect">
                      <a:avLst/>
                    </a:prstGeom>
                    <a:noFill/>
                  </pic:spPr>
                </pic:pic>
              </a:graphicData>
            </a:graphic>
          </wp:anchor>
        </w:drawing>
      </w:r>
    </w:p>
    <w:p>
      <w:pPr>
        <w:ind w:left="402"/>
        <w:spacing w:after="0"/>
        <w:rPr>
          <w:sz w:val="20"/>
          <w:szCs w:val="20"/>
          <w:color w:val="auto"/>
        </w:rPr>
      </w:pPr>
      <w:r>
        <w:rPr>
          <w:rFonts w:ascii="Times New Roman" w:cs="Times New Roman" w:eastAsia="Times New Roman" w:hAnsi="Times New Roman"/>
          <w:sz w:val="22"/>
          <w:szCs w:val="22"/>
          <w:color w:val="auto"/>
        </w:rPr>
        <w:t>b)</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104140</wp:posOffset>
            </wp:positionH>
            <wp:positionV relativeFrom="paragraph">
              <wp:posOffset>1744345</wp:posOffset>
            </wp:positionV>
            <wp:extent cx="4330700" cy="2397125"/>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7">
                      <a:extLst>
                        <a:ext uri="{28A0092B-C50C-407E-A947-70E740481C1C}"/>
                      </a:extLst>
                    </a:blip>
                    <a:srcRect/>
                    <a:stretch>
                      <a:fillRect/>
                    </a:stretch>
                  </pic:blipFill>
                  <pic:spPr bwMode="auto">
                    <a:xfrm>
                      <a:off x="0" y="0"/>
                      <a:ext cx="4330700" cy="239712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2" w:lineRule="exact"/>
        <w:rPr>
          <w:sz w:val="20"/>
          <w:szCs w:val="20"/>
          <w:color w:val="auto"/>
        </w:rPr>
      </w:pPr>
    </w:p>
    <w:p>
      <w:pPr>
        <w:ind w:left="4182"/>
        <w:spacing w:after="0"/>
        <w:rPr>
          <w:sz w:val="20"/>
          <w:szCs w:val="20"/>
          <w:color w:val="auto"/>
        </w:rPr>
      </w:pPr>
      <w:r>
        <w:rPr>
          <w:rFonts w:ascii="Times New Roman" w:cs="Times New Roman" w:eastAsia="Times New Roman" w:hAnsi="Times New Roman"/>
          <w:sz w:val="22"/>
          <w:szCs w:val="22"/>
          <w:color w:val="auto"/>
        </w:rPr>
        <w:t>c)</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4" w:lineRule="exact"/>
        <w:rPr>
          <w:sz w:val="20"/>
          <w:szCs w:val="20"/>
          <w:color w:val="auto"/>
        </w:rPr>
      </w:pPr>
    </w:p>
    <w:p>
      <w:pPr>
        <w:ind w:left="162"/>
        <w:spacing w:after="0"/>
        <w:rPr>
          <w:sz w:val="20"/>
          <w:szCs w:val="20"/>
          <w:color w:val="auto"/>
        </w:rPr>
      </w:pPr>
      <w:r>
        <w:rPr>
          <w:rFonts w:ascii="Times New Roman" w:cs="Times New Roman" w:eastAsia="Times New Roman" w:hAnsi="Times New Roman"/>
          <w:sz w:val="16"/>
          <w:szCs w:val="16"/>
          <w:color w:val="auto"/>
        </w:rPr>
        <w:t>Nota: los pasos 1, 2 y 3 se deben repetir cada vez que se abra una imagen.</w:t>
      </w:r>
    </w:p>
    <w:p>
      <w:pPr>
        <w:sectPr>
          <w:pgSz w:w="9360" w:h="13039" w:orient="portrait"/>
          <w:cols w:equalWidth="0" w:num="1">
            <w:col w:w="7202"/>
          </w:cols>
          <w:pgMar w:left="1078"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65"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26" w:name="page27"/>
    <w:bookmarkEnd w:id="26"/>
    <w:p>
      <w:pPr>
        <w:ind w:left="9"/>
        <w:spacing w:after="0" w:line="239" w:lineRule="auto"/>
        <w:tabs>
          <w:tab w:leader="none" w:pos="1949" w:val="left"/>
        </w:tabs>
        <w:rPr>
          <w:sz w:val="20"/>
          <w:szCs w:val="20"/>
          <w:color w:val="auto"/>
        </w:rPr>
      </w:pPr>
      <w:r>
        <w:rPr>
          <w:rFonts w:ascii="Arial Narrow" w:cs="Arial Narrow" w:eastAsia="Arial Narrow" w:hAnsi="Arial Narrow"/>
          <w:sz w:val="16"/>
          <w:szCs w:val="16"/>
          <w:color w:val="auto"/>
        </w:rPr>
        <w:t>26</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p>
    <w:p>
      <w:pPr>
        <w:spacing w:after="0" w:line="376" w:lineRule="exact"/>
        <w:rPr>
          <w:sz w:val="20"/>
          <w:szCs w:val="20"/>
          <w:color w:val="auto"/>
        </w:rPr>
      </w:pPr>
    </w:p>
    <w:p>
      <w:pPr>
        <w:jc w:val="both"/>
        <w:ind w:left="249" w:hanging="249"/>
        <w:spacing w:after="0" w:line="327" w:lineRule="auto"/>
        <w:tabs>
          <w:tab w:leader="none" w:pos="249" w:val="left"/>
        </w:tabs>
        <w:numPr>
          <w:ilvl w:val="0"/>
          <w:numId w:val="11"/>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Guardar la matriz de datos generada. La matriz creada se puede guardar o en su defecto importarla a un paquete estadístico.</w:t>
      </w:r>
    </w:p>
    <w:p>
      <w:pPr>
        <w:spacing w:after="0" w:line="200" w:lineRule="exact"/>
        <w:rPr>
          <w:sz w:val="20"/>
          <w:szCs w:val="20"/>
          <w:color w:val="auto"/>
        </w:rPr>
      </w:pPr>
    </w:p>
    <w:p>
      <w:pPr>
        <w:spacing w:after="0" w:line="391" w:lineRule="exact"/>
        <w:rPr>
          <w:sz w:val="20"/>
          <w:szCs w:val="20"/>
          <w:color w:val="auto"/>
        </w:rPr>
      </w:pPr>
    </w:p>
    <w:p>
      <w:pPr>
        <w:ind w:left="9"/>
        <w:spacing w:after="0"/>
        <w:rPr>
          <w:sz w:val="20"/>
          <w:szCs w:val="20"/>
          <w:color w:val="auto"/>
        </w:rPr>
      </w:pPr>
      <w:r>
        <w:rPr>
          <w:rFonts w:ascii="Times New Roman" w:cs="Times New Roman" w:eastAsia="Times New Roman" w:hAnsi="Times New Roman"/>
          <w:sz w:val="22"/>
          <w:szCs w:val="22"/>
          <w:color w:val="auto"/>
        </w:rPr>
        <w:t>Morfometría geométrica</w:t>
      </w:r>
    </w:p>
    <w:p>
      <w:pPr>
        <w:spacing w:after="0" w:line="387" w:lineRule="exact"/>
        <w:rPr>
          <w:sz w:val="20"/>
          <w:szCs w:val="20"/>
          <w:color w:val="auto"/>
        </w:rPr>
      </w:pPr>
    </w:p>
    <w:p>
      <w:pPr>
        <w:ind w:left="9"/>
        <w:spacing w:after="0"/>
        <w:rPr>
          <w:sz w:val="20"/>
          <w:szCs w:val="20"/>
          <w:color w:val="auto"/>
        </w:rPr>
      </w:pPr>
      <w:r>
        <w:rPr>
          <w:rFonts w:ascii="Times New Roman" w:cs="Times New Roman" w:eastAsia="Times New Roman" w:hAnsi="Times New Roman"/>
          <w:sz w:val="22"/>
          <w:szCs w:val="22"/>
          <w:i w:val="1"/>
          <w:iCs w:val="1"/>
          <w:color w:val="auto"/>
        </w:rPr>
        <w:t>Landmarks</w:t>
      </w:r>
    </w:p>
    <w:p>
      <w:pPr>
        <w:spacing w:after="0" w:line="387" w:lineRule="exact"/>
        <w:rPr>
          <w:sz w:val="20"/>
          <w:szCs w:val="20"/>
          <w:color w:val="auto"/>
        </w:rPr>
      </w:pPr>
    </w:p>
    <w:p>
      <w:pPr>
        <w:jc w:val="both"/>
        <w:ind w:left="249" w:hanging="249"/>
        <w:spacing w:after="0" w:line="321" w:lineRule="auto"/>
        <w:tabs>
          <w:tab w:leader="none" w:pos="249" w:val="left"/>
        </w:tabs>
        <w:numPr>
          <w:ilvl w:val="0"/>
          <w:numId w:val="12"/>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 xml:space="preserve">Toma de fotografías. Las fotografías deben tomarse con una cámara digital de alta resolución a 20 cm de la muestra aproximadamente. Es muy importante colocar cada muestra en la misma orientación (frontal, lateral o ventral según sea el caso), ya que la rotación de una fotografía a otra genera una alteración artificial de las posiciones relativas de los </w:t>
      </w:r>
      <w:r>
        <w:rPr>
          <w:rFonts w:ascii="Times New Roman" w:cs="Times New Roman" w:eastAsia="Times New Roman" w:hAnsi="Times New Roman"/>
          <w:sz w:val="21"/>
          <w:szCs w:val="21"/>
          <w:i w:val="1"/>
          <w:iCs w:val="1"/>
          <w:color w:val="auto"/>
        </w:rPr>
        <w:t>landmarks</w:t>
      </w:r>
      <w:r>
        <w:rPr>
          <w:rFonts w:ascii="Times New Roman" w:cs="Times New Roman" w:eastAsia="Times New Roman" w:hAnsi="Times New Roman"/>
          <w:sz w:val="21"/>
          <w:szCs w:val="21"/>
          <w:color w:val="auto"/>
        </w:rPr>
        <w:t xml:space="preserve">. Para fijar la muestra se puede utilizar plastilina o espuma de poliuretano con alfileres. Se debe emplear un fondo que contraste con el ejemplar y, si las muestras no son planas, será preciso recurrir a la iluminación artificial durante la toma de fotografías con el fin de no generar sombras que dificulten la digitalización de los </w:t>
      </w:r>
      <w:r>
        <w:rPr>
          <w:rFonts w:ascii="Times New Roman" w:cs="Times New Roman" w:eastAsia="Times New Roman" w:hAnsi="Times New Roman"/>
          <w:sz w:val="21"/>
          <w:szCs w:val="21"/>
          <w:i w:val="1"/>
          <w:iCs w:val="1"/>
          <w:color w:val="auto"/>
        </w:rPr>
        <w:t>landmarks</w:t>
      </w:r>
      <w:r>
        <w:rPr>
          <w:rFonts w:ascii="Times New Roman" w:cs="Times New Roman" w:eastAsia="Times New Roman" w:hAnsi="Times New Roman"/>
          <w:sz w:val="21"/>
          <w:szCs w:val="21"/>
          <w:color w:val="auto"/>
        </w:rPr>
        <w:t>. También es necesario colocar una escala en milímetros, que conviene ubicarla de manera fija con respecto a la muestra o bien usar ésta como base.</w:t>
      </w:r>
    </w:p>
    <w:p>
      <w:pPr>
        <w:jc w:val="both"/>
        <w:ind w:left="249" w:hanging="249"/>
        <w:spacing w:after="0" w:line="321" w:lineRule="auto"/>
        <w:tabs>
          <w:tab w:leader="none" w:pos="249" w:val="left"/>
        </w:tabs>
        <w:rPr>
          <w:sz w:val="20"/>
          <w:szCs w:val="20"/>
          <w:color w:val="auto"/>
        </w:rPr>
        <w:sectPr>
          <w:pgSz w:w="9360" w:h="13039" w:orient="portrait"/>
          <w:cols w:equalWidth="0" w:num="1">
            <w:col w:w="7209"/>
          </w:cols>
          <w:pgMar w:left="1071" w:top="878" w:right="1080" w:bottom="437" w:gutter="0" w:footer="0" w:header="0"/>
        </w:sectPr>
      </w:pPr>
      <w:r>
        <w:rPr>
          <w:sz w:val="20"/>
          <w:szCs w:val="20"/>
          <w:color w:val="auto"/>
        </w:rPr>
        <w:drawing>
          <wp:anchor simplePos="0" relativeHeight="251657728" behindDoc="1" locked="0" layoutInCell="0" allowOverlap="1">
            <wp:simplePos x="0" y="0"/>
            <wp:positionH relativeFrom="column">
              <wp:posOffset>2540</wp:posOffset>
            </wp:positionH>
            <wp:positionV relativeFrom="paragraph">
              <wp:posOffset>241300</wp:posOffset>
            </wp:positionV>
            <wp:extent cx="4574540" cy="211582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8">
                      <a:extLst>
                        <a:ext uri="{28A0092B-C50C-407E-A947-70E740481C1C}"/>
                      </a:extLst>
                    </a:blip>
                    <a:srcRect/>
                    <a:stretch>
                      <a:fillRect/>
                    </a:stretch>
                  </pic:blipFill>
                  <pic:spPr bwMode="auto">
                    <a:xfrm>
                      <a:off x="0" y="0"/>
                      <a:ext cx="4574540" cy="211582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2"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46" name="Shape 4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46" o:spid="_x0000_s107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47" name="Shape 4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47" o:spid="_x0000_s107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48" name="Shape 4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48" o:spid="_x0000_s107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27" w:name="page28"/>
    <w:bookmarkEnd w:id="27"/>
    <w:tbl>
      <w:tblPr>
        <w:tblLayout w:type="fixed"/>
        <w:tblInd w:w="2160" w:type="dxa"/>
        <w:tblCellMar>
          <w:top w:w="0" w:type="dxa"/>
          <w:left w:w="0" w:type="dxa"/>
          <w:bottom w:w="0" w:type="dxa"/>
          <w:right w:w="0" w:type="dxa"/>
        </w:tblCellMar>
      </w:tblPr>
      <w:tr>
        <w:trPr>
          <w:trHeight w:val="222"/>
        </w:trPr>
        <w:tc>
          <w:tcPr>
            <w:tcW w:w="3880" w:type="dxa"/>
            <w:vAlign w:val="bottom"/>
          </w:tcPr>
          <w:p>
            <w:pPr>
              <w:spacing w:after="0"/>
              <w:rPr>
                <w:sz w:val="20"/>
                <w:szCs w:val="20"/>
                <w:color w:val="auto"/>
              </w:rPr>
            </w:pPr>
            <w:r>
              <w:rPr>
                <w:rFonts w:ascii="Arial Narrow" w:cs="Arial Narrow" w:eastAsia="Arial Narrow" w:hAnsi="Arial Narrow"/>
                <w:sz w:val="11"/>
                <w:szCs w:val="11"/>
                <w:color w:val="auto"/>
              </w:rPr>
              <w:t>manual de morfometría tradicional y geométrica</w:t>
            </w:r>
          </w:p>
        </w:tc>
        <w:tc>
          <w:tcPr>
            <w:tcW w:w="1160" w:type="dxa"/>
            <w:vAlign w:val="bottom"/>
          </w:tcPr>
          <w:p>
            <w:pPr>
              <w:jc w:val="right"/>
              <w:spacing w:after="0"/>
              <w:rPr>
                <w:sz w:val="20"/>
                <w:szCs w:val="20"/>
                <w:color w:val="auto"/>
              </w:rPr>
            </w:pPr>
            <w:r>
              <w:rPr>
                <w:rFonts w:ascii="Arial Narrow" w:cs="Arial Narrow" w:eastAsia="Arial Narrow" w:hAnsi="Arial Narrow"/>
                <w:sz w:val="16"/>
                <w:szCs w:val="16"/>
                <w:color w:val="auto"/>
              </w:rPr>
              <w:t>27</w:t>
            </w:r>
          </w:p>
        </w:tc>
      </w:tr>
    </w:tbl>
    <w:p>
      <w:pPr>
        <w:spacing w:after="0" w:line="200" w:lineRule="exact"/>
        <w:rPr>
          <w:sz w:val="20"/>
          <w:szCs w:val="20"/>
          <w:color w:val="auto"/>
        </w:rPr>
      </w:pPr>
    </w:p>
    <w:p>
      <w:pPr>
        <w:spacing w:after="0" w:line="309" w:lineRule="exact"/>
        <w:rPr>
          <w:sz w:val="20"/>
          <w:szCs w:val="20"/>
          <w:color w:val="auto"/>
        </w:rPr>
      </w:pPr>
    </w:p>
    <w:p>
      <w:pPr>
        <w:jc w:val="both"/>
        <w:ind w:left="240" w:hanging="240"/>
        <w:spacing w:after="0" w:line="318" w:lineRule="auto"/>
        <w:tabs>
          <w:tab w:leader="none" w:pos="240" w:val="left"/>
        </w:tabs>
        <w:numPr>
          <w:ilvl w:val="0"/>
          <w:numId w:val="13"/>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Procesamiento de imágenes. Una vez que se han tomado todas las fotografías para el estudio, se organizan en carpetas de acuerdo con el objetivo que se tiene; por ejemplo, si se quiere estudiar el grado de variación morfológica de la cabeza de dos especies relacionadas, se crea una carpeta de fotografías para cada especie, o, para la ontogenia de un organismo, una carpeta por edad o etapa de desarrollo.</w:t>
      </w:r>
    </w:p>
    <w:p>
      <w:pPr>
        <w:jc w:val="both"/>
        <w:ind w:left="240" w:hanging="240"/>
        <w:spacing w:after="0" w:line="333" w:lineRule="auto"/>
        <w:tabs>
          <w:tab w:leader="none" w:pos="240" w:val="left"/>
        </w:tabs>
        <w:numPr>
          <w:ilvl w:val="0"/>
          <w:numId w:val="13"/>
        </w:numPr>
        <w:rPr>
          <w:rFonts w:ascii="Times New Roman" w:cs="Times New Roman" w:eastAsia="Times New Roman" w:hAnsi="Times New Roman"/>
          <w:sz w:val="20"/>
          <w:szCs w:val="20"/>
          <w:color w:val="auto"/>
        </w:rPr>
      </w:pPr>
      <w:r>
        <w:rPr>
          <w:rFonts w:ascii="Times New Roman" w:cs="Times New Roman" w:eastAsia="Times New Roman" w:hAnsi="Times New Roman"/>
          <w:sz w:val="20"/>
          <w:szCs w:val="20"/>
          <w:color w:val="auto"/>
        </w:rPr>
        <w:t>Los programas de morfometría geométrica admiten distintos formatos de entrada para las imágenes, por lo que pueden estar en cualquiera de estos: bmp, jpg y png. Para convertir una foto de un formato a otro puede utilizarse un programa de análisis de imágenes (Paint, Adobe Photoshop, Corel Draw, Imaging, ImageJ, etc.).</w:t>
      </w:r>
    </w:p>
    <w:p>
      <w:pPr>
        <w:spacing w:after="0" w:line="3" w:lineRule="exact"/>
        <w:rPr>
          <w:rFonts w:ascii="Times New Roman" w:cs="Times New Roman" w:eastAsia="Times New Roman" w:hAnsi="Times New Roman"/>
          <w:sz w:val="20"/>
          <w:szCs w:val="20"/>
          <w:color w:val="auto"/>
        </w:rPr>
      </w:pPr>
    </w:p>
    <w:p>
      <w:pPr>
        <w:jc w:val="both"/>
        <w:ind w:left="240" w:hanging="240"/>
        <w:spacing w:after="0" w:line="303" w:lineRule="auto"/>
        <w:tabs>
          <w:tab w:leader="none" w:pos="240" w:val="left"/>
        </w:tabs>
        <w:numPr>
          <w:ilvl w:val="0"/>
          <w:numId w:val="13"/>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Creación del archivo de imágenes (tpsUtil). Se manejan programas de la serie tps. Ya organizadas las imágenes y con alguno de los formatos mencionados, se construye un primer archivo de tps en el programa tpsUtil.</w:t>
      </w:r>
    </w:p>
    <w:p>
      <w:pPr>
        <w:spacing w:after="0" w:line="1" w:lineRule="exact"/>
        <w:rPr>
          <w:rFonts w:ascii="Times New Roman" w:cs="Times New Roman" w:eastAsia="Times New Roman" w:hAnsi="Times New Roman"/>
          <w:sz w:val="22"/>
          <w:szCs w:val="22"/>
          <w:color w:val="auto"/>
        </w:rPr>
      </w:pPr>
    </w:p>
    <w:p>
      <w:pPr>
        <w:jc w:val="both"/>
        <w:ind w:left="540" w:hanging="300"/>
        <w:spacing w:after="0"/>
        <w:tabs>
          <w:tab w:leader="none" w:pos="540" w:val="left"/>
        </w:tabs>
        <w:numPr>
          <w:ilvl w:val="1"/>
          <w:numId w:val="13"/>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Primero se debe elegir la opción de crear un archivo tps de imágenes.</w:t>
      </w:r>
    </w:p>
    <w:p>
      <w:pPr>
        <w:spacing w:after="0" w:line="67" w:lineRule="exact"/>
        <w:rPr>
          <w:rFonts w:ascii="Times New Roman" w:cs="Times New Roman" w:eastAsia="Times New Roman" w:hAnsi="Times New Roman"/>
          <w:sz w:val="22"/>
          <w:szCs w:val="22"/>
          <w:color w:val="auto"/>
        </w:rPr>
      </w:pPr>
    </w:p>
    <w:p>
      <w:pPr>
        <w:jc w:val="both"/>
        <w:ind w:left="540" w:hanging="300"/>
        <w:spacing w:after="0" w:line="303" w:lineRule="auto"/>
        <w:tabs>
          <w:tab w:leader="none" w:pos="540" w:val="left"/>
        </w:tabs>
        <w:numPr>
          <w:ilvl w:val="1"/>
          <w:numId w:val="13"/>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Input: abrir la carpeta de imágenes y seleccionar la primera (de manera automática se agregan las fotos restantes).</w:t>
      </w:r>
    </w:p>
    <w:p>
      <w:pPr>
        <w:spacing w:after="0" w:line="1" w:lineRule="exact"/>
        <w:rPr>
          <w:rFonts w:ascii="Times New Roman" w:cs="Times New Roman" w:eastAsia="Times New Roman" w:hAnsi="Times New Roman"/>
          <w:sz w:val="22"/>
          <w:szCs w:val="22"/>
          <w:color w:val="auto"/>
        </w:rPr>
      </w:pPr>
    </w:p>
    <w:p>
      <w:pPr>
        <w:jc w:val="both"/>
        <w:ind w:left="540" w:hanging="300"/>
        <w:spacing w:after="0"/>
        <w:tabs>
          <w:tab w:leader="none" w:pos="540" w:val="left"/>
        </w:tabs>
        <w:numPr>
          <w:ilvl w:val="1"/>
          <w:numId w:val="13"/>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Output: nombrar y guardar el archivo de salida.</w:t>
      </w:r>
    </w:p>
    <w:p>
      <w:pPr>
        <w:spacing w:after="0" w:line="67" w:lineRule="exact"/>
        <w:rPr>
          <w:rFonts w:ascii="Times New Roman" w:cs="Times New Roman" w:eastAsia="Times New Roman" w:hAnsi="Times New Roman"/>
          <w:sz w:val="22"/>
          <w:szCs w:val="22"/>
          <w:color w:val="auto"/>
        </w:rPr>
      </w:pPr>
    </w:p>
    <w:p>
      <w:pPr>
        <w:jc w:val="both"/>
        <w:ind w:left="540" w:hanging="300"/>
        <w:spacing w:after="0" w:line="303" w:lineRule="auto"/>
        <w:tabs>
          <w:tab w:leader="none" w:pos="540" w:val="left"/>
        </w:tabs>
        <w:numPr>
          <w:ilvl w:val="1"/>
          <w:numId w:val="13"/>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Setup: organizar (con Up y Dn) y borrar las imágenes que no se utilicen (sólo con deseleccionar la etiqueta de la imagen); una vez organizadas las imágenes, dar clic en Create.</w:t>
      </w:r>
    </w:p>
    <w:p>
      <w:pPr>
        <w:spacing w:after="0" w:line="1" w:lineRule="exact"/>
        <w:rPr>
          <w:rFonts w:ascii="Times New Roman" w:cs="Times New Roman" w:eastAsia="Times New Roman" w:hAnsi="Times New Roman"/>
          <w:sz w:val="22"/>
          <w:szCs w:val="22"/>
          <w:color w:val="auto"/>
        </w:rPr>
      </w:pPr>
    </w:p>
    <w:p>
      <w:pPr>
        <w:jc w:val="both"/>
        <w:ind w:left="540" w:hanging="300"/>
        <w:spacing w:after="0"/>
        <w:tabs>
          <w:tab w:leader="none" w:pos="540" w:val="left"/>
        </w:tabs>
        <w:numPr>
          <w:ilvl w:val="1"/>
          <w:numId w:val="13"/>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Cerrar el programa.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219710</wp:posOffset>
            </wp:positionH>
            <wp:positionV relativeFrom="paragraph">
              <wp:posOffset>266700</wp:posOffset>
            </wp:positionV>
            <wp:extent cx="4128770" cy="1956435"/>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9">
                      <a:extLst>
                        <a:ext uri="{28A0092B-C50C-407E-A947-70E740481C1C}"/>
                      </a:extLst>
                    </a:blip>
                    <a:srcRect/>
                    <a:stretch>
                      <a:fillRect/>
                    </a:stretch>
                  </pic:blipFill>
                  <pic:spPr bwMode="auto">
                    <a:xfrm>
                      <a:off x="0" y="0"/>
                      <a:ext cx="4128770" cy="1956435"/>
                    </a:xfrm>
                    <a:prstGeom prst="rect">
                      <a:avLst/>
                    </a:prstGeom>
                    <a:noFill/>
                  </pic:spPr>
                </pic:pic>
              </a:graphicData>
            </a:graphic>
          </wp:anchor>
        </w:drawing>
      </w:r>
    </w:p>
    <w:p>
      <w:pPr>
        <w:spacing w:after="0" w:line="200" w:lineRule="exact"/>
        <w:rPr>
          <w:sz w:val="20"/>
          <w:szCs w:val="20"/>
          <w:color w:val="auto"/>
        </w:rPr>
      </w:pPr>
    </w:p>
    <w:p>
      <w:pPr>
        <w:spacing w:after="0" w:line="284" w:lineRule="exact"/>
        <w:rPr>
          <w:sz w:val="20"/>
          <w:szCs w:val="20"/>
          <w:color w:val="auto"/>
        </w:rPr>
      </w:pPr>
    </w:p>
    <w:p>
      <w:pPr>
        <w:ind w:left="2340"/>
        <w:spacing w:after="0"/>
        <w:rPr>
          <w:sz w:val="20"/>
          <w:szCs w:val="20"/>
          <w:color w:val="auto"/>
        </w:rPr>
      </w:pPr>
      <w:r>
        <w:rPr>
          <w:rFonts w:ascii="Times New Roman" w:cs="Times New Roman" w:eastAsia="Times New Roman" w:hAnsi="Times New Roman"/>
          <w:sz w:val="20"/>
          <w:szCs w:val="20"/>
          <w:color w:val="auto"/>
        </w:rPr>
        <w:t>a)</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4"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0"/>
          <w:szCs w:val="20"/>
          <w:color w:val="auto"/>
        </w:rPr>
        <w:t>b)</w:t>
      </w:r>
    </w:p>
    <w:p>
      <w:pPr>
        <w:spacing w:after="0" w:line="200" w:lineRule="exact"/>
        <w:rPr>
          <w:sz w:val="20"/>
          <w:szCs w:val="20"/>
          <w:color w:val="auto"/>
        </w:rPr>
      </w:pPr>
    </w:p>
    <w:p>
      <w:pPr>
        <w:spacing w:after="0" w:line="364"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c)</w:t>
      </w:r>
    </w:p>
    <w:p>
      <w:pPr>
        <w:spacing w:after="0" w:line="218" w:lineRule="exact"/>
        <w:rPr>
          <w:sz w:val="20"/>
          <w:szCs w:val="20"/>
          <w:color w:val="auto"/>
        </w:rPr>
      </w:pPr>
      <w:r>
        <w:rPr>
          <w:sz w:val="20"/>
          <w:szCs w:val="20"/>
          <w:color w:val="auto"/>
        </w:rPr>
        <w:br w:type="column"/>
      </w:r>
    </w:p>
    <w:p>
      <w:pPr>
        <w:jc w:val="right"/>
        <w:spacing w:after="0"/>
        <w:rPr>
          <w:sz w:val="20"/>
          <w:szCs w:val="20"/>
          <w:color w:val="auto"/>
        </w:rPr>
      </w:pPr>
      <w:r>
        <w:rPr>
          <w:rFonts w:ascii="Times New Roman" w:cs="Times New Roman" w:eastAsia="Times New Roman" w:hAnsi="Times New Roman"/>
          <w:sz w:val="20"/>
          <w:szCs w:val="20"/>
          <w:color w:val="auto"/>
        </w:rPr>
        <w:t>d)</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e)</w:t>
      </w:r>
    </w:p>
    <w:p>
      <w:pPr>
        <w:sectPr>
          <w:pgSz w:w="9360" w:h="13039" w:orient="portrait"/>
          <w:cols w:equalWidth="0" w:num="2">
            <w:col w:w="200" w:space="1440"/>
            <w:col w:w="620"/>
          </w:cols>
          <w:pgMar w:left="2960" w:top="906" w:right="4140" w:bottom="43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9"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28" w:name="page29"/>
    <w:bookmarkEnd w:id="28"/>
    <w:p>
      <w:pPr>
        <w:spacing w:after="0" w:line="239" w:lineRule="auto"/>
        <w:tabs>
          <w:tab w:leader="none" w:pos="1940" w:val="left"/>
        </w:tabs>
        <w:rPr>
          <w:sz w:val="20"/>
          <w:szCs w:val="20"/>
          <w:color w:val="auto"/>
        </w:rPr>
      </w:pPr>
      <w:r>
        <w:rPr>
          <w:rFonts w:ascii="Arial Narrow" w:cs="Arial Narrow" w:eastAsia="Arial Narrow" w:hAnsi="Arial Narrow"/>
          <w:sz w:val="16"/>
          <w:szCs w:val="16"/>
          <w:color w:val="auto"/>
        </w:rPr>
        <w:t>28</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p>
    <w:p>
      <w:pPr>
        <w:spacing w:after="0" w:line="376" w:lineRule="exact"/>
        <w:rPr>
          <w:sz w:val="20"/>
          <w:szCs w:val="20"/>
          <w:color w:val="auto"/>
        </w:rPr>
      </w:pPr>
    </w:p>
    <w:p>
      <w:pPr>
        <w:jc w:val="both"/>
        <w:ind w:left="720" w:hanging="480"/>
        <w:spacing w:after="0" w:line="303" w:lineRule="auto"/>
        <w:tabs>
          <w:tab w:leader="none" w:pos="720" w:val="left"/>
        </w:tabs>
        <w:numPr>
          <w:ilvl w:val="0"/>
          <w:numId w:val="14"/>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Unir dos o más archivos tps. Para poder juntar dos o más archivos tps (por ejemplo, cuando se requiere aumentar el tamaño de la muestra) es necesario crear una nueva carpeta en la que se agreguen los archivos que se pretenden unir, así como las imágenes con las que fueron creados. Esta función se realiza con el programa tpsUtil. Los pasos a seguir son:</w:t>
      </w:r>
    </w:p>
    <w:p>
      <w:pPr>
        <w:spacing w:after="0" w:line="3" w:lineRule="exact"/>
        <w:rPr>
          <w:rFonts w:ascii="Times New Roman" w:cs="Times New Roman" w:eastAsia="Times New Roman" w:hAnsi="Times New Roman"/>
          <w:sz w:val="22"/>
          <w:szCs w:val="22"/>
          <w:color w:val="auto"/>
        </w:rPr>
      </w:pPr>
    </w:p>
    <w:p>
      <w:pPr>
        <w:jc w:val="both"/>
        <w:ind w:left="1080" w:hanging="360"/>
        <w:spacing w:after="0"/>
        <w:tabs>
          <w:tab w:leader="none" w:pos="1080" w:val="left"/>
        </w:tabs>
        <w:numPr>
          <w:ilvl w:val="1"/>
          <w:numId w:val="14"/>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Elegir la opción Appened Files.</w:t>
      </w:r>
    </w:p>
    <w:p>
      <w:pPr>
        <w:spacing w:after="0" w:line="67" w:lineRule="exact"/>
        <w:rPr>
          <w:rFonts w:ascii="Times New Roman" w:cs="Times New Roman" w:eastAsia="Times New Roman" w:hAnsi="Times New Roman"/>
          <w:sz w:val="22"/>
          <w:szCs w:val="22"/>
          <w:color w:val="auto"/>
        </w:rPr>
      </w:pPr>
    </w:p>
    <w:p>
      <w:pPr>
        <w:jc w:val="both"/>
        <w:ind w:left="1080" w:hanging="360"/>
        <w:spacing w:after="0" w:line="303" w:lineRule="auto"/>
        <w:tabs>
          <w:tab w:leader="none" w:pos="1080" w:val="left"/>
        </w:tabs>
        <w:numPr>
          <w:ilvl w:val="1"/>
          <w:numId w:val="14"/>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Abrir la carpeta que contiene los archivos tps y las imágenes que se desean agregar, y escoger uno de los archivos tps.</w:t>
      </w:r>
    </w:p>
    <w:p>
      <w:pPr>
        <w:spacing w:after="0" w:line="1" w:lineRule="exact"/>
        <w:rPr>
          <w:rFonts w:ascii="Times New Roman" w:cs="Times New Roman" w:eastAsia="Times New Roman" w:hAnsi="Times New Roman"/>
          <w:sz w:val="22"/>
          <w:szCs w:val="22"/>
          <w:color w:val="auto"/>
        </w:rPr>
      </w:pPr>
    </w:p>
    <w:p>
      <w:pPr>
        <w:jc w:val="both"/>
        <w:ind w:left="1080" w:hanging="360"/>
        <w:spacing w:after="0"/>
        <w:tabs>
          <w:tab w:leader="none" w:pos="1080" w:val="left"/>
        </w:tabs>
        <w:numPr>
          <w:ilvl w:val="1"/>
          <w:numId w:val="14"/>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Nombrar y guardar un archivo de salida.</w:t>
      </w:r>
    </w:p>
    <w:p>
      <w:pPr>
        <w:spacing w:after="0" w:line="67" w:lineRule="exact"/>
        <w:rPr>
          <w:rFonts w:ascii="Times New Roman" w:cs="Times New Roman" w:eastAsia="Times New Roman" w:hAnsi="Times New Roman"/>
          <w:sz w:val="22"/>
          <w:szCs w:val="22"/>
          <w:color w:val="auto"/>
        </w:rPr>
      </w:pPr>
    </w:p>
    <w:p>
      <w:pPr>
        <w:jc w:val="both"/>
        <w:ind w:left="1080" w:hanging="360"/>
        <w:spacing w:after="0"/>
        <w:tabs>
          <w:tab w:leader="none" w:pos="1080" w:val="left"/>
        </w:tabs>
        <w:numPr>
          <w:ilvl w:val="1"/>
          <w:numId w:val="14"/>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Seleccionar el icono Setup y en la ventana que se abre oprimir Create.</w:t>
      </w:r>
    </w:p>
    <w:p>
      <w:pPr>
        <w:spacing w:after="0" w:line="78" w:lineRule="exact"/>
        <w:rPr>
          <w:rFonts w:ascii="Times New Roman" w:cs="Times New Roman" w:eastAsia="Times New Roman" w:hAnsi="Times New Roman"/>
          <w:sz w:val="21"/>
          <w:szCs w:val="21"/>
          <w:color w:val="auto"/>
        </w:rPr>
      </w:pPr>
    </w:p>
    <w:p>
      <w:pPr>
        <w:jc w:val="both"/>
        <w:ind w:left="1080" w:hanging="360"/>
        <w:spacing w:after="0"/>
        <w:tabs>
          <w:tab w:leader="none" w:pos="1080" w:val="left"/>
        </w:tabs>
        <w:numPr>
          <w:ilvl w:val="1"/>
          <w:numId w:val="14"/>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Cerrar el programa.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408940</wp:posOffset>
            </wp:positionH>
            <wp:positionV relativeFrom="paragraph">
              <wp:posOffset>310515</wp:posOffset>
            </wp:positionV>
            <wp:extent cx="3750945" cy="1771015"/>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0">
                      <a:extLst>
                        <a:ext uri="{28A0092B-C50C-407E-A947-70E740481C1C}"/>
                      </a:extLst>
                    </a:blip>
                    <a:srcRect/>
                    <a:stretch>
                      <a:fillRect/>
                    </a:stretch>
                  </pic:blipFill>
                  <pic:spPr bwMode="auto">
                    <a:xfrm>
                      <a:off x="0" y="0"/>
                      <a:ext cx="3750945" cy="1771015"/>
                    </a:xfrm>
                    <a:prstGeom prst="rect">
                      <a:avLst/>
                    </a:prstGeom>
                    <a:noFill/>
                  </pic:spPr>
                </pic:pic>
              </a:graphicData>
            </a:graphic>
          </wp:anchor>
        </w:drawing>
      </w:r>
    </w:p>
    <w:p>
      <w:pPr>
        <w:spacing w:after="0" w:line="200" w:lineRule="exact"/>
        <w:rPr>
          <w:sz w:val="20"/>
          <w:szCs w:val="20"/>
          <w:color w:val="auto"/>
        </w:rPr>
      </w:pPr>
    </w:p>
    <w:p>
      <w:pPr>
        <w:spacing w:after="0" w:line="312" w:lineRule="exact"/>
        <w:rPr>
          <w:sz w:val="20"/>
          <w:szCs w:val="20"/>
          <w:color w:val="auto"/>
        </w:rPr>
      </w:pPr>
    </w:p>
    <w:p>
      <w:pPr>
        <w:ind w:left="1700"/>
        <w:spacing w:after="0"/>
        <w:rPr>
          <w:sz w:val="20"/>
          <w:szCs w:val="20"/>
          <w:color w:val="auto"/>
        </w:rPr>
      </w:pPr>
      <w:r>
        <w:rPr>
          <w:rFonts w:ascii="Times New Roman" w:cs="Times New Roman" w:eastAsia="Times New Roman" w:hAnsi="Times New Roman"/>
          <w:sz w:val="20"/>
          <w:szCs w:val="20"/>
          <w:color w:val="auto"/>
        </w:rPr>
        <w:t>a)</w:t>
      </w:r>
    </w:p>
    <w:p>
      <w:pPr>
        <w:spacing w:after="0" w:line="200" w:lineRule="exact"/>
        <w:rPr>
          <w:sz w:val="20"/>
          <w:szCs w:val="20"/>
          <w:color w:val="auto"/>
        </w:rPr>
      </w:pPr>
    </w:p>
    <w:p>
      <w:pPr>
        <w:spacing w:after="0" w:line="301" w:lineRule="exact"/>
        <w:rPr>
          <w:sz w:val="20"/>
          <w:szCs w:val="20"/>
          <w:color w:val="auto"/>
        </w:rPr>
      </w:pPr>
    </w:p>
    <w:p>
      <w:pPr>
        <w:ind w:left="1900"/>
        <w:spacing w:after="0"/>
        <w:rPr>
          <w:sz w:val="20"/>
          <w:szCs w:val="20"/>
          <w:color w:val="auto"/>
        </w:rPr>
      </w:pPr>
      <w:r>
        <w:rPr>
          <w:rFonts w:ascii="Times New Roman" w:cs="Times New Roman" w:eastAsia="Times New Roman" w:hAnsi="Times New Roman"/>
          <w:sz w:val="20"/>
          <w:szCs w:val="20"/>
          <w:color w:val="auto"/>
        </w:rPr>
        <w:t>b)</w:t>
      </w:r>
    </w:p>
    <w:p>
      <w:pPr>
        <w:spacing w:after="0" w:line="298"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0"/>
          <w:szCs w:val="20"/>
          <w:color w:val="auto"/>
        </w:rPr>
        <w:t>c)</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408940</wp:posOffset>
            </wp:positionH>
            <wp:positionV relativeFrom="paragraph">
              <wp:posOffset>846455</wp:posOffset>
            </wp:positionV>
            <wp:extent cx="3750945" cy="181356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1">
                      <a:extLst>
                        <a:ext uri="{28A0092B-C50C-407E-A947-70E740481C1C}"/>
                      </a:extLst>
                    </a:blip>
                    <a:srcRect/>
                    <a:stretch>
                      <a:fillRect/>
                    </a:stretch>
                  </pic:blipFill>
                  <pic:spPr bwMode="auto">
                    <a:xfrm>
                      <a:off x="0" y="0"/>
                      <a:ext cx="3750945" cy="181356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0" w:lineRule="exact"/>
        <w:rPr>
          <w:sz w:val="20"/>
          <w:szCs w:val="20"/>
          <w:color w:val="auto"/>
        </w:rPr>
      </w:pPr>
    </w:p>
    <w:p>
      <w:pPr>
        <w:ind w:left="3340"/>
        <w:spacing w:after="0"/>
        <w:rPr>
          <w:sz w:val="20"/>
          <w:szCs w:val="20"/>
          <w:color w:val="auto"/>
        </w:rPr>
      </w:pPr>
      <w:r>
        <w:rPr>
          <w:rFonts w:ascii="Times New Roman" w:cs="Times New Roman" w:eastAsia="Times New Roman" w:hAnsi="Times New Roman"/>
          <w:sz w:val="20"/>
          <w:szCs w:val="20"/>
          <w:color w:val="auto"/>
        </w:rPr>
        <w:t>d)</w:t>
      </w:r>
    </w:p>
    <w:p>
      <w:pPr>
        <w:spacing w:after="0" w:line="200" w:lineRule="exact"/>
        <w:rPr>
          <w:sz w:val="20"/>
          <w:szCs w:val="20"/>
          <w:color w:val="auto"/>
        </w:rPr>
      </w:pPr>
    </w:p>
    <w:p>
      <w:pPr>
        <w:spacing w:after="0" w:line="200" w:lineRule="exact"/>
        <w:rPr>
          <w:sz w:val="20"/>
          <w:szCs w:val="20"/>
          <w:color w:val="auto"/>
        </w:rPr>
      </w:pPr>
    </w:p>
    <w:p>
      <w:pPr>
        <w:spacing w:after="0" w:line="269" w:lineRule="exact"/>
        <w:rPr>
          <w:sz w:val="20"/>
          <w:szCs w:val="20"/>
          <w:color w:val="auto"/>
        </w:rPr>
      </w:pPr>
    </w:p>
    <w:p>
      <w:pPr>
        <w:ind w:left="4580"/>
        <w:spacing w:after="0"/>
        <w:rPr>
          <w:sz w:val="20"/>
          <w:szCs w:val="20"/>
          <w:color w:val="auto"/>
        </w:rPr>
      </w:pPr>
      <w:r>
        <w:rPr>
          <w:rFonts w:ascii="Times New Roman" w:cs="Times New Roman" w:eastAsia="Times New Roman" w:hAnsi="Times New Roman"/>
          <w:sz w:val="20"/>
          <w:szCs w:val="20"/>
          <w:color w:val="auto"/>
        </w:rPr>
        <w:t>d)</w:t>
      </w:r>
    </w:p>
    <w:p>
      <w:pPr>
        <w:sectPr>
          <w:pgSz w:w="9360" w:h="13039" w:orient="portrait"/>
          <w:cols w:equalWidth="0" w:num="1">
            <w:col w:w="7200"/>
          </w:cols>
          <w:pgMar w:left="1080" w:top="878"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3"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52" name="Shape 5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52" o:spid="_x0000_s107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53" name="Shape 5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53" o:spid="_x0000_s107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54" name="Shape 5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54" o:spid="_x0000_s107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29" w:name="page30"/>
    <w:bookmarkEnd w:id="29"/>
    <w:tbl>
      <w:tblPr>
        <w:tblLayout w:type="fixed"/>
        <w:tblInd w:w="2160" w:type="dxa"/>
        <w:tblCellMar>
          <w:top w:w="0" w:type="dxa"/>
          <w:left w:w="0" w:type="dxa"/>
          <w:bottom w:w="0" w:type="dxa"/>
          <w:right w:w="0" w:type="dxa"/>
        </w:tblCellMar>
      </w:tblPr>
      <w:tr>
        <w:trPr>
          <w:trHeight w:val="222"/>
        </w:trPr>
        <w:tc>
          <w:tcPr>
            <w:tcW w:w="3880" w:type="dxa"/>
            <w:vAlign w:val="bottom"/>
          </w:tcPr>
          <w:p>
            <w:pPr>
              <w:spacing w:after="0"/>
              <w:rPr>
                <w:sz w:val="20"/>
                <w:szCs w:val="20"/>
                <w:color w:val="auto"/>
              </w:rPr>
            </w:pPr>
            <w:r>
              <w:rPr>
                <w:rFonts w:ascii="Arial Narrow" w:cs="Arial Narrow" w:eastAsia="Arial Narrow" w:hAnsi="Arial Narrow"/>
                <w:sz w:val="11"/>
                <w:szCs w:val="11"/>
                <w:color w:val="auto"/>
              </w:rPr>
              <w:t>manual de morfometría tradicional y geométrica</w:t>
            </w:r>
          </w:p>
        </w:tc>
        <w:tc>
          <w:tcPr>
            <w:tcW w:w="1160" w:type="dxa"/>
            <w:vAlign w:val="bottom"/>
          </w:tcPr>
          <w:p>
            <w:pPr>
              <w:jc w:val="right"/>
              <w:spacing w:after="0"/>
              <w:rPr>
                <w:sz w:val="20"/>
                <w:szCs w:val="20"/>
                <w:color w:val="auto"/>
              </w:rPr>
            </w:pPr>
            <w:r>
              <w:rPr>
                <w:rFonts w:ascii="Arial Narrow" w:cs="Arial Narrow" w:eastAsia="Arial Narrow" w:hAnsi="Arial Narrow"/>
                <w:sz w:val="16"/>
                <w:szCs w:val="16"/>
                <w:color w:val="auto"/>
              </w:rPr>
              <w:t>29</w:t>
            </w:r>
          </w:p>
        </w:tc>
      </w:tr>
    </w:tbl>
    <w:p>
      <w:pPr>
        <w:spacing w:after="0" w:line="200" w:lineRule="exact"/>
        <w:rPr>
          <w:sz w:val="20"/>
          <w:szCs w:val="20"/>
          <w:color w:val="auto"/>
        </w:rPr>
      </w:pPr>
    </w:p>
    <w:p>
      <w:pPr>
        <w:spacing w:after="0" w:line="309" w:lineRule="exact"/>
        <w:rPr>
          <w:sz w:val="20"/>
          <w:szCs w:val="20"/>
          <w:color w:val="auto"/>
        </w:rPr>
      </w:pPr>
    </w:p>
    <w:p>
      <w:pPr>
        <w:jc w:val="both"/>
        <w:ind w:left="240" w:hanging="240"/>
        <w:spacing w:after="0" w:line="322" w:lineRule="auto"/>
        <w:tabs>
          <w:tab w:leader="none" w:pos="240" w:val="left"/>
        </w:tabs>
        <w:numPr>
          <w:ilvl w:val="0"/>
          <w:numId w:val="15"/>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 xml:space="preserve">Digitalización de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xml:space="preserve"> (tpsDig). Construcción de la matriz en coordenadas X y Y en pixeles. Para digitalizar los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xml:space="preserve"> se debe definir la parte o estructura del organismo en la que se quiere evaluar la deformación; se sugiere imprimir una de las fotografías y colocar las marcas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necesarias para captar toda la forma de la estructura.</w:t>
      </w:r>
    </w:p>
    <w:p>
      <w:pPr>
        <w:spacing w:after="0" w:line="2" w:lineRule="exact"/>
        <w:rPr>
          <w:rFonts w:ascii="Times New Roman" w:cs="Times New Roman" w:eastAsia="Times New Roman" w:hAnsi="Times New Roman"/>
          <w:sz w:val="22"/>
          <w:szCs w:val="22"/>
          <w:color w:val="auto"/>
        </w:rPr>
      </w:pPr>
    </w:p>
    <w:p>
      <w:pPr>
        <w:jc w:val="both"/>
        <w:ind w:left="540" w:hanging="300"/>
        <w:spacing w:after="0"/>
        <w:tabs>
          <w:tab w:leader="none" w:pos="540" w:val="left"/>
        </w:tabs>
        <w:numPr>
          <w:ilvl w:val="1"/>
          <w:numId w:val="15"/>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Abrir la pestaña File y después elegir la opción Input Source.</w:t>
      </w:r>
    </w:p>
    <w:p>
      <w:pPr>
        <w:spacing w:after="0" w:line="87" w:lineRule="exact"/>
        <w:rPr>
          <w:rFonts w:ascii="Times New Roman" w:cs="Times New Roman" w:eastAsia="Times New Roman" w:hAnsi="Times New Roman"/>
          <w:sz w:val="22"/>
          <w:szCs w:val="22"/>
          <w:color w:val="auto"/>
        </w:rPr>
      </w:pPr>
    </w:p>
    <w:p>
      <w:pPr>
        <w:jc w:val="both"/>
        <w:ind w:left="540" w:hanging="300"/>
        <w:spacing w:after="0" w:line="346" w:lineRule="auto"/>
        <w:tabs>
          <w:tab w:leader="none" w:pos="540" w:val="left"/>
        </w:tabs>
        <w:numPr>
          <w:ilvl w:val="1"/>
          <w:numId w:val="15"/>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Dar clic en File; el archivo que se selecciona es el archivo tps creado en tpsUtil.</w:t>
      </w:r>
    </w:p>
    <w:p>
      <w:pPr>
        <w:jc w:val="both"/>
        <w:ind w:left="540" w:hanging="300"/>
        <w:spacing w:after="0" w:line="346" w:lineRule="auto"/>
        <w:tabs>
          <w:tab w:leader="none" w:pos="540" w:val="left"/>
        </w:tabs>
        <w:rPr>
          <w:sz w:val="20"/>
          <w:szCs w:val="20"/>
          <w:color w:val="auto"/>
        </w:rPr>
        <w:sectPr>
          <w:pgSz w:w="9360" w:h="13039" w:orient="portrait"/>
          <w:cols w:equalWidth="0" w:num="1">
            <w:col w:w="7200"/>
          </w:cols>
          <w:pgMar w:left="1080" w:top="906" w:right="1080" w:bottom="437" w:gutter="0" w:footer="0" w:header="0"/>
        </w:sect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317500</wp:posOffset>
            </wp:positionV>
            <wp:extent cx="4568190" cy="3001645"/>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2">
                      <a:extLst>
                        <a:ext uri="{28A0092B-C50C-407E-A947-70E740481C1C}"/>
                      </a:extLst>
                    </a:blip>
                    <a:srcRect/>
                    <a:stretch>
                      <a:fillRect/>
                    </a:stretch>
                  </pic:blipFill>
                  <pic:spPr bwMode="auto">
                    <a:xfrm>
                      <a:off x="0" y="0"/>
                      <a:ext cx="4568190" cy="300164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a)</w:t>
      </w:r>
    </w:p>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4"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b)</w:t>
      </w:r>
    </w:p>
    <w:p>
      <w:pPr>
        <w:sectPr>
          <w:pgSz w:w="9360" w:h="13039" w:orient="portrait"/>
          <w:cols w:equalWidth="0" w:num="2">
            <w:col w:w="160" w:space="3020"/>
            <w:col w:w="180"/>
          </w:cols>
          <w:pgMar w:left="1200" w:top="906" w:right="4800" w:bottom="43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0" w:lineRule="exact"/>
        <w:rPr>
          <w:sz w:val="20"/>
          <w:szCs w:val="20"/>
          <w:color w:val="auto"/>
        </w:rPr>
      </w:pPr>
    </w:p>
    <w:p>
      <w:pPr>
        <w:jc w:val="both"/>
        <w:ind w:left="240" w:hanging="240"/>
        <w:spacing w:after="0" w:line="330" w:lineRule="auto"/>
        <w:tabs>
          <w:tab w:leader="none" w:pos="240" w:val="left"/>
        </w:tabs>
        <w:numPr>
          <w:ilvl w:val="0"/>
          <w:numId w:val="16"/>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 xml:space="preserve">Una vez que se abrió el archivo, se deben digitalizar los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xml:space="preserve"> en cada una de las imágenes, es importante que los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xml:space="preserve"> se coloquen en el mismo orden. Para cada imagen se deben colocar los dos últimos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xml:space="preserve"> sobre la escala (de preferencia 10 mm).</w:t>
      </w:r>
    </w:p>
    <w:p>
      <w:pPr>
        <w:sectPr>
          <w:pgSz w:w="9360" w:h="13039" w:orient="portrait"/>
          <w:cols w:equalWidth="0" w:num="1">
            <w:col w:w="7200"/>
          </w:cols>
          <w:pgMar w:left="1080" w:top="906" w:right="1080" w:bottom="437" w:gutter="0" w:footer="0" w:header="0"/>
          <w:type w:val="continuous"/>
        </w:sectPr>
      </w:pPr>
    </w:p>
    <w:p>
      <w:pPr>
        <w:spacing w:after="0" w:line="200" w:lineRule="exact"/>
        <w:rPr>
          <w:sz w:val="20"/>
          <w:szCs w:val="20"/>
          <w:color w:val="auto"/>
        </w:rPr>
      </w:pPr>
    </w:p>
    <w:p>
      <w:pPr>
        <w:spacing w:after="0" w:line="308"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30" w:name="page31"/>
    <w:bookmarkEnd w:id="30"/>
    <w:p>
      <w:pPr>
        <w:spacing w:after="0" w:line="239" w:lineRule="auto"/>
        <w:tabs>
          <w:tab w:leader="none" w:pos="1940" w:val="left"/>
        </w:tabs>
        <w:rPr>
          <w:sz w:val="20"/>
          <w:szCs w:val="20"/>
          <w:color w:val="auto"/>
        </w:rPr>
      </w:pPr>
      <w:r>
        <w:rPr>
          <w:rFonts w:ascii="Arial Narrow" w:cs="Arial Narrow" w:eastAsia="Arial Narrow" w:hAnsi="Arial Narrow"/>
          <w:sz w:val="16"/>
          <w:szCs w:val="16"/>
          <w:color w:val="auto"/>
        </w:rPr>
        <w:t>30</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762635</wp:posOffset>
            </wp:positionH>
            <wp:positionV relativeFrom="paragraph">
              <wp:posOffset>392430</wp:posOffset>
            </wp:positionV>
            <wp:extent cx="3038475" cy="261366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3">
                      <a:extLst>
                        <a:ext uri="{28A0092B-C50C-407E-A947-70E740481C1C}"/>
                      </a:extLst>
                    </a:blip>
                    <a:srcRect/>
                    <a:stretch>
                      <a:fillRect/>
                    </a:stretch>
                  </pic:blipFill>
                  <pic:spPr bwMode="auto">
                    <a:xfrm>
                      <a:off x="0" y="0"/>
                      <a:ext cx="3038475" cy="261366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1" w:lineRule="exact"/>
        <w:rPr>
          <w:sz w:val="20"/>
          <w:szCs w:val="20"/>
          <w:color w:val="auto"/>
        </w:rPr>
      </w:pPr>
    </w:p>
    <w:p>
      <w:pPr>
        <w:ind w:left="1260"/>
        <w:spacing w:after="0"/>
        <w:rPr>
          <w:sz w:val="20"/>
          <w:szCs w:val="20"/>
          <w:color w:val="auto"/>
        </w:rPr>
      </w:pPr>
      <w:r>
        <w:rPr>
          <w:rFonts w:ascii="Times New Roman" w:cs="Times New Roman" w:eastAsia="Times New Roman" w:hAnsi="Times New Roman"/>
          <w:sz w:val="13"/>
          <w:szCs w:val="13"/>
          <w:color w:val="auto"/>
        </w:rPr>
        <w:t>Ícono para digitalizar</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1" w:lineRule="exact"/>
        <w:rPr>
          <w:sz w:val="20"/>
          <w:szCs w:val="20"/>
          <w:color w:val="auto"/>
        </w:rPr>
      </w:pPr>
    </w:p>
    <w:p>
      <w:pPr>
        <w:ind w:left="1520"/>
        <w:spacing w:after="0"/>
        <w:rPr>
          <w:sz w:val="20"/>
          <w:szCs w:val="20"/>
          <w:color w:val="auto"/>
        </w:rPr>
      </w:pPr>
      <w:r>
        <w:rPr>
          <w:rFonts w:ascii="Times New Roman" w:cs="Times New Roman" w:eastAsia="Times New Roman" w:hAnsi="Times New Roman"/>
          <w:sz w:val="13"/>
          <w:szCs w:val="13"/>
          <w:color w:val="auto"/>
        </w:rPr>
        <w:t>Puntos de la escala</w:t>
      </w:r>
    </w:p>
    <w:p>
      <w:pPr>
        <w:spacing w:after="0" w:line="400" w:lineRule="exact"/>
        <w:rPr>
          <w:sz w:val="20"/>
          <w:szCs w:val="20"/>
          <w:color w:val="auto"/>
        </w:rPr>
      </w:pPr>
    </w:p>
    <w:p>
      <w:pPr>
        <w:ind w:left="2880"/>
        <w:spacing w:after="0"/>
        <w:rPr>
          <w:sz w:val="20"/>
          <w:szCs w:val="20"/>
          <w:color w:val="auto"/>
        </w:rPr>
      </w:pPr>
      <w:r>
        <w:rPr>
          <w:rFonts w:ascii="Times New Roman" w:cs="Times New Roman" w:eastAsia="Times New Roman" w:hAnsi="Times New Roman"/>
          <w:sz w:val="13"/>
          <w:szCs w:val="13"/>
          <w:color w:val="auto"/>
        </w:rPr>
        <w:t>Tamaño de la muestra</w:t>
      </w:r>
    </w:p>
    <w:p>
      <w:pPr>
        <w:spacing w:after="0" w:line="159" w:lineRule="exact"/>
        <w:rPr>
          <w:sz w:val="20"/>
          <w:szCs w:val="20"/>
          <w:color w:val="auto"/>
        </w:rPr>
      </w:pPr>
    </w:p>
    <w:p>
      <w:pPr>
        <w:ind w:left="3940"/>
        <w:spacing w:after="0"/>
        <w:rPr>
          <w:sz w:val="20"/>
          <w:szCs w:val="20"/>
          <w:color w:val="auto"/>
        </w:rPr>
      </w:pPr>
      <w:r>
        <w:rPr>
          <w:rFonts w:ascii="Times New Roman" w:cs="Times New Roman" w:eastAsia="Times New Roman" w:hAnsi="Times New Roman"/>
          <w:sz w:val="13"/>
          <w:szCs w:val="13"/>
          <w:color w:val="auto"/>
        </w:rPr>
        <w:t>No. de landmarks</w:t>
      </w:r>
    </w:p>
    <w:p>
      <w:pPr>
        <w:spacing w:after="0" w:line="200" w:lineRule="exact"/>
        <w:rPr>
          <w:sz w:val="20"/>
          <w:szCs w:val="20"/>
          <w:color w:val="auto"/>
        </w:rPr>
      </w:pPr>
    </w:p>
    <w:p>
      <w:pPr>
        <w:spacing w:after="0" w:line="350" w:lineRule="exact"/>
        <w:rPr>
          <w:sz w:val="20"/>
          <w:szCs w:val="20"/>
          <w:color w:val="auto"/>
        </w:rPr>
      </w:pPr>
    </w:p>
    <w:p>
      <w:pPr>
        <w:jc w:val="both"/>
        <w:ind w:left="240" w:hanging="240"/>
        <w:spacing w:after="0"/>
        <w:tabs>
          <w:tab w:leader="none" w:pos="240" w:val="left"/>
        </w:tabs>
        <w:numPr>
          <w:ilvl w:val="0"/>
          <w:numId w:val="17"/>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Para guardar el archivo tps:</w:t>
      </w:r>
    </w:p>
    <w:p>
      <w:pPr>
        <w:spacing w:after="0" w:line="67" w:lineRule="exact"/>
        <w:rPr>
          <w:rFonts w:ascii="Times New Roman" w:cs="Times New Roman" w:eastAsia="Times New Roman" w:hAnsi="Times New Roman"/>
          <w:sz w:val="22"/>
          <w:szCs w:val="22"/>
          <w:color w:val="auto"/>
        </w:rPr>
      </w:pPr>
    </w:p>
    <w:p>
      <w:pPr>
        <w:jc w:val="both"/>
        <w:ind w:left="540" w:hanging="300"/>
        <w:spacing w:after="0"/>
        <w:tabs>
          <w:tab w:leader="none" w:pos="540" w:val="left"/>
        </w:tabs>
        <w:numPr>
          <w:ilvl w:val="1"/>
          <w:numId w:val="17"/>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Del menú principal, seleccionar File y Save Data.</w:t>
      </w:r>
    </w:p>
    <w:p>
      <w:pPr>
        <w:spacing w:after="0" w:line="67" w:lineRule="exact"/>
        <w:rPr>
          <w:rFonts w:ascii="Times New Roman" w:cs="Times New Roman" w:eastAsia="Times New Roman" w:hAnsi="Times New Roman"/>
          <w:sz w:val="22"/>
          <w:szCs w:val="22"/>
          <w:color w:val="auto"/>
        </w:rPr>
      </w:pPr>
    </w:p>
    <w:p>
      <w:pPr>
        <w:jc w:val="both"/>
        <w:ind w:left="540" w:hanging="300"/>
        <w:spacing w:after="0"/>
        <w:tabs>
          <w:tab w:leader="none" w:pos="540" w:val="left"/>
        </w:tabs>
        <w:numPr>
          <w:ilvl w:val="1"/>
          <w:numId w:val="17"/>
        </w:numPr>
        <w:rPr>
          <w:rFonts w:ascii="Times New Roman" w:cs="Times New Roman" w:eastAsia="Times New Roman" w:hAnsi="Times New Roman"/>
          <w:sz w:val="20"/>
          <w:szCs w:val="20"/>
          <w:color w:val="auto"/>
        </w:rPr>
      </w:pPr>
      <w:r>
        <w:rPr>
          <w:rFonts w:ascii="Times New Roman" w:cs="Times New Roman" w:eastAsia="Times New Roman" w:hAnsi="Times New Roman"/>
          <w:sz w:val="20"/>
          <w:szCs w:val="20"/>
          <w:color w:val="auto"/>
        </w:rPr>
        <w:t>Aparece un recuadro, mantener el nombre del archivo y dar clic en Guardar.</w:t>
      </w:r>
    </w:p>
    <w:p>
      <w:pPr>
        <w:spacing w:after="0" w:line="90" w:lineRule="exact"/>
        <w:rPr>
          <w:rFonts w:ascii="Times New Roman" w:cs="Times New Roman" w:eastAsia="Times New Roman" w:hAnsi="Times New Roman"/>
          <w:sz w:val="20"/>
          <w:szCs w:val="20"/>
          <w:color w:val="auto"/>
        </w:rPr>
      </w:pPr>
    </w:p>
    <w:p>
      <w:pPr>
        <w:jc w:val="both"/>
        <w:ind w:left="540" w:hanging="300"/>
        <w:spacing w:after="0"/>
        <w:tabs>
          <w:tab w:leader="none" w:pos="540" w:val="left"/>
        </w:tabs>
        <w:numPr>
          <w:ilvl w:val="1"/>
          <w:numId w:val="17"/>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En el recuadro File Exists, elegir la opción Overwrite.</w:t>
      </w:r>
    </w:p>
    <w:p>
      <w:pPr>
        <w:jc w:val="both"/>
        <w:ind w:left="540" w:hanging="300"/>
        <w:spacing w:after="0"/>
        <w:tabs>
          <w:tab w:leader="none" w:pos="540" w:val="left"/>
        </w:tabs>
        <w:rPr>
          <w:sz w:val="20"/>
          <w:szCs w:val="20"/>
          <w:color w:val="auto"/>
        </w:rPr>
        <w:sectPr>
          <w:pgSz w:w="9360" w:h="13039" w:orient="portrait"/>
          <w:cols w:equalWidth="0" w:num="1">
            <w:col w:w="6820"/>
          </w:cols>
          <w:pgMar w:left="1080" w:top="878" w:right="1460" w:bottom="437" w:gutter="0" w:footer="0" w:header="0"/>
        </w:sect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307975</wp:posOffset>
            </wp:positionV>
            <wp:extent cx="4568190" cy="223647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4">
                      <a:extLst>
                        <a:ext uri="{28A0092B-C50C-407E-A947-70E740481C1C}"/>
                      </a:extLst>
                    </a:blip>
                    <a:srcRect/>
                    <a:stretch>
                      <a:fillRect/>
                    </a:stretch>
                  </pic:blipFill>
                  <pic:spPr bwMode="auto">
                    <a:xfrm>
                      <a:off x="0" y="0"/>
                      <a:ext cx="4568190" cy="223647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1"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a)</w:t>
      </w:r>
    </w:p>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0"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b)</w:t>
      </w:r>
    </w:p>
    <w:p>
      <w:pPr>
        <w:sectPr>
          <w:pgSz w:w="9360" w:h="13039" w:orient="portrait"/>
          <w:cols w:equalWidth="0" w:num="2">
            <w:col w:w="160" w:space="3640"/>
            <w:col w:w="180"/>
          </w:cols>
          <w:pgMar w:left="1900" w:top="878" w:right="3480" w:bottom="43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374"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c)</w:t>
      </w:r>
    </w:p>
    <w:p>
      <w:pPr>
        <w:sectPr>
          <w:pgSz w:w="9360" w:h="13039" w:orient="portrait"/>
          <w:cols w:equalWidth="0" w:num="1">
            <w:col w:w="160"/>
          </w:cols>
          <w:pgMar w:left="4580" w:top="878" w:right="4620" w:bottom="43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5"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58" name="Shape 5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58" o:spid="_x0000_s108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59" name="Shape 5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59" o:spid="_x0000_s108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60" name="Shape 6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60" o:spid="_x0000_s108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31" w:name="page32"/>
    <w:bookmarkEnd w:id="31"/>
    <w:tbl>
      <w:tblPr>
        <w:tblLayout w:type="fixed"/>
        <w:tblInd w:w="2160" w:type="dxa"/>
        <w:tblCellMar>
          <w:top w:w="0" w:type="dxa"/>
          <w:left w:w="0" w:type="dxa"/>
          <w:bottom w:w="0" w:type="dxa"/>
          <w:right w:w="0" w:type="dxa"/>
        </w:tblCellMar>
      </w:tblPr>
      <w:tr>
        <w:trPr>
          <w:trHeight w:val="222"/>
        </w:trPr>
        <w:tc>
          <w:tcPr>
            <w:tcW w:w="3880" w:type="dxa"/>
            <w:vAlign w:val="bottom"/>
          </w:tcPr>
          <w:p>
            <w:pPr>
              <w:spacing w:after="0"/>
              <w:rPr>
                <w:sz w:val="20"/>
                <w:szCs w:val="20"/>
                <w:color w:val="auto"/>
              </w:rPr>
            </w:pPr>
            <w:r>
              <w:rPr>
                <w:rFonts w:ascii="Arial Narrow" w:cs="Arial Narrow" w:eastAsia="Arial Narrow" w:hAnsi="Arial Narrow"/>
                <w:sz w:val="11"/>
                <w:szCs w:val="11"/>
                <w:color w:val="auto"/>
              </w:rPr>
              <w:t>manual de morfometría tradicional y geométrica</w:t>
            </w:r>
          </w:p>
        </w:tc>
        <w:tc>
          <w:tcPr>
            <w:tcW w:w="1160" w:type="dxa"/>
            <w:vAlign w:val="bottom"/>
          </w:tcPr>
          <w:p>
            <w:pPr>
              <w:jc w:val="right"/>
              <w:spacing w:after="0"/>
              <w:rPr>
                <w:sz w:val="20"/>
                <w:szCs w:val="20"/>
                <w:color w:val="auto"/>
              </w:rPr>
            </w:pPr>
            <w:r>
              <w:rPr>
                <w:rFonts w:ascii="Arial Narrow" w:cs="Arial Narrow" w:eastAsia="Arial Narrow" w:hAnsi="Arial Narrow"/>
                <w:sz w:val="16"/>
                <w:szCs w:val="16"/>
                <w:color w:val="auto"/>
              </w:rPr>
              <w:t>31</w:t>
            </w:r>
          </w:p>
        </w:tc>
      </w:tr>
    </w:tbl>
    <w:p>
      <w:pPr>
        <w:spacing w:after="0" w:line="200" w:lineRule="exact"/>
        <w:rPr>
          <w:sz w:val="20"/>
          <w:szCs w:val="20"/>
          <w:color w:val="auto"/>
        </w:rPr>
      </w:pPr>
    </w:p>
    <w:p>
      <w:pPr>
        <w:spacing w:after="0" w:line="309" w:lineRule="exact"/>
        <w:rPr>
          <w:sz w:val="20"/>
          <w:szCs w:val="20"/>
          <w:color w:val="auto"/>
        </w:rPr>
      </w:pPr>
    </w:p>
    <w:p>
      <w:pPr>
        <w:jc w:val="both"/>
        <w:spacing w:after="0" w:line="346" w:lineRule="auto"/>
        <w:rPr>
          <w:sz w:val="20"/>
          <w:szCs w:val="20"/>
          <w:color w:val="auto"/>
        </w:rPr>
      </w:pPr>
      <w:r>
        <w:rPr>
          <w:rFonts w:ascii="Times New Roman" w:cs="Times New Roman" w:eastAsia="Times New Roman" w:hAnsi="Times New Roman"/>
          <w:sz w:val="20"/>
          <w:szCs w:val="20"/>
          <w:color w:val="auto"/>
        </w:rPr>
        <w:t xml:space="preserve">Al colocar los </w:t>
      </w:r>
      <w:r>
        <w:rPr>
          <w:rFonts w:ascii="Times New Roman" w:cs="Times New Roman" w:eastAsia="Times New Roman" w:hAnsi="Times New Roman"/>
          <w:sz w:val="20"/>
          <w:szCs w:val="20"/>
          <w:i w:val="1"/>
          <w:iCs w:val="1"/>
          <w:color w:val="auto"/>
        </w:rPr>
        <w:t>landmarks,</w:t>
      </w:r>
      <w:r>
        <w:rPr>
          <w:rFonts w:ascii="Times New Roman" w:cs="Times New Roman" w:eastAsia="Times New Roman" w:hAnsi="Times New Roman"/>
          <w:sz w:val="20"/>
          <w:szCs w:val="20"/>
          <w:color w:val="auto"/>
        </w:rPr>
        <w:t xml:space="preserve"> para cada una de las imágenes se crea una matriz de cordenadas X y Y. Esta matriz se abre con Bloc de Notas. Para poder utilizar esta matriz de coordenadas con los siguientes programas es necesario modificar la numeración o identificación (id), ya que en tpsDig se guarda de manera automática con un id = 0, pero debe comenzar con un id = 1, cambiar así sucesivamente hasta el último grupo de datos.</w:t>
      </w:r>
    </w:p>
    <w:p>
      <w:pPr>
        <w:jc w:val="both"/>
        <w:spacing w:after="0" w:line="346" w:lineRule="auto"/>
        <w:rPr>
          <w:sz w:val="20"/>
          <w:szCs w:val="20"/>
          <w:color w:val="auto"/>
        </w:rPr>
        <w:sectPr>
          <w:pgSz w:w="9360" w:h="13039" w:orient="portrait"/>
          <w:cols w:equalWidth="0" w:num="1">
            <w:col w:w="7200"/>
          </w:cols>
          <w:pgMar w:left="1080" w:top="906" w:right="1080" w:bottom="437" w:gutter="0" w:footer="0" w:header="0"/>
        </w:sect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233045</wp:posOffset>
            </wp:positionV>
            <wp:extent cx="4568190" cy="4954905"/>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5">
                      <a:extLst>
                        <a:ext uri="{28A0092B-C50C-407E-A947-70E740481C1C}"/>
                      </a:extLst>
                    </a:blip>
                    <a:srcRect/>
                    <a:stretch>
                      <a:fillRect/>
                    </a:stretch>
                  </pic:blipFill>
                  <pic:spPr bwMode="auto">
                    <a:xfrm>
                      <a:off x="0" y="0"/>
                      <a:ext cx="4568190" cy="495490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7"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32" w:name="page33"/>
    <w:bookmarkEnd w:id="32"/>
    <w:p>
      <w:pPr>
        <w:spacing w:after="0" w:line="239" w:lineRule="auto"/>
        <w:tabs>
          <w:tab w:leader="none" w:pos="1940" w:val="left"/>
        </w:tabs>
        <w:rPr>
          <w:sz w:val="20"/>
          <w:szCs w:val="20"/>
          <w:color w:val="auto"/>
        </w:rPr>
      </w:pPr>
      <w:r>
        <w:rPr>
          <w:rFonts w:ascii="Arial Narrow" w:cs="Arial Narrow" w:eastAsia="Arial Narrow" w:hAnsi="Arial Narrow"/>
          <w:sz w:val="16"/>
          <w:szCs w:val="16"/>
          <w:color w:val="auto"/>
        </w:rPr>
        <w:t>32</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p>
    <w:p>
      <w:pPr>
        <w:spacing w:after="0" w:line="376" w:lineRule="exact"/>
        <w:rPr>
          <w:sz w:val="20"/>
          <w:szCs w:val="20"/>
          <w:color w:val="auto"/>
        </w:rPr>
      </w:pPr>
    </w:p>
    <w:p>
      <w:pPr>
        <w:spacing w:after="0" w:line="303" w:lineRule="auto"/>
        <w:rPr>
          <w:sz w:val="20"/>
          <w:szCs w:val="20"/>
          <w:color w:val="auto"/>
        </w:rPr>
      </w:pPr>
      <w:r>
        <w:rPr>
          <w:rFonts w:ascii="Times New Roman" w:cs="Times New Roman" w:eastAsia="Times New Roman" w:hAnsi="Times New Roman"/>
          <w:sz w:val="22"/>
          <w:szCs w:val="22"/>
          <w:color w:val="auto"/>
        </w:rPr>
        <w:t>Una vez que se corrigió la numeración de la matriz de coordenadas, los análisis siguientes se realizan con la paquetería imp que se describe a continuación.</w:t>
      </w:r>
    </w:p>
    <w:p>
      <w:pPr>
        <w:spacing w:after="0" w:line="1" w:lineRule="exact"/>
        <w:rPr>
          <w:sz w:val="20"/>
          <w:szCs w:val="20"/>
          <w:color w:val="auto"/>
        </w:rPr>
      </w:pPr>
    </w:p>
    <w:p>
      <w:pPr>
        <w:jc w:val="both"/>
        <w:ind w:left="240" w:hanging="240"/>
        <w:spacing w:after="0" w:line="333" w:lineRule="auto"/>
        <w:tabs>
          <w:tab w:leader="none" w:pos="240" w:val="left"/>
        </w:tabs>
        <w:numPr>
          <w:ilvl w:val="0"/>
          <w:numId w:val="18"/>
        </w:numPr>
        <w:rPr>
          <w:rFonts w:ascii="Times New Roman" w:cs="Times New Roman" w:eastAsia="Times New Roman" w:hAnsi="Times New Roman"/>
          <w:sz w:val="20"/>
          <w:szCs w:val="20"/>
          <w:color w:val="auto"/>
        </w:rPr>
      </w:pPr>
      <w:r>
        <w:rPr>
          <w:rFonts w:ascii="Times New Roman" w:cs="Times New Roman" w:eastAsia="Times New Roman" w:hAnsi="Times New Roman"/>
          <w:sz w:val="20"/>
          <w:szCs w:val="20"/>
          <w:color w:val="auto"/>
        </w:rPr>
        <w:t xml:space="preserve">CoordGen. Este programa se usa para generar nuevas coordenadas que se han reescalado mediante operaciones matemáticas que no alteran la forma. Hay cuatro métodos de superimposición: a) </w:t>
      </w:r>
      <w:r>
        <w:rPr>
          <w:rFonts w:ascii="Times New Roman" w:cs="Times New Roman" w:eastAsia="Times New Roman" w:hAnsi="Times New Roman"/>
          <w:sz w:val="20"/>
          <w:szCs w:val="20"/>
          <w:i w:val="1"/>
          <w:iCs w:val="1"/>
          <w:color w:val="auto"/>
        </w:rPr>
        <w:t>generalaized Procrustes analysis</w:t>
      </w:r>
      <w:r>
        <w:rPr>
          <w:rFonts w:ascii="Times New Roman" w:cs="Times New Roman" w:eastAsia="Times New Roman" w:hAnsi="Times New Roman"/>
          <w:sz w:val="20"/>
          <w:szCs w:val="20"/>
          <w:color w:val="auto"/>
        </w:rPr>
        <w:t xml:space="preserve"> (gpa), b) </w:t>
      </w:r>
      <w:r>
        <w:rPr>
          <w:rFonts w:ascii="Times New Roman" w:cs="Times New Roman" w:eastAsia="Times New Roman" w:hAnsi="Times New Roman"/>
          <w:sz w:val="20"/>
          <w:szCs w:val="20"/>
          <w:i w:val="1"/>
          <w:iCs w:val="1"/>
          <w:color w:val="auto"/>
        </w:rPr>
        <w:t>sliding</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 xml:space="preserve">baseline registration </w:t>
      </w:r>
      <w:r>
        <w:rPr>
          <w:rFonts w:ascii="Times New Roman" w:cs="Times New Roman" w:eastAsia="Times New Roman" w:hAnsi="Times New Roman"/>
          <w:sz w:val="20"/>
          <w:szCs w:val="20"/>
          <w:color w:val="auto"/>
        </w:rPr>
        <w:t>(sbr), c)</w:t>
      </w:r>
      <w:r>
        <w:rPr>
          <w:rFonts w:ascii="Times New Roman" w:cs="Times New Roman" w:eastAsia="Times New Roman" w:hAnsi="Times New Roman"/>
          <w:sz w:val="20"/>
          <w:szCs w:val="20"/>
          <w:i w:val="1"/>
          <w:iCs w:val="1"/>
          <w:color w:val="auto"/>
        </w:rPr>
        <w:t xml:space="preserve"> Bookstein edge matching </w:t>
      </w:r>
      <w:r>
        <w:rPr>
          <w:rFonts w:ascii="Times New Roman" w:cs="Times New Roman" w:eastAsia="Times New Roman" w:hAnsi="Times New Roman"/>
          <w:sz w:val="20"/>
          <w:szCs w:val="20"/>
          <w:color w:val="auto"/>
        </w:rPr>
        <w:t>(bc) y d)</w:t>
      </w:r>
      <w:r>
        <w:rPr>
          <w:rFonts w:ascii="Times New Roman" w:cs="Times New Roman" w:eastAsia="Times New Roman" w:hAnsi="Times New Roman"/>
          <w:sz w:val="20"/>
          <w:szCs w:val="20"/>
          <w:i w:val="1"/>
          <w:iCs w:val="1"/>
          <w:color w:val="auto"/>
        </w:rPr>
        <w:t xml:space="preserve"> general resistant fit</w:t>
      </w:r>
    </w:p>
    <w:p>
      <w:pPr>
        <w:spacing w:after="0" w:line="3" w:lineRule="exact"/>
        <w:rPr>
          <w:rFonts w:ascii="Times New Roman" w:cs="Times New Roman" w:eastAsia="Times New Roman" w:hAnsi="Times New Roman"/>
          <w:sz w:val="20"/>
          <w:szCs w:val="20"/>
          <w:color w:val="auto"/>
        </w:rPr>
      </w:pPr>
    </w:p>
    <w:p>
      <w:pPr>
        <w:jc w:val="both"/>
        <w:ind w:left="240"/>
        <w:spacing w:after="0" w:line="303" w:lineRule="auto"/>
        <w:rPr>
          <w:rFonts w:ascii="Times New Roman" w:cs="Times New Roman" w:eastAsia="Times New Roman" w:hAnsi="Times New Roman"/>
          <w:sz w:val="20"/>
          <w:szCs w:val="20"/>
          <w:color w:val="auto"/>
        </w:rPr>
      </w:pPr>
      <w:r>
        <w:rPr>
          <w:rFonts w:ascii="Times New Roman" w:cs="Times New Roman" w:eastAsia="Times New Roman" w:hAnsi="Times New Roman"/>
          <w:sz w:val="22"/>
          <w:szCs w:val="22"/>
          <w:color w:val="auto"/>
        </w:rPr>
        <w:t xml:space="preserve">(grf). Cualquiera de las técnicas de superposición implica tres pasos: fijar la forma de referencia en una orientación dada; trasladar y rotar la otra forma de manera que se ajuste lo máximo posible a la forma de referencia, y estudiar la magnitud y dirección de la diferencia entre las formas en cada </w:t>
      </w:r>
      <w:r>
        <w:rPr>
          <w:rFonts w:ascii="Times New Roman" w:cs="Times New Roman" w:eastAsia="Times New Roman" w:hAnsi="Times New Roman"/>
          <w:sz w:val="22"/>
          <w:szCs w:val="22"/>
          <w:i w:val="1"/>
          <w:iCs w:val="1"/>
          <w:color w:val="auto"/>
        </w:rPr>
        <w:t>landmark</w:t>
      </w:r>
      <w:r>
        <w:rPr>
          <w:rFonts w:ascii="Times New Roman" w:cs="Times New Roman" w:eastAsia="Times New Roman" w:hAnsi="Times New Roman"/>
          <w:sz w:val="22"/>
          <w:szCs w:val="22"/>
          <w:color w:val="auto"/>
        </w:rPr>
        <w:t xml:space="preserve"> (Van der Molen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2007). Los pasos a seguir para la superimposición mediante el programa</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CoordGen6f son:</w:t>
      </w:r>
    </w:p>
    <w:p>
      <w:pPr>
        <w:spacing w:after="0" w:line="3" w:lineRule="exact"/>
        <w:rPr>
          <w:rFonts w:ascii="Times New Roman" w:cs="Times New Roman" w:eastAsia="Times New Roman" w:hAnsi="Times New Roman"/>
          <w:sz w:val="20"/>
          <w:szCs w:val="20"/>
          <w:color w:val="auto"/>
        </w:rPr>
      </w:pPr>
    </w:p>
    <w:p>
      <w:pPr>
        <w:jc w:val="both"/>
        <w:ind w:left="540" w:hanging="300"/>
        <w:spacing w:after="0" w:line="303" w:lineRule="auto"/>
        <w:tabs>
          <w:tab w:leader="none" w:pos="540" w:val="left"/>
        </w:tabs>
        <w:numPr>
          <w:ilvl w:val="1"/>
          <w:numId w:val="18"/>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Abrir el archivo tps, que es la matriz de coordenadas X y Y en pixeles creada en tpsDig.</w:t>
      </w:r>
    </w:p>
    <w:p>
      <w:pPr>
        <w:spacing w:after="0" w:line="1" w:lineRule="exact"/>
        <w:rPr>
          <w:rFonts w:ascii="Times New Roman" w:cs="Times New Roman" w:eastAsia="Times New Roman" w:hAnsi="Times New Roman"/>
          <w:sz w:val="22"/>
          <w:szCs w:val="22"/>
          <w:color w:val="auto"/>
        </w:rPr>
      </w:pPr>
    </w:p>
    <w:p>
      <w:pPr>
        <w:jc w:val="both"/>
        <w:ind w:left="540" w:hanging="300"/>
        <w:spacing w:after="0"/>
        <w:tabs>
          <w:tab w:leader="none" w:pos="540" w:val="left"/>
        </w:tabs>
        <w:numPr>
          <w:ilvl w:val="1"/>
          <w:numId w:val="18"/>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 xml:space="preserve">Ruler Endpoint: últimos dos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xml:space="preserve"> que corresponden a la escala.</w:t>
      </w:r>
    </w:p>
    <w:p>
      <w:pPr>
        <w:spacing w:after="0" w:line="67" w:lineRule="exact"/>
        <w:rPr>
          <w:rFonts w:ascii="Times New Roman" w:cs="Times New Roman" w:eastAsia="Times New Roman" w:hAnsi="Times New Roman"/>
          <w:sz w:val="22"/>
          <w:szCs w:val="22"/>
          <w:color w:val="auto"/>
        </w:rPr>
      </w:pPr>
    </w:p>
    <w:p>
      <w:pPr>
        <w:jc w:val="both"/>
        <w:ind w:left="540" w:hanging="300"/>
        <w:spacing w:after="0"/>
        <w:tabs>
          <w:tab w:leader="none" w:pos="540" w:val="left"/>
        </w:tabs>
        <w:numPr>
          <w:ilvl w:val="1"/>
          <w:numId w:val="18"/>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Ruler Lenght: escala en milímetros.</w:t>
      </w:r>
    </w:p>
    <w:p>
      <w:pPr>
        <w:spacing w:after="0" w:line="67" w:lineRule="exact"/>
        <w:rPr>
          <w:rFonts w:ascii="Times New Roman" w:cs="Times New Roman" w:eastAsia="Times New Roman" w:hAnsi="Times New Roman"/>
          <w:sz w:val="22"/>
          <w:szCs w:val="22"/>
          <w:color w:val="auto"/>
        </w:rPr>
      </w:pPr>
    </w:p>
    <w:p>
      <w:pPr>
        <w:jc w:val="both"/>
        <w:ind w:left="540" w:hanging="300"/>
        <w:spacing w:after="0" w:line="303" w:lineRule="auto"/>
        <w:tabs>
          <w:tab w:leader="none" w:pos="540" w:val="left"/>
        </w:tabs>
        <w:numPr>
          <w:ilvl w:val="1"/>
          <w:numId w:val="18"/>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Carry Out Rescaling: reajuste de escala o reescalamiento de las imágenes a milímetros. Dar clic en esta función despues de cargar el archivo tps.</w:t>
      </w:r>
    </w:p>
    <w:p>
      <w:pPr>
        <w:spacing w:after="0" w:line="1" w:lineRule="exact"/>
        <w:rPr>
          <w:rFonts w:ascii="Times New Roman" w:cs="Times New Roman" w:eastAsia="Times New Roman" w:hAnsi="Times New Roman"/>
          <w:sz w:val="22"/>
          <w:szCs w:val="22"/>
          <w:color w:val="auto"/>
        </w:rPr>
      </w:pPr>
    </w:p>
    <w:p>
      <w:pPr>
        <w:jc w:val="both"/>
        <w:ind w:left="540" w:hanging="300"/>
        <w:spacing w:after="0" w:line="303" w:lineRule="auto"/>
        <w:tabs>
          <w:tab w:leader="none" w:pos="540" w:val="left"/>
        </w:tabs>
        <w:numPr>
          <w:ilvl w:val="1"/>
          <w:numId w:val="18"/>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Show Procustes: muestra los métodos de superimposición; en este recuadro se selecciona uno de los métodos de superimposición.</w:t>
      </w:r>
    </w:p>
    <w:p>
      <w:pPr>
        <w:spacing w:after="0" w:line="1" w:lineRule="exact"/>
        <w:rPr>
          <w:rFonts w:ascii="Times New Roman" w:cs="Times New Roman" w:eastAsia="Times New Roman" w:hAnsi="Times New Roman"/>
          <w:sz w:val="22"/>
          <w:szCs w:val="22"/>
          <w:color w:val="auto"/>
        </w:rPr>
      </w:pPr>
    </w:p>
    <w:p>
      <w:pPr>
        <w:jc w:val="both"/>
        <w:ind w:left="540" w:hanging="300"/>
        <w:spacing w:after="0" w:line="303" w:lineRule="auto"/>
        <w:tabs>
          <w:tab w:leader="none" w:pos="540" w:val="left"/>
        </w:tabs>
        <w:numPr>
          <w:ilvl w:val="1"/>
          <w:numId w:val="18"/>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Save Procrustes: se deben guardar las coordenadas correspondientes al método de superimposición que se utilizó.</w:t>
      </w:r>
    </w:p>
    <w:p>
      <w:pPr>
        <w:spacing w:after="0" w:line="1" w:lineRule="exact"/>
        <w:rPr>
          <w:rFonts w:ascii="Times New Roman" w:cs="Times New Roman" w:eastAsia="Times New Roman" w:hAnsi="Times New Roman"/>
          <w:sz w:val="22"/>
          <w:szCs w:val="22"/>
          <w:color w:val="auto"/>
        </w:rPr>
      </w:pPr>
    </w:p>
    <w:p>
      <w:pPr>
        <w:jc w:val="both"/>
        <w:ind w:left="540" w:hanging="300"/>
        <w:spacing w:after="0"/>
        <w:tabs>
          <w:tab w:leader="none" w:pos="540" w:val="left"/>
        </w:tabs>
        <w:numPr>
          <w:ilvl w:val="1"/>
          <w:numId w:val="18"/>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 xml:space="preserve">La imagen muestra los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xml:space="preserve"> reescalados.</w:t>
      </w:r>
    </w:p>
    <w:p>
      <w:pPr>
        <w:sectPr>
          <w:pgSz w:w="9360" w:h="13039" w:orient="portrait"/>
          <w:cols w:equalWidth="0" w:num="1">
            <w:col w:w="7200"/>
          </w:cols>
          <w:pgMar w:left="1080" w:top="878"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1"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62" name="Shape 6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62" o:spid="_x0000_s108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63" name="Shape 6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63" o:spid="_x0000_s108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64" name="Shape 6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64" o:spid="_x0000_s108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33" w:name="page34"/>
    <w:bookmarkEnd w:id="33"/>
    <w:tbl>
      <w:tblPr>
        <w:tblLayout w:type="fixed"/>
        <w:tblInd w:w="2160" w:type="dxa"/>
        <w:tblCellMar>
          <w:top w:w="0" w:type="dxa"/>
          <w:left w:w="0" w:type="dxa"/>
          <w:bottom w:w="0" w:type="dxa"/>
          <w:right w:w="0" w:type="dxa"/>
        </w:tblCellMar>
      </w:tblPr>
      <w:tr>
        <w:trPr>
          <w:trHeight w:val="222"/>
        </w:trPr>
        <w:tc>
          <w:tcPr>
            <w:tcW w:w="3880" w:type="dxa"/>
            <w:vAlign w:val="bottom"/>
          </w:tcPr>
          <w:p>
            <w:pPr>
              <w:spacing w:after="0"/>
              <w:rPr>
                <w:sz w:val="20"/>
                <w:szCs w:val="20"/>
                <w:color w:val="auto"/>
              </w:rPr>
            </w:pPr>
            <w:r>
              <w:rPr>
                <w:rFonts w:ascii="Arial Narrow" w:cs="Arial Narrow" w:eastAsia="Arial Narrow" w:hAnsi="Arial Narrow"/>
                <w:sz w:val="11"/>
                <w:szCs w:val="11"/>
                <w:color w:val="auto"/>
              </w:rPr>
              <w:t>manual de morfometría tradicional y geométrica</w:t>
            </w:r>
          </w:p>
        </w:tc>
        <w:tc>
          <w:tcPr>
            <w:tcW w:w="1160" w:type="dxa"/>
            <w:vAlign w:val="bottom"/>
          </w:tcPr>
          <w:p>
            <w:pPr>
              <w:jc w:val="right"/>
              <w:spacing w:after="0"/>
              <w:rPr>
                <w:sz w:val="20"/>
                <w:szCs w:val="20"/>
                <w:color w:val="auto"/>
              </w:rPr>
            </w:pPr>
            <w:r>
              <w:rPr>
                <w:rFonts w:ascii="Arial Narrow" w:cs="Arial Narrow" w:eastAsia="Arial Narrow" w:hAnsi="Arial Narrow"/>
                <w:sz w:val="16"/>
                <w:szCs w:val="16"/>
                <w:color w:val="auto"/>
              </w:rPr>
              <w:t>33</w:t>
            </w:r>
          </w:p>
        </w:tc>
      </w:tr>
    </w:tbl>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349885</wp:posOffset>
            </wp:positionV>
            <wp:extent cx="4568190" cy="3124835"/>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26">
                      <a:extLst>
                        <a:ext uri="{28A0092B-C50C-407E-A947-70E740481C1C}"/>
                      </a:extLst>
                    </a:blip>
                    <a:srcRect/>
                    <a:stretch>
                      <a:fillRect/>
                    </a:stretch>
                  </pic:blipFill>
                  <pic:spPr bwMode="auto">
                    <a:xfrm>
                      <a:off x="0" y="0"/>
                      <a:ext cx="4568190" cy="312483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3" w:lineRule="exact"/>
        <w:rPr>
          <w:sz w:val="20"/>
          <w:szCs w:val="20"/>
          <w:color w:val="auto"/>
        </w:rPr>
      </w:pPr>
    </w:p>
    <w:p>
      <w:pPr>
        <w:ind w:left="5180"/>
        <w:spacing w:after="0"/>
        <w:rPr>
          <w:sz w:val="20"/>
          <w:szCs w:val="20"/>
          <w:color w:val="auto"/>
        </w:rPr>
      </w:pPr>
      <w:r>
        <w:rPr>
          <w:rFonts w:ascii="Times New Roman" w:cs="Times New Roman" w:eastAsia="Times New Roman" w:hAnsi="Times New Roman"/>
          <w:sz w:val="18"/>
          <w:szCs w:val="18"/>
          <w:color w:val="auto"/>
        </w:rPr>
        <w:t>a)</w:t>
      </w:r>
    </w:p>
    <w:p>
      <w:pPr>
        <w:spacing w:after="0" w:line="156" w:lineRule="exact"/>
        <w:rPr>
          <w:sz w:val="20"/>
          <w:szCs w:val="20"/>
          <w:color w:val="auto"/>
        </w:rPr>
      </w:pPr>
    </w:p>
    <w:p>
      <w:pPr>
        <w:ind w:left="6760"/>
        <w:spacing w:after="0"/>
        <w:rPr>
          <w:sz w:val="20"/>
          <w:szCs w:val="20"/>
          <w:color w:val="auto"/>
        </w:rPr>
      </w:pPr>
      <w:r>
        <w:rPr>
          <w:rFonts w:ascii="Times New Roman" w:cs="Times New Roman" w:eastAsia="Times New Roman" w:hAnsi="Times New Roman"/>
          <w:sz w:val="18"/>
          <w:szCs w:val="18"/>
          <w:color w:val="auto"/>
        </w:rPr>
        <w:t>*</w:t>
      </w:r>
    </w:p>
    <w:p>
      <w:pPr>
        <w:spacing w:after="0" w:line="200" w:lineRule="exact"/>
        <w:rPr>
          <w:sz w:val="20"/>
          <w:szCs w:val="20"/>
          <w:color w:val="auto"/>
        </w:rPr>
      </w:pPr>
    </w:p>
    <w:p>
      <w:pPr>
        <w:spacing w:after="0" w:line="298" w:lineRule="exact"/>
        <w:rPr>
          <w:sz w:val="20"/>
          <w:szCs w:val="20"/>
          <w:color w:val="auto"/>
        </w:rPr>
      </w:pPr>
    </w:p>
    <w:p>
      <w:pPr>
        <w:ind w:left="5120" w:right="1920" w:hanging="752"/>
        <w:spacing w:after="0"/>
        <w:rPr>
          <w:sz w:val="20"/>
          <w:szCs w:val="20"/>
          <w:color w:val="auto"/>
        </w:rPr>
      </w:pPr>
      <w:r>
        <w:rPr>
          <w:rFonts w:ascii="Times New Roman" w:cs="Times New Roman" w:eastAsia="Times New Roman" w:hAnsi="Times New Roman"/>
          <w:sz w:val="36"/>
          <w:szCs w:val="36"/>
          <w:color w:val="auto"/>
          <w:vertAlign w:val="subscript"/>
        </w:rPr>
        <w:t>b)</w:t>
      </w:r>
      <w:r>
        <w:rPr>
          <w:rFonts w:ascii="Times New Roman" w:cs="Times New Roman" w:eastAsia="Times New Roman" w:hAnsi="Times New Roman"/>
          <w:sz w:val="18"/>
          <w:szCs w:val="18"/>
          <w:color w:val="auto"/>
        </w:rPr>
        <w:t xml:space="preserve"> c) d)</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1" w:lineRule="exact"/>
        <w:rPr>
          <w:sz w:val="20"/>
          <w:szCs w:val="20"/>
          <w:color w:val="auto"/>
        </w:rPr>
      </w:pPr>
    </w:p>
    <w:p>
      <w:pPr>
        <w:ind w:left="3200"/>
        <w:spacing w:after="0"/>
        <w:rPr>
          <w:sz w:val="20"/>
          <w:szCs w:val="20"/>
          <w:color w:val="auto"/>
        </w:rPr>
      </w:pPr>
      <w:r>
        <w:rPr>
          <w:rFonts w:ascii="Times New Roman" w:cs="Times New Roman" w:eastAsia="Times New Roman" w:hAnsi="Times New Roman"/>
          <w:sz w:val="18"/>
          <w:szCs w:val="18"/>
          <w:color w:val="auto"/>
        </w:rPr>
        <w:t>g)</w:t>
      </w:r>
    </w:p>
    <w:p>
      <w:pPr>
        <w:spacing w:after="0" w:line="165" w:lineRule="exact"/>
        <w:rPr>
          <w:sz w:val="20"/>
          <w:szCs w:val="20"/>
          <w:color w:val="auto"/>
        </w:rPr>
      </w:pPr>
    </w:p>
    <w:p>
      <w:pPr>
        <w:ind w:left="4520"/>
        <w:spacing w:after="0"/>
        <w:tabs>
          <w:tab w:leader="none" w:pos="5620" w:val="left"/>
        </w:tabs>
        <w:rPr>
          <w:sz w:val="20"/>
          <w:szCs w:val="20"/>
          <w:color w:val="auto"/>
        </w:rPr>
      </w:pPr>
      <w:r>
        <w:rPr>
          <w:rFonts w:ascii="Times New Roman" w:cs="Times New Roman" w:eastAsia="Times New Roman" w:hAnsi="Times New Roman"/>
          <w:sz w:val="18"/>
          <w:szCs w:val="18"/>
          <w:color w:val="auto"/>
        </w:rPr>
        <w:t>e)</w:t>
      </w:r>
      <w:r>
        <w:rPr>
          <w:sz w:val="20"/>
          <w:szCs w:val="20"/>
          <w:color w:val="auto"/>
        </w:rPr>
        <w:tab/>
      </w:r>
      <w:r>
        <w:rPr>
          <w:rFonts w:ascii="Times New Roman" w:cs="Times New Roman" w:eastAsia="Times New Roman" w:hAnsi="Times New Roman"/>
          <w:sz w:val="36"/>
          <w:szCs w:val="36"/>
          <w:color w:val="auto"/>
          <w:vertAlign w:val="subscript"/>
        </w:rPr>
        <w:t>f )</w:t>
      </w:r>
    </w:p>
    <w:p>
      <w:pPr>
        <w:spacing w:after="0" w:line="200" w:lineRule="exact"/>
        <w:rPr>
          <w:sz w:val="20"/>
          <w:szCs w:val="20"/>
          <w:color w:val="auto"/>
        </w:rPr>
      </w:pPr>
    </w:p>
    <w:p>
      <w:pPr>
        <w:spacing w:after="0" w:line="200" w:lineRule="exact"/>
        <w:rPr>
          <w:sz w:val="20"/>
          <w:szCs w:val="20"/>
          <w:color w:val="auto"/>
        </w:rPr>
      </w:pPr>
    </w:p>
    <w:p>
      <w:pPr>
        <w:spacing w:after="0" w:line="357" w:lineRule="exact"/>
        <w:rPr>
          <w:sz w:val="20"/>
          <w:szCs w:val="20"/>
          <w:color w:val="auto"/>
        </w:rPr>
      </w:pPr>
    </w:p>
    <w:p>
      <w:pPr>
        <w:spacing w:after="0" w:line="311" w:lineRule="auto"/>
        <w:rPr>
          <w:sz w:val="20"/>
          <w:szCs w:val="20"/>
          <w:color w:val="auto"/>
        </w:rPr>
      </w:pPr>
      <w:r>
        <w:rPr>
          <w:rFonts w:ascii="Times New Roman" w:cs="Times New Roman" w:eastAsia="Times New Roman" w:hAnsi="Times New Roman"/>
          <w:sz w:val="16"/>
          <w:szCs w:val="16"/>
          <w:color w:val="auto"/>
        </w:rPr>
        <w:t xml:space="preserve">Nota: el recuadro marcado con un asterisco muestra el nombre del archivo que fue cargado, la </w:t>
      </w:r>
      <w:r>
        <w:rPr>
          <w:rFonts w:ascii="Times New Roman" w:cs="Times New Roman" w:eastAsia="Times New Roman" w:hAnsi="Times New Roman"/>
          <w:sz w:val="16"/>
          <w:szCs w:val="16"/>
          <w:i w:val="1"/>
          <w:iCs w:val="1"/>
          <w:color w:val="auto"/>
        </w:rPr>
        <w:t>n</w:t>
      </w:r>
      <w:r>
        <w:rPr>
          <w:rFonts w:ascii="Times New Roman" w:cs="Times New Roman" w:eastAsia="Times New Roman" w:hAnsi="Times New Roman"/>
          <w:sz w:val="16"/>
          <w:szCs w:val="16"/>
          <w:color w:val="auto"/>
        </w:rPr>
        <w:t xml:space="preserve"> y el número de </w:t>
      </w:r>
      <w:r>
        <w:rPr>
          <w:rFonts w:ascii="Times New Roman" w:cs="Times New Roman" w:eastAsia="Times New Roman" w:hAnsi="Times New Roman"/>
          <w:sz w:val="16"/>
          <w:szCs w:val="16"/>
          <w:i w:val="1"/>
          <w:iCs w:val="1"/>
          <w:color w:val="auto"/>
        </w:rPr>
        <w:t xml:space="preserve">landmarks </w:t>
      </w:r>
      <w:r>
        <w:rPr>
          <w:rFonts w:ascii="Times New Roman" w:cs="Times New Roman" w:eastAsia="Times New Roman" w:hAnsi="Times New Roman"/>
          <w:sz w:val="16"/>
          <w:szCs w:val="16"/>
          <w:color w:val="auto"/>
        </w:rPr>
        <w:t>digitalizados.</w:t>
      </w:r>
    </w:p>
    <w:p>
      <w:pPr>
        <w:spacing w:after="0" w:line="400" w:lineRule="exact"/>
        <w:rPr>
          <w:sz w:val="20"/>
          <w:szCs w:val="20"/>
          <w:color w:val="auto"/>
        </w:rPr>
      </w:pPr>
    </w:p>
    <w:p>
      <w:pPr>
        <w:jc w:val="both"/>
        <w:ind w:left="240" w:hanging="240"/>
        <w:spacing w:after="0" w:line="313" w:lineRule="auto"/>
        <w:tabs>
          <w:tab w:leader="none" w:pos="240" w:val="left"/>
        </w:tabs>
        <w:numPr>
          <w:ilvl w:val="0"/>
          <w:numId w:val="19"/>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PCAGen. Este programa permite visualizar las gradillas de deformación y realizar el análisis de componentes principales.</w:t>
      </w:r>
    </w:p>
    <w:p>
      <w:pPr>
        <w:jc w:val="both"/>
        <w:ind w:left="720" w:hanging="480"/>
        <w:spacing w:after="0" w:line="313" w:lineRule="auto"/>
        <w:tabs>
          <w:tab w:leader="none" w:pos="720" w:val="left"/>
        </w:tabs>
        <w:numPr>
          <w:ilvl w:val="1"/>
          <w:numId w:val="19"/>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Obtención de gradillas de deformación. Ésta es una herramienta gráfica de visualización de los cambios en la forma mediante deformaciones. El acp simplifica la descripción de la variación entre los organismos. En la siguiente figura se muestran los pasos a seguir.</w:t>
      </w:r>
    </w:p>
    <w:p>
      <w:pPr>
        <w:jc w:val="both"/>
        <w:ind w:left="1080" w:hanging="360"/>
        <w:spacing w:after="0" w:line="313" w:lineRule="auto"/>
        <w:tabs>
          <w:tab w:leader="none" w:pos="1080" w:val="left"/>
        </w:tabs>
        <w:numPr>
          <w:ilvl w:val="2"/>
          <w:numId w:val="19"/>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Load File: cargar el archivo de coordenadas Procrustes que se guardó en el programa CoordGen.</w:t>
      </w:r>
    </w:p>
    <w:p>
      <w:pPr>
        <w:jc w:val="both"/>
        <w:ind w:left="1080" w:hanging="360"/>
        <w:spacing w:after="0" w:line="320" w:lineRule="auto"/>
        <w:tabs>
          <w:tab w:leader="none" w:pos="1080" w:val="left"/>
        </w:tabs>
        <w:numPr>
          <w:ilvl w:val="2"/>
          <w:numId w:val="19"/>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Load Group Membership List: esta opción se utiliza cuando en el análisis se tiene más de un grupo (sexo, clases de edad, diferentes poblaciones, etc.). La lista de clasificación se debe crear en Bloc de Notas, para lo cual se asigna un número a cada categoría.</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19"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34" w:name="page35"/>
    <w:bookmarkEnd w:id="34"/>
    <w:p>
      <w:pPr>
        <w:spacing w:after="0" w:line="239" w:lineRule="auto"/>
        <w:tabs>
          <w:tab w:leader="none" w:pos="1940" w:val="left"/>
        </w:tabs>
        <w:rPr>
          <w:sz w:val="20"/>
          <w:szCs w:val="20"/>
          <w:color w:val="auto"/>
        </w:rPr>
      </w:pPr>
      <w:r>
        <w:rPr>
          <w:rFonts w:ascii="Arial Narrow" w:cs="Arial Narrow" w:eastAsia="Arial Narrow" w:hAnsi="Arial Narrow"/>
          <w:sz w:val="16"/>
          <w:szCs w:val="16"/>
          <w:color w:val="auto"/>
        </w:rPr>
        <w:t>34</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392430</wp:posOffset>
            </wp:positionV>
            <wp:extent cx="4568190" cy="3404235"/>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27">
                      <a:extLst>
                        <a:ext uri="{28A0092B-C50C-407E-A947-70E740481C1C}"/>
                      </a:extLst>
                    </a:blip>
                    <a:srcRect/>
                    <a:stretch>
                      <a:fillRect/>
                    </a:stretch>
                  </pic:blipFill>
                  <pic:spPr bwMode="auto">
                    <a:xfrm>
                      <a:off x="0" y="0"/>
                      <a:ext cx="4568190" cy="340423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342" w:lineRule="exact"/>
        <w:rPr>
          <w:sz w:val="20"/>
          <w:szCs w:val="20"/>
          <w:color w:val="auto"/>
        </w:rPr>
      </w:pPr>
    </w:p>
    <w:tbl>
      <w:tblPr>
        <w:tblLayout w:type="fixed"/>
        <w:tblInd w:w="2140" w:type="dxa"/>
        <w:tblCellMar>
          <w:top w:w="0" w:type="dxa"/>
          <w:left w:w="0" w:type="dxa"/>
          <w:bottom w:w="0" w:type="dxa"/>
          <w:right w:w="0" w:type="dxa"/>
        </w:tblCellMar>
      </w:tblPr>
      <w:tr>
        <w:trPr>
          <w:trHeight w:val="251"/>
        </w:trPr>
        <w:tc>
          <w:tcPr>
            <w:tcW w:w="1800" w:type="dxa"/>
            <w:vAlign w:val="bottom"/>
            <w:vMerge w:val="restart"/>
          </w:tcPr>
          <w:p>
            <w:pPr>
              <w:spacing w:after="0"/>
              <w:rPr>
                <w:sz w:val="20"/>
                <w:szCs w:val="20"/>
                <w:color w:val="auto"/>
              </w:rPr>
            </w:pPr>
            <w:r>
              <w:rPr>
                <w:rFonts w:ascii="Times New Roman" w:cs="Times New Roman" w:eastAsia="Times New Roman" w:hAnsi="Times New Roman"/>
                <w:sz w:val="20"/>
                <w:szCs w:val="20"/>
                <w:color w:val="auto"/>
              </w:rPr>
              <w:t>g)</w:t>
            </w:r>
          </w:p>
        </w:tc>
        <w:tc>
          <w:tcPr>
            <w:tcW w:w="1780" w:type="dxa"/>
            <w:vAlign w:val="bottom"/>
          </w:tcPr>
          <w:p>
            <w:pPr>
              <w:ind w:left="1640"/>
              <w:spacing w:after="0"/>
              <w:rPr>
                <w:sz w:val="20"/>
                <w:szCs w:val="20"/>
                <w:color w:val="auto"/>
              </w:rPr>
            </w:pPr>
            <w:r>
              <w:rPr>
                <w:rFonts w:ascii="Times New Roman" w:cs="Times New Roman" w:eastAsia="Times New Roman" w:hAnsi="Times New Roman"/>
                <w:sz w:val="20"/>
                <w:szCs w:val="20"/>
                <w:color w:val="auto"/>
                <w:w w:val="76"/>
              </w:rPr>
              <w:t>a)</w:t>
            </w:r>
          </w:p>
        </w:tc>
        <w:tc>
          <w:tcPr>
            <w:tcW w:w="0" w:type="dxa"/>
            <w:vAlign w:val="bottom"/>
          </w:tcPr>
          <w:p>
            <w:pPr>
              <w:spacing w:after="0"/>
              <w:rPr>
                <w:sz w:val="1"/>
                <w:szCs w:val="1"/>
                <w:color w:val="auto"/>
              </w:rPr>
            </w:pPr>
          </w:p>
        </w:tc>
      </w:tr>
      <w:tr>
        <w:trPr>
          <w:trHeight w:val="70"/>
        </w:trPr>
        <w:tc>
          <w:tcPr>
            <w:tcW w:w="1800" w:type="dxa"/>
            <w:vAlign w:val="bottom"/>
            <w:vMerge w:val="continue"/>
          </w:tcPr>
          <w:p>
            <w:pPr>
              <w:spacing w:after="0"/>
              <w:rPr>
                <w:sz w:val="6"/>
                <w:szCs w:val="6"/>
                <w:color w:val="auto"/>
              </w:rPr>
            </w:pPr>
          </w:p>
        </w:tc>
        <w:tc>
          <w:tcPr>
            <w:tcW w:w="1780" w:type="dxa"/>
            <w:vAlign w:val="bottom"/>
          </w:tcPr>
          <w:p>
            <w:pPr>
              <w:spacing w:after="0"/>
              <w:rPr>
                <w:sz w:val="6"/>
                <w:szCs w:val="6"/>
                <w:color w:val="auto"/>
              </w:rPr>
            </w:pPr>
          </w:p>
        </w:tc>
        <w:tc>
          <w:tcPr>
            <w:tcW w:w="0" w:type="dxa"/>
            <w:vAlign w:val="bottom"/>
          </w:tcPr>
          <w:p>
            <w:pPr>
              <w:spacing w:after="0"/>
              <w:rPr>
                <w:sz w:val="1"/>
                <w:szCs w:val="1"/>
                <w:color w:val="auto"/>
              </w:rPr>
            </w:pPr>
          </w:p>
        </w:tc>
      </w:tr>
    </w:tbl>
    <w:p>
      <w:pPr>
        <w:spacing w:after="0" w:line="250" w:lineRule="exact"/>
        <w:rPr>
          <w:sz w:val="20"/>
          <w:szCs w:val="20"/>
          <w:color w:val="auto"/>
        </w:rPr>
      </w:pPr>
    </w:p>
    <w:p>
      <w:pPr>
        <w:ind w:left="5680"/>
        <w:spacing w:after="0"/>
        <w:rPr>
          <w:sz w:val="20"/>
          <w:szCs w:val="20"/>
          <w:color w:val="auto"/>
        </w:rPr>
      </w:pPr>
      <w:r>
        <w:rPr>
          <w:rFonts w:ascii="Times New Roman" w:cs="Times New Roman" w:eastAsia="Times New Roman" w:hAnsi="Times New Roman"/>
          <w:sz w:val="20"/>
          <w:szCs w:val="20"/>
          <w:color w:val="auto"/>
        </w:rPr>
        <w:t>*</w:t>
      </w:r>
    </w:p>
    <w:p>
      <w:pPr>
        <w:spacing w:after="0" w:line="298" w:lineRule="exact"/>
        <w:rPr>
          <w:sz w:val="20"/>
          <w:szCs w:val="20"/>
          <w:color w:val="auto"/>
        </w:rPr>
      </w:pPr>
    </w:p>
    <w:p>
      <w:pPr>
        <w:ind w:left="5720"/>
        <w:spacing w:after="0"/>
        <w:rPr>
          <w:sz w:val="20"/>
          <w:szCs w:val="20"/>
          <w:color w:val="auto"/>
        </w:rPr>
      </w:pPr>
      <w:r>
        <w:rPr>
          <w:rFonts w:ascii="Times New Roman" w:cs="Times New Roman" w:eastAsia="Times New Roman" w:hAnsi="Times New Roman"/>
          <w:sz w:val="20"/>
          <w:szCs w:val="20"/>
          <w:color w:val="auto"/>
        </w:rPr>
        <w:t>b)</w:t>
      </w:r>
    </w:p>
    <w:p>
      <w:pPr>
        <w:spacing w:after="0" w:line="200" w:lineRule="exact"/>
        <w:rPr>
          <w:sz w:val="20"/>
          <w:szCs w:val="20"/>
          <w:color w:val="auto"/>
        </w:rPr>
      </w:pPr>
    </w:p>
    <w:p>
      <w:pPr>
        <w:spacing w:after="0" w:line="282" w:lineRule="exact"/>
        <w:rPr>
          <w:sz w:val="20"/>
          <w:szCs w:val="20"/>
          <w:color w:val="auto"/>
        </w:rPr>
      </w:pPr>
    </w:p>
    <w:p>
      <w:pPr>
        <w:ind w:left="4300"/>
        <w:spacing w:after="0"/>
        <w:rPr>
          <w:sz w:val="20"/>
          <w:szCs w:val="20"/>
          <w:color w:val="auto"/>
        </w:rPr>
      </w:pPr>
      <w:r>
        <w:rPr>
          <w:rFonts w:ascii="Times New Roman" w:cs="Times New Roman" w:eastAsia="Times New Roman" w:hAnsi="Times New Roman"/>
          <w:sz w:val="20"/>
          <w:szCs w:val="20"/>
          <w:color w:val="auto"/>
        </w:rPr>
        <w:t>e)</w:t>
      </w:r>
    </w:p>
    <w:p>
      <w:pPr>
        <w:spacing w:after="0" w:line="88"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0"/>
          <w:szCs w:val="20"/>
          <w:color w:val="auto"/>
        </w:rPr>
        <w:t>f )</w:t>
      </w:r>
    </w:p>
    <w:p>
      <w:pPr>
        <w:sectPr>
          <w:pgSz w:w="9360" w:h="13039" w:orient="portrait"/>
          <w:cols w:equalWidth="0" w:num="1">
            <w:col w:w="6940"/>
          </w:cols>
          <w:pgMar w:left="1080" w:top="878" w:right="134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395" w:lineRule="exact"/>
        <w:rPr>
          <w:sz w:val="20"/>
          <w:szCs w:val="20"/>
          <w:color w:val="auto"/>
        </w:rPr>
      </w:pPr>
    </w:p>
    <w:p>
      <w:pPr>
        <w:spacing w:after="0"/>
        <w:rPr>
          <w:sz w:val="20"/>
          <w:szCs w:val="20"/>
          <w:color w:val="auto"/>
        </w:rPr>
      </w:pPr>
      <w:r>
        <w:rPr>
          <w:rFonts w:ascii="Times New Roman" w:cs="Times New Roman" w:eastAsia="Times New Roman" w:hAnsi="Times New Roman"/>
          <w:sz w:val="19"/>
          <w:szCs w:val="19"/>
          <w:color w:val="auto"/>
        </w:rPr>
        <w:t>d)</w:t>
      </w:r>
    </w:p>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17"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c)</w:t>
      </w:r>
    </w:p>
    <w:p>
      <w:pPr>
        <w:sectPr>
          <w:pgSz w:w="9360" w:h="13039" w:orient="portrait"/>
          <w:cols w:equalWidth="0" w:num="2">
            <w:col w:w="160" w:space="4060"/>
            <w:col w:w="160"/>
          </w:cols>
          <w:pgMar w:left="3760" w:top="878" w:right="1220" w:bottom="437" w:gutter="0" w:footer="0" w:header="0"/>
          <w:type w:val="continuous"/>
        </w:sectPr>
      </w:pPr>
    </w:p>
    <w:p>
      <w:pPr>
        <w:spacing w:after="0" w:line="200" w:lineRule="exact"/>
        <w:rPr>
          <w:sz w:val="20"/>
          <w:szCs w:val="20"/>
          <w:color w:val="auto"/>
        </w:rPr>
      </w:pPr>
    </w:p>
    <w:p>
      <w:pPr>
        <w:spacing w:after="0" w:line="377" w:lineRule="exact"/>
        <w:rPr>
          <w:sz w:val="20"/>
          <w:szCs w:val="20"/>
          <w:color w:val="auto"/>
        </w:rPr>
      </w:pPr>
    </w:p>
    <w:p>
      <w:pPr>
        <w:ind w:left="280"/>
        <w:spacing w:after="0"/>
        <w:tabs>
          <w:tab w:leader="none" w:pos="4040" w:val="left"/>
        </w:tabs>
        <w:rPr>
          <w:sz w:val="20"/>
          <w:szCs w:val="20"/>
          <w:color w:val="auto"/>
        </w:rPr>
      </w:pPr>
      <w:r>
        <w:rPr>
          <w:rFonts w:ascii="Times New Roman" w:cs="Times New Roman" w:eastAsia="Times New Roman" w:hAnsi="Times New Roman"/>
          <w:sz w:val="20"/>
          <w:szCs w:val="20"/>
          <w:color w:val="auto"/>
        </w:rPr>
        <w:t>i)</w:t>
      </w:r>
      <w:r>
        <w:rPr>
          <w:sz w:val="20"/>
          <w:szCs w:val="20"/>
          <w:color w:val="auto"/>
        </w:rPr>
        <w:tab/>
      </w:r>
      <w:r>
        <w:rPr>
          <w:rFonts w:ascii="Times New Roman" w:cs="Times New Roman" w:eastAsia="Times New Roman" w:hAnsi="Times New Roman"/>
          <w:sz w:val="20"/>
          <w:szCs w:val="20"/>
          <w:color w:val="auto"/>
        </w:rPr>
        <w:t>h)</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6" w:lineRule="exact"/>
        <w:rPr>
          <w:sz w:val="20"/>
          <w:szCs w:val="20"/>
          <w:color w:val="auto"/>
        </w:rPr>
      </w:pPr>
    </w:p>
    <w:p>
      <w:pPr>
        <w:spacing w:after="0" w:line="311" w:lineRule="auto"/>
        <w:rPr>
          <w:sz w:val="20"/>
          <w:szCs w:val="20"/>
          <w:color w:val="auto"/>
        </w:rPr>
      </w:pPr>
      <w:r>
        <w:rPr>
          <w:rFonts w:ascii="Times New Roman" w:cs="Times New Roman" w:eastAsia="Times New Roman" w:hAnsi="Times New Roman"/>
          <w:sz w:val="16"/>
          <w:szCs w:val="16"/>
          <w:color w:val="auto"/>
        </w:rPr>
        <w:t xml:space="preserve">Nota: el recuadro marcado con un asterisco muestra el nombre del archivo cargado, el tamaño de la muestra y el número de </w:t>
      </w:r>
      <w:r>
        <w:rPr>
          <w:rFonts w:ascii="Times New Roman" w:cs="Times New Roman" w:eastAsia="Times New Roman" w:hAnsi="Times New Roman"/>
          <w:sz w:val="16"/>
          <w:szCs w:val="16"/>
          <w:i w:val="1"/>
          <w:iCs w:val="1"/>
          <w:color w:val="auto"/>
        </w:rPr>
        <w:t>landmarks</w:t>
      </w:r>
      <w:r>
        <w:rPr>
          <w:rFonts w:ascii="Times New Roman" w:cs="Times New Roman" w:eastAsia="Times New Roman" w:hAnsi="Times New Roman"/>
          <w:sz w:val="16"/>
          <w:szCs w:val="16"/>
          <w:color w:val="auto"/>
        </w:rPr>
        <w:t xml:space="preserve"> utilizados.</w:t>
      </w:r>
    </w:p>
    <w:p>
      <w:pPr>
        <w:spacing w:after="0" w:line="331" w:lineRule="exact"/>
        <w:rPr>
          <w:sz w:val="20"/>
          <w:szCs w:val="20"/>
          <w:color w:val="auto"/>
        </w:rPr>
      </w:pPr>
    </w:p>
    <w:p>
      <w:pPr>
        <w:jc w:val="both"/>
        <w:ind w:left="1080" w:hanging="359"/>
        <w:spacing w:after="0" w:line="303" w:lineRule="auto"/>
        <w:tabs>
          <w:tab w:leader="none" w:pos="1060" w:val="left"/>
        </w:tabs>
        <w:rPr>
          <w:sz w:val="20"/>
          <w:szCs w:val="20"/>
          <w:color w:val="auto"/>
        </w:rPr>
      </w:pPr>
      <w:r>
        <w:rPr>
          <w:rFonts w:ascii="Times New Roman" w:cs="Times New Roman" w:eastAsia="Times New Roman" w:hAnsi="Times New Roman"/>
          <w:sz w:val="22"/>
          <w:szCs w:val="22"/>
          <w:color w:val="auto"/>
        </w:rPr>
        <w:t>c)</w:t>
      </w:r>
      <w:r>
        <w:rPr>
          <w:sz w:val="20"/>
          <w:szCs w:val="20"/>
          <w:color w:val="auto"/>
        </w:rPr>
        <w:tab/>
      </w:r>
      <w:r>
        <w:rPr>
          <w:rFonts w:ascii="Times New Roman" w:cs="Times New Roman" w:eastAsia="Times New Roman" w:hAnsi="Times New Roman"/>
          <w:sz w:val="22"/>
          <w:szCs w:val="22"/>
          <w:color w:val="auto"/>
        </w:rPr>
        <w:t>Presionar alguna de estas pestañas para que se muestre la gradilla de deformación. Se debe elegir la que corresponda al método de superimposición que se utilizó. Por ejemplo, si en CoordGen se realizó superimposición por Procrustes, se debe seleccionar la gradilla de deformación por Procrustes.</w:t>
      </w:r>
    </w:p>
    <w:p>
      <w:pPr>
        <w:spacing w:after="0" w:line="3" w:lineRule="exact"/>
        <w:rPr>
          <w:sz w:val="20"/>
          <w:szCs w:val="20"/>
          <w:color w:val="auto"/>
        </w:rPr>
      </w:pPr>
    </w:p>
    <w:p>
      <w:pPr>
        <w:jc w:val="both"/>
        <w:ind w:left="1080" w:hanging="360"/>
        <w:spacing w:after="0" w:line="303" w:lineRule="auto"/>
        <w:tabs>
          <w:tab w:leader="none" w:pos="1080" w:val="left"/>
        </w:tabs>
        <w:numPr>
          <w:ilvl w:val="0"/>
          <w:numId w:val="20"/>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Muestra los diferentes tipos de gradillas de deformación, aunque, como se mencionó, este programa también permite efectuar el análisis de componentes principales.</w:t>
      </w:r>
    </w:p>
    <w:p>
      <w:pPr>
        <w:spacing w:after="0" w:line="1" w:lineRule="exact"/>
        <w:rPr>
          <w:rFonts w:ascii="Times New Roman" w:cs="Times New Roman" w:eastAsia="Times New Roman" w:hAnsi="Times New Roman"/>
          <w:sz w:val="22"/>
          <w:szCs w:val="22"/>
          <w:color w:val="auto"/>
        </w:rPr>
      </w:pPr>
    </w:p>
    <w:p>
      <w:pPr>
        <w:jc w:val="both"/>
        <w:ind w:left="1080" w:hanging="360"/>
        <w:spacing w:after="0" w:line="303" w:lineRule="auto"/>
        <w:tabs>
          <w:tab w:leader="none" w:pos="1080" w:val="left"/>
        </w:tabs>
        <w:numPr>
          <w:ilvl w:val="0"/>
          <w:numId w:val="20"/>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Con los datos que se cargaron, dar clic en esta pestaña para observar la gráfica de dispersión.</w:t>
      </w:r>
    </w:p>
    <w:p>
      <w:pPr>
        <w:spacing w:after="0" w:line="1" w:lineRule="exact"/>
        <w:rPr>
          <w:rFonts w:ascii="Times New Roman" w:cs="Times New Roman" w:eastAsia="Times New Roman" w:hAnsi="Times New Roman"/>
          <w:sz w:val="22"/>
          <w:szCs w:val="22"/>
          <w:color w:val="auto"/>
        </w:rPr>
      </w:pPr>
    </w:p>
    <w:p>
      <w:pPr>
        <w:jc w:val="both"/>
        <w:ind w:left="1080" w:hanging="360"/>
        <w:spacing w:after="0"/>
        <w:tabs>
          <w:tab w:leader="none" w:pos="1080" w:val="left"/>
        </w:tabs>
        <w:numPr>
          <w:ilvl w:val="0"/>
          <w:numId w:val="20"/>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Muestra la varianza explicada en los ejes X y Y.</w:t>
      </w:r>
    </w:p>
    <w:p>
      <w:pPr>
        <w:sectPr>
          <w:pgSz w:w="9360" w:h="13039" w:orient="portrait"/>
          <w:cols w:equalWidth="0" w:num="1">
            <w:col w:w="7200"/>
          </w:cols>
          <w:pgMar w:left="1080" w:top="878" w:right="1080" w:bottom="43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24"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67" name="Shape 6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67" o:spid="_x0000_s109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68" name="Shape 6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68" o:spid="_x0000_s109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69" name="Shape 6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69" o:spid="_x0000_s109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35" w:name="page36"/>
    <w:bookmarkEnd w:id="35"/>
    <w:tbl>
      <w:tblPr>
        <w:tblLayout w:type="fixed"/>
        <w:tblInd w:w="1444" w:type="dxa"/>
        <w:tblCellMar>
          <w:top w:w="0" w:type="dxa"/>
          <w:left w:w="0" w:type="dxa"/>
          <w:bottom w:w="0" w:type="dxa"/>
          <w:right w:w="0" w:type="dxa"/>
        </w:tblCellMar>
      </w:tblPr>
      <w:tr>
        <w:trPr>
          <w:trHeight w:val="222"/>
        </w:trPr>
        <w:tc>
          <w:tcPr>
            <w:tcW w:w="3880" w:type="dxa"/>
            <w:vAlign w:val="bottom"/>
          </w:tcPr>
          <w:p>
            <w:pPr>
              <w:spacing w:after="0"/>
              <w:rPr>
                <w:sz w:val="20"/>
                <w:szCs w:val="20"/>
                <w:color w:val="auto"/>
              </w:rPr>
            </w:pPr>
            <w:r>
              <w:rPr>
                <w:rFonts w:ascii="Arial Narrow" w:cs="Arial Narrow" w:eastAsia="Arial Narrow" w:hAnsi="Arial Narrow"/>
                <w:sz w:val="11"/>
                <w:szCs w:val="11"/>
                <w:color w:val="auto"/>
              </w:rPr>
              <w:t>manual de morfometría tradicional y geométrica</w:t>
            </w:r>
          </w:p>
        </w:tc>
        <w:tc>
          <w:tcPr>
            <w:tcW w:w="1160" w:type="dxa"/>
            <w:vAlign w:val="bottom"/>
          </w:tcPr>
          <w:p>
            <w:pPr>
              <w:jc w:val="right"/>
              <w:spacing w:after="0"/>
              <w:rPr>
                <w:sz w:val="20"/>
                <w:szCs w:val="20"/>
                <w:color w:val="auto"/>
              </w:rPr>
            </w:pPr>
            <w:r>
              <w:rPr>
                <w:rFonts w:ascii="Arial Narrow" w:cs="Arial Narrow" w:eastAsia="Arial Narrow" w:hAnsi="Arial Narrow"/>
                <w:sz w:val="16"/>
                <w:szCs w:val="16"/>
                <w:color w:val="auto"/>
              </w:rPr>
              <w:t>35</w:t>
            </w:r>
          </w:p>
        </w:tc>
      </w:tr>
    </w:tbl>
    <w:p>
      <w:pPr>
        <w:spacing w:after="0" w:line="200" w:lineRule="exact"/>
        <w:rPr>
          <w:sz w:val="20"/>
          <w:szCs w:val="20"/>
          <w:color w:val="auto"/>
        </w:rPr>
      </w:pPr>
    </w:p>
    <w:p>
      <w:pPr>
        <w:spacing w:after="0" w:line="309" w:lineRule="exact"/>
        <w:rPr>
          <w:sz w:val="20"/>
          <w:szCs w:val="20"/>
          <w:color w:val="auto"/>
        </w:rPr>
      </w:pPr>
    </w:p>
    <w:p>
      <w:pPr>
        <w:jc w:val="both"/>
        <w:ind w:left="364" w:hanging="364"/>
        <w:spacing w:after="0" w:line="303" w:lineRule="auto"/>
        <w:tabs>
          <w:tab w:leader="none" w:pos="364" w:val="left"/>
        </w:tabs>
        <w:numPr>
          <w:ilvl w:val="0"/>
          <w:numId w:val="21"/>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Para mostrar la gráfica de los porcentajes de varianza, seleccionar Statistics y dar clic en Scree Plot.</w:t>
      </w:r>
    </w:p>
    <w:p>
      <w:pPr>
        <w:spacing w:after="0" w:line="1" w:lineRule="exact"/>
        <w:rPr>
          <w:rFonts w:ascii="Times New Roman" w:cs="Times New Roman" w:eastAsia="Times New Roman" w:hAnsi="Times New Roman"/>
          <w:sz w:val="22"/>
          <w:szCs w:val="22"/>
          <w:color w:val="auto"/>
        </w:rPr>
      </w:pPr>
    </w:p>
    <w:p>
      <w:pPr>
        <w:jc w:val="both"/>
        <w:ind w:left="364" w:right="20" w:hanging="364"/>
        <w:spacing w:after="0" w:line="303" w:lineRule="auto"/>
        <w:tabs>
          <w:tab w:leader="none" w:pos="364" w:val="left"/>
        </w:tabs>
        <w:numPr>
          <w:ilvl w:val="0"/>
          <w:numId w:val="21"/>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Elegir la opción Save PW Scores (esta matriz puede ser importada a cualquier paquete estadístico para realizar otros análisis).</w:t>
      </w:r>
    </w:p>
    <w:p>
      <w:pPr>
        <w:spacing w:after="0" w:line="1" w:lineRule="exact"/>
        <w:rPr>
          <w:rFonts w:ascii="Times New Roman" w:cs="Times New Roman" w:eastAsia="Times New Roman" w:hAnsi="Times New Roman"/>
          <w:sz w:val="22"/>
          <w:szCs w:val="22"/>
          <w:color w:val="auto"/>
        </w:rPr>
      </w:pPr>
    </w:p>
    <w:p>
      <w:pPr>
        <w:jc w:val="both"/>
        <w:ind w:left="364" w:hanging="364"/>
        <w:spacing w:after="0"/>
        <w:tabs>
          <w:tab w:leader="none" w:pos="364" w:val="left"/>
        </w:tabs>
        <w:numPr>
          <w:ilvl w:val="0"/>
          <w:numId w:val="21"/>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Copiar imagen.</w:t>
      </w:r>
    </w:p>
    <w:p>
      <w:pPr>
        <w:spacing w:after="0" w:line="67" w:lineRule="exact"/>
        <w:rPr>
          <w:rFonts w:ascii="Times New Roman" w:cs="Times New Roman" w:eastAsia="Times New Roman" w:hAnsi="Times New Roman"/>
          <w:sz w:val="22"/>
          <w:szCs w:val="22"/>
          <w:color w:val="auto"/>
        </w:rPr>
      </w:pPr>
    </w:p>
    <w:p>
      <w:pPr>
        <w:jc w:val="both"/>
        <w:ind w:left="364" w:hanging="364"/>
        <w:spacing w:after="0" w:line="303" w:lineRule="auto"/>
        <w:tabs>
          <w:tab w:leader="none" w:pos="364" w:val="left"/>
        </w:tabs>
        <w:numPr>
          <w:ilvl w:val="0"/>
          <w:numId w:val="21"/>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Para saber el código con el que se clasificaron los organismos en el gráfico y poder hacer una interpretación en Display Options, seleccionar Show Symbol Codes.</w:t>
      </w:r>
    </w:p>
    <w:p>
      <w:pPr>
        <w:spacing w:after="0" w:line="1" w:lineRule="exact"/>
        <w:rPr>
          <w:rFonts w:ascii="Times New Roman" w:cs="Times New Roman" w:eastAsia="Times New Roman" w:hAnsi="Times New Roman"/>
          <w:sz w:val="22"/>
          <w:szCs w:val="22"/>
          <w:color w:val="auto"/>
        </w:rPr>
      </w:pPr>
    </w:p>
    <w:p>
      <w:pPr>
        <w:jc w:val="both"/>
        <w:ind w:left="364" w:hanging="364"/>
        <w:spacing w:after="0" w:line="315" w:lineRule="auto"/>
        <w:tabs>
          <w:tab w:leader="none" w:pos="364" w:val="left"/>
        </w:tabs>
        <w:numPr>
          <w:ilvl w:val="0"/>
          <w:numId w:val="21"/>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Desplegar los códigos según la ordenación de los organismos (ejemplo, por población, la población 1 está representada por un círculo; la población 2, por una “x”).</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-451485</wp:posOffset>
            </wp:positionH>
            <wp:positionV relativeFrom="paragraph">
              <wp:posOffset>279400</wp:posOffset>
            </wp:positionV>
            <wp:extent cx="4565650" cy="371221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28">
                      <a:extLst>
                        <a:ext uri="{28A0092B-C50C-407E-A947-70E740481C1C}"/>
                      </a:extLst>
                    </a:blip>
                    <a:srcRect/>
                    <a:stretch>
                      <a:fillRect/>
                    </a:stretch>
                  </pic:blipFill>
                  <pic:spPr bwMode="auto">
                    <a:xfrm>
                      <a:off x="0" y="0"/>
                      <a:ext cx="4565650" cy="371221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9" w:lineRule="exact"/>
        <w:rPr>
          <w:sz w:val="20"/>
          <w:szCs w:val="20"/>
          <w:color w:val="auto"/>
        </w:rPr>
      </w:pPr>
    </w:p>
    <w:p>
      <w:pPr>
        <w:ind w:left="1164"/>
        <w:spacing w:after="0"/>
        <w:rPr>
          <w:sz w:val="20"/>
          <w:szCs w:val="20"/>
          <w:color w:val="auto"/>
        </w:rPr>
      </w:pPr>
      <w:r>
        <w:rPr>
          <w:rFonts w:ascii="Times New Roman" w:cs="Times New Roman" w:eastAsia="Times New Roman" w:hAnsi="Times New Roman"/>
          <w:sz w:val="20"/>
          <w:szCs w:val="20"/>
          <w:color w:val="auto"/>
        </w:rPr>
        <w:t>j)</w:t>
      </w:r>
    </w:p>
    <w:p>
      <w:pPr>
        <w:spacing w:after="0" w:line="200" w:lineRule="exact"/>
        <w:rPr>
          <w:sz w:val="20"/>
          <w:szCs w:val="20"/>
          <w:color w:val="auto"/>
        </w:rPr>
      </w:pPr>
    </w:p>
    <w:p>
      <w:pPr>
        <w:spacing w:after="0" w:line="200" w:lineRule="exact"/>
        <w:rPr>
          <w:sz w:val="20"/>
          <w:szCs w:val="20"/>
          <w:color w:val="auto"/>
        </w:rPr>
      </w:pPr>
    </w:p>
    <w:p>
      <w:pPr>
        <w:spacing w:after="0" w:line="243" w:lineRule="exact"/>
        <w:rPr>
          <w:sz w:val="20"/>
          <w:szCs w:val="20"/>
          <w:color w:val="auto"/>
        </w:rPr>
      </w:pPr>
    </w:p>
    <w:p>
      <w:pPr>
        <w:ind w:left="4644"/>
        <w:spacing w:after="0"/>
        <w:rPr>
          <w:sz w:val="20"/>
          <w:szCs w:val="20"/>
          <w:color w:val="auto"/>
        </w:rPr>
      </w:pPr>
      <w:r>
        <w:rPr>
          <w:rFonts w:ascii="Times New Roman" w:cs="Times New Roman" w:eastAsia="Times New Roman" w:hAnsi="Times New Roman"/>
          <w:sz w:val="20"/>
          <w:szCs w:val="20"/>
          <w:color w:val="auto"/>
        </w:rPr>
        <w:t>k)</w:t>
      </w:r>
    </w:p>
    <w:p>
      <w:pPr>
        <w:sectPr>
          <w:pgSz w:w="9360" w:h="13039" w:orient="portrait"/>
          <w:cols w:equalWidth="0" w:num="1">
            <w:col w:w="6484"/>
          </w:cols>
          <w:pgMar w:left="1796"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6"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36" w:name="page37"/>
    <w:bookmarkEnd w:id="36"/>
    <w:p>
      <w:pPr>
        <w:spacing w:after="0" w:line="239" w:lineRule="auto"/>
        <w:tabs>
          <w:tab w:leader="none" w:pos="1940" w:val="left"/>
        </w:tabs>
        <w:rPr>
          <w:sz w:val="20"/>
          <w:szCs w:val="20"/>
          <w:color w:val="auto"/>
        </w:rPr>
      </w:pPr>
      <w:r>
        <w:rPr>
          <w:rFonts w:ascii="Arial Narrow" w:cs="Arial Narrow" w:eastAsia="Arial Narrow" w:hAnsi="Arial Narrow"/>
          <w:sz w:val="16"/>
          <w:szCs w:val="16"/>
          <w:color w:val="auto"/>
        </w:rPr>
        <w:t>36</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p>
    <w:p>
      <w:pPr>
        <w:spacing w:after="0" w:line="376" w:lineRule="exact"/>
        <w:rPr>
          <w:sz w:val="20"/>
          <w:szCs w:val="20"/>
          <w:color w:val="auto"/>
        </w:rPr>
      </w:pPr>
    </w:p>
    <w:p>
      <w:pPr>
        <w:jc w:val="both"/>
        <w:ind w:left="240" w:hanging="240"/>
        <w:spacing w:after="0" w:line="303" w:lineRule="auto"/>
        <w:tabs>
          <w:tab w:leader="none" w:pos="240" w:val="left"/>
        </w:tabs>
        <w:numPr>
          <w:ilvl w:val="0"/>
          <w:numId w:val="22"/>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CVAGen. Este programa se emplea para el análisis de variables canónicas, ya que discrimina entre dos o más grupos de acuerdo con un grupo de variables. En la siguiente figura se muestran los pasos a seguir.</w:t>
      </w:r>
    </w:p>
    <w:p>
      <w:pPr>
        <w:spacing w:after="0" w:line="1" w:lineRule="exact"/>
        <w:rPr>
          <w:rFonts w:ascii="Times New Roman" w:cs="Times New Roman" w:eastAsia="Times New Roman" w:hAnsi="Times New Roman"/>
          <w:sz w:val="22"/>
          <w:szCs w:val="22"/>
          <w:color w:val="auto"/>
        </w:rPr>
      </w:pPr>
    </w:p>
    <w:p>
      <w:pPr>
        <w:jc w:val="both"/>
        <w:ind w:left="540" w:hanging="300"/>
        <w:spacing w:after="0"/>
        <w:tabs>
          <w:tab w:leader="none" w:pos="540" w:val="left"/>
        </w:tabs>
        <w:numPr>
          <w:ilvl w:val="1"/>
          <w:numId w:val="22"/>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Cargar el archivo de Procrustes (mismo que se cargó en PCAGen).</w:t>
      </w:r>
    </w:p>
    <w:p>
      <w:pPr>
        <w:spacing w:after="0" w:line="67" w:lineRule="exact"/>
        <w:rPr>
          <w:rFonts w:ascii="Times New Roman" w:cs="Times New Roman" w:eastAsia="Times New Roman" w:hAnsi="Times New Roman"/>
          <w:sz w:val="22"/>
          <w:szCs w:val="22"/>
          <w:color w:val="auto"/>
        </w:rPr>
      </w:pPr>
    </w:p>
    <w:p>
      <w:pPr>
        <w:jc w:val="both"/>
        <w:ind w:left="540" w:hanging="300"/>
        <w:spacing w:after="0"/>
        <w:tabs>
          <w:tab w:leader="none" w:pos="540" w:val="left"/>
        </w:tabs>
        <w:numPr>
          <w:ilvl w:val="1"/>
          <w:numId w:val="22"/>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Cargar la lista de clasificación (misma que se utilizó en PCAGen).</w:t>
      </w:r>
    </w:p>
    <w:p>
      <w:pPr>
        <w:spacing w:after="0" w:line="67" w:lineRule="exact"/>
        <w:rPr>
          <w:rFonts w:ascii="Times New Roman" w:cs="Times New Roman" w:eastAsia="Times New Roman" w:hAnsi="Times New Roman"/>
          <w:sz w:val="22"/>
          <w:szCs w:val="22"/>
          <w:color w:val="auto"/>
        </w:rPr>
      </w:pPr>
    </w:p>
    <w:p>
      <w:pPr>
        <w:jc w:val="both"/>
        <w:ind w:left="540" w:hanging="300"/>
        <w:spacing w:after="0"/>
        <w:tabs>
          <w:tab w:leader="none" w:pos="540" w:val="left"/>
        </w:tabs>
        <w:numPr>
          <w:ilvl w:val="1"/>
          <w:numId w:val="22"/>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Muestra la gráfica de variables canónicas.</w:t>
      </w:r>
    </w:p>
    <w:p>
      <w:pPr>
        <w:spacing w:after="0" w:line="67" w:lineRule="exact"/>
        <w:rPr>
          <w:rFonts w:ascii="Times New Roman" w:cs="Times New Roman" w:eastAsia="Times New Roman" w:hAnsi="Times New Roman"/>
          <w:sz w:val="22"/>
          <w:szCs w:val="22"/>
          <w:color w:val="auto"/>
        </w:rPr>
      </w:pPr>
    </w:p>
    <w:p>
      <w:pPr>
        <w:jc w:val="both"/>
        <w:ind w:left="540" w:hanging="300"/>
        <w:spacing w:after="0" w:line="333" w:lineRule="auto"/>
        <w:tabs>
          <w:tab w:leader="none" w:pos="540" w:val="left"/>
        </w:tabs>
        <w:numPr>
          <w:ilvl w:val="1"/>
          <w:numId w:val="22"/>
        </w:numPr>
        <w:rPr>
          <w:rFonts w:ascii="Times New Roman" w:cs="Times New Roman" w:eastAsia="Times New Roman" w:hAnsi="Times New Roman"/>
          <w:sz w:val="20"/>
          <w:szCs w:val="20"/>
          <w:color w:val="auto"/>
        </w:rPr>
      </w:pPr>
      <w:r>
        <w:rPr>
          <w:rFonts w:ascii="Times New Roman" w:cs="Times New Roman" w:eastAsia="Times New Roman" w:hAnsi="Times New Roman"/>
          <w:sz w:val="20"/>
          <w:szCs w:val="20"/>
          <w:color w:val="auto"/>
        </w:rPr>
        <w:t>Permite guardar los PW scores, que se pueden importar a cualquier otro paquete estadístico para realizar los análisis estadísticos adecuados si se requiere.</w:t>
      </w:r>
    </w:p>
    <w:p>
      <w:pPr>
        <w:spacing w:after="0" w:line="1" w:lineRule="exact"/>
        <w:rPr>
          <w:rFonts w:ascii="Times New Roman" w:cs="Times New Roman" w:eastAsia="Times New Roman" w:hAnsi="Times New Roman"/>
          <w:sz w:val="20"/>
          <w:szCs w:val="20"/>
          <w:color w:val="auto"/>
        </w:rPr>
      </w:pPr>
    </w:p>
    <w:p>
      <w:pPr>
        <w:jc w:val="both"/>
        <w:ind w:left="540" w:hanging="300"/>
        <w:spacing w:after="0"/>
        <w:tabs>
          <w:tab w:leader="none" w:pos="540" w:val="left"/>
        </w:tabs>
        <w:numPr>
          <w:ilvl w:val="1"/>
          <w:numId w:val="22"/>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Copiar la imagen de la gráfica.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360045</wp:posOffset>
            </wp:positionV>
            <wp:extent cx="4568190" cy="352552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9">
                      <a:extLst>
                        <a:ext uri="{28A0092B-C50C-407E-A947-70E740481C1C}"/>
                      </a:extLst>
                    </a:blip>
                    <a:srcRect/>
                    <a:stretch>
                      <a:fillRect/>
                    </a:stretch>
                  </pic:blipFill>
                  <pic:spPr bwMode="auto">
                    <a:xfrm>
                      <a:off x="0" y="0"/>
                      <a:ext cx="4568190" cy="352552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6" w:lineRule="exact"/>
        <w:rPr>
          <w:sz w:val="20"/>
          <w:szCs w:val="20"/>
          <w:color w:val="auto"/>
        </w:rPr>
      </w:pPr>
    </w:p>
    <w:p>
      <w:pPr>
        <w:ind w:left="5840"/>
        <w:spacing w:after="0"/>
        <w:rPr>
          <w:sz w:val="20"/>
          <w:szCs w:val="20"/>
          <w:color w:val="auto"/>
        </w:rPr>
      </w:pPr>
      <w:r>
        <w:rPr>
          <w:rFonts w:ascii="Times New Roman" w:cs="Times New Roman" w:eastAsia="Times New Roman" w:hAnsi="Times New Roman"/>
          <w:sz w:val="18"/>
          <w:szCs w:val="18"/>
          <w:color w:val="auto"/>
        </w:rPr>
        <w:t>a)</w:t>
      </w:r>
    </w:p>
    <w:p>
      <w:pPr>
        <w:spacing w:after="0" w:line="200" w:lineRule="exact"/>
        <w:rPr>
          <w:sz w:val="20"/>
          <w:szCs w:val="20"/>
          <w:color w:val="auto"/>
        </w:rPr>
      </w:pPr>
    </w:p>
    <w:p>
      <w:pPr>
        <w:spacing w:after="0" w:line="200" w:lineRule="exact"/>
        <w:rPr>
          <w:sz w:val="20"/>
          <w:szCs w:val="20"/>
          <w:color w:val="auto"/>
        </w:rPr>
      </w:pPr>
    </w:p>
    <w:p>
      <w:pPr>
        <w:spacing w:after="0" w:line="263" w:lineRule="exact"/>
        <w:rPr>
          <w:sz w:val="20"/>
          <w:szCs w:val="20"/>
          <w:color w:val="auto"/>
        </w:rPr>
      </w:pPr>
    </w:p>
    <w:p>
      <w:pPr>
        <w:ind w:left="5860"/>
        <w:spacing w:after="0"/>
        <w:rPr>
          <w:sz w:val="20"/>
          <w:szCs w:val="20"/>
          <w:color w:val="auto"/>
        </w:rPr>
      </w:pPr>
      <w:r>
        <w:rPr>
          <w:rFonts w:ascii="Times New Roman" w:cs="Times New Roman" w:eastAsia="Times New Roman" w:hAnsi="Times New Roman"/>
          <w:sz w:val="18"/>
          <w:szCs w:val="18"/>
          <w:color w:val="auto"/>
        </w:rPr>
        <w:t>b)</w:t>
      </w:r>
    </w:p>
    <w:p>
      <w:pPr>
        <w:spacing w:after="0" w:line="200" w:lineRule="exact"/>
        <w:rPr>
          <w:sz w:val="20"/>
          <w:szCs w:val="20"/>
          <w:color w:val="auto"/>
        </w:rPr>
      </w:pPr>
    </w:p>
    <w:p>
      <w:pPr>
        <w:spacing w:after="0" w:line="200" w:lineRule="exact"/>
        <w:rPr>
          <w:sz w:val="20"/>
          <w:szCs w:val="20"/>
          <w:color w:val="auto"/>
        </w:rPr>
      </w:pPr>
    </w:p>
    <w:p>
      <w:pPr>
        <w:spacing w:after="0" w:line="223" w:lineRule="exact"/>
        <w:rPr>
          <w:sz w:val="20"/>
          <w:szCs w:val="20"/>
          <w:color w:val="auto"/>
        </w:rPr>
      </w:pPr>
    </w:p>
    <w:p>
      <w:pPr>
        <w:ind w:left="5840"/>
        <w:spacing w:after="0"/>
        <w:rPr>
          <w:sz w:val="20"/>
          <w:szCs w:val="20"/>
          <w:color w:val="auto"/>
        </w:rPr>
      </w:pPr>
      <w:r>
        <w:rPr>
          <w:rFonts w:ascii="Times New Roman" w:cs="Times New Roman" w:eastAsia="Times New Roman" w:hAnsi="Times New Roman"/>
          <w:sz w:val="18"/>
          <w:szCs w:val="18"/>
          <w:color w:val="auto"/>
        </w:rPr>
        <w:t>c)</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1" w:lineRule="exact"/>
        <w:rPr>
          <w:sz w:val="20"/>
          <w:szCs w:val="20"/>
          <w:color w:val="auto"/>
        </w:rPr>
      </w:pPr>
    </w:p>
    <w:p>
      <w:pPr>
        <w:ind w:left="1480"/>
        <w:spacing w:after="0"/>
        <w:rPr>
          <w:sz w:val="20"/>
          <w:szCs w:val="20"/>
          <w:color w:val="auto"/>
        </w:rPr>
      </w:pPr>
      <w:r>
        <w:rPr>
          <w:rFonts w:ascii="Times New Roman" w:cs="Times New Roman" w:eastAsia="Times New Roman" w:hAnsi="Times New Roman"/>
          <w:sz w:val="18"/>
          <w:szCs w:val="18"/>
          <w:color w:val="auto"/>
        </w:rPr>
        <w:t>e)</w:t>
      </w:r>
    </w:p>
    <w:p>
      <w:pPr>
        <w:spacing w:after="0" w:line="39" w:lineRule="exact"/>
        <w:rPr>
          <w:sz w:val="20"/>
          <w:szCs w:val="20"/>
          <w:color w:val="auto"/>
        </w:rPr>
      </w:pPr>
    </w:p>
    <w:p>
      <w:pPr>
        <w:ind w:left="4160"/>
        <w:spacing w:after="0"/>
        <w:rPr>
          <w:sz w:val="20"/>
          <w:szCs w:val="20"/>
          <w:color w:val="auto"/>
        </w:rPr>
      </w:pPr>
      <w:r>
        <w:rPr>
          <w:rFonts w:ascii="Times New Roman" w:cs="Times New Roman" w:eastAsia="Times New Roman" w:hAnsi="Times New Roman"/>
          <w:sz w:val="18"/>
          <w:szCs w:val="18"/>
          <w:color w:val="auto"/>
        </w:rPr>
        <w:t>d)</w:t>
      </w:r>
    </w:p>
    <w:p>
      <w:pPr>
        <w:sectPr>
          <w:pgSz w:w="9360" w:h="13039" w:orient="portrait"/>
          <w:cols w:equalWidth="0" w:num="1">
            <w:col w:w="7200"/>
          </w:cols>
          <w:pgMar w:left="1080" w:top="878"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3"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72" name="Shape 7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72" o:spid="_x0000_s109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73" name="Shape 7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73" o:spid="_x0000_s109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74" name="Shape 7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74" o:spid="_x0000_s109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37" w:name="page38"/>
    <w:bookmarkEnd w:id="37"/>
    <w:tbl>
      <w:tblPr>
        <w:tblLayout w:type="fixed"/>
        <w:tblInd w:w="1920" w:type="dxa"/>
        <w:tblCellMar>
          <w:top w:w="0" w:type="dxa"/>
          <w:left w:w="0" w:type="dxa"/>
          <w:bottom w:w="0" w:type="dxa"/>
          <w:right w:w="0" w:type="dxa"/>
        </w:tblCellMar>
      </w:tblPr>
      <w:tr>
        <w:trPr>
          <w:trHeight w:val="222"/>
        </w:trPr>
        <w:tc>
          <w:tcPr>
            <w:tcW w:w="3880" w:type="dxa"/>
            <w:vAlign w:val="bottom"/>
          </w:tcPr>
          <w:p>
            <w:pPr>
              <w:spacing w:after="0"/>
              <w:rPr>
                <w:sz w:val="20"/>
                <w:szCs w:val="20"/>
                <w:color w:val="auto"/>
              </w:rPr>
            </w:pPr>
            <w:r>
              <w:rPr>
                <w:rFonts w:ascii="Arial Narrow" w:cs="Arial Narrow" w:eastAsia="Arial Narrow" w:hAnsi="Arial Narrow"/>
                <w:sz w:val="11"/>
                <w:szCs w:val="11"/>
                <w:color w:val="auto"/>
              </w:rPr>
              <w:t>manual de morfometría tradicional y geométrica</w:t>
            </w:r>
          </w:p>
        </w:tc>
        <w:tc>
          <w:tcPr>
            <w:tcW w:w="1160" w:type="dxa"/>
            <w:vAlign w:val="bottom"/>
          </w:tcPr>
          <w:p>
            <w:pPr>
              <w:jc w:val="right"/>
              <w:spacing w:after="0"/>
              <w:rPr>
                <w:sz w:val="20"/>
                <w:szCs w:val="20"/>
                <w:color w:val="auto"/>
              </w:rPr>
            </w:pPr>
            <w:r>
              <w:rPr>
                <w:rFonts w:ascii="Arial Narrow" w:cs="Arial Narrow" w:eastAsia="Arial Narrow" w:hAnsi="Arial Narrow"/>
                <w:sz w:val="16"/>
                <w:szCs w:val="16"/>
                <w:color w:val="auto"/>
              </w:rPr>
              <w:t>37</w:t>
            </w:r>
          </w:p>
        </w:tc>
      </w:tr>
    </w:tbl>
    <w:p>
      <w:pPr>
        <w:spacing w:after="0" w:line="200" w:lineRule="exact"/>
        <w:rPr>
          <w:sz w:val="20"/>
          <w:szCs w:val="20"/>
          <w:color w:val="auto"/>
        </w:rPr>
      </w:pPr>
    </w:p>
    <w:p>
      <w:pPr>
        <w:spacing w:after="0" w:line="309"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f )  Esta opción indica la asignación de los grupos.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383540</wp:posOffset>
            </wp:positionH>
            <wp:positionV relativeFrom="paragraph">
              <wp:posOffset>224790</wp:posOffset>
            </wp:positionV>
            <wp:extent cx="3473450" cy="219583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30">
                      <a:extLst>
                        <a:ext uri="{28A0092B-C50C-407E-A947-70E740481C1C}"/>
                      </a:extLst>
                    </a:blip>
                    <a:srcRect/>
                    <a:stretch>
                      <a:fillRect/>
                    </a:stretch>
                  </pic:blipFill>
                  <pic:spPr bwMode="auto">
                    <a:xfrm>
                      <a:off x="0" y="0"/>
                      <a:ext cx="3473450" cy="2195830"/>
                    </a:xfrm>
                    <a:prstGeom prst="rect">
                      <a:avLst/>
                    </a:prstGeom>
                    <a:noFill/>
                  </pic:spPr>
                </pic:pic>
              </a:graphicData>
            </a:graphic>
          </wp:anchor>
        </w:drawing>
      </w:r>
    </w:p>
    <w:p>
      <w:pPr>
        <w:spacing w:after="0" w:line="200" w:lineRule="exact"/>
        <w:rPr>
          <w:sz w:val="20"/>
          <w:szCs w:val="20"/>
          <w:color w:val="auto"/>
        </w:rPr>
      </w:pPr>
    </w:p>
    <w:p>
      <w:pPr>
        <w:spacing w:after="0" w:line="219" w:lineRule="exact"/>
        <w:rPr>
          <w:sz w:val="20"/>
          <w:szCs w:val="20"/>
          <w:color w:val="auto"/>
        </w:rPr>
      </w:pPr>
    </w:p>
    <w:p>
      <w:pPr>
        <w:ind w:left="2940"/>
        <w:spacing w:after="0"/>
        <w:rPr>
          <w:sz w:val="20"/>
          <w:szCs w:val="20"/>
          <w:color w:val="auto"/>
        </w:rPr>
      </w:pPr>
      <w:r>
        <w:rPr>
          <w:rFonts w:ascii="Times New Roman" w:cs="Times New Roman" w:eastAsia="Times New Roman" w:hAnsi="Times New Roman"/>
          <w:sz w:val="20"/>
          <w:szCs w:val="20"/>
          <w:color w:val="auto"/>
        </w:rPr>
        <w:t>f)</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5"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g) Valores de la prueba, lambda de Wilks, chi-squared y grados de libertad.</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394335</wp:posOffset>
            </wp:positionH>
            <wp:positionV relativeFrom="paragraph">
              <wp:posOffset>327025</wp:posOffset>
            </wp:positionV>
            <wp:extent cx="3462655" cy="292481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31">
                      <a:extLst>
                        <a:ext uri="{28A0092B-C50C-407E-A947-70E740481C1C}"/>
                      </a:extLst>
                    </a:blip>
                    <a:srcRect/>
                    <a:stretch>
                      <a:fillRect/>
                    </a:stretch>
                  </pic:blipFill>
                  <pic:spPr bwMode="auto">
                    <a:xfrm>
                      <a:off x="0" y="0"/>
                      <a:ext cx="3462655" cy="292481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5" w:lineRule="exact"/>
        <w:rPr>
          <w:sz w:val="20"/>
          <w:szCs w:val="20"/>
          <w:color w:val="auto"/>
        </w:rPr>
      </w:pPr>
    </w:p>
    <w:p>
      <w:pPr>
        <w:ind w:left="1720"/>
        <w:spacing w:after="0"/>
        <w:rPr>
          <w:sz w:val="20"/>
          <w:szCs w:val="20"/>
          <w:color w:val="auto"/>
        </w:rPr>
      </w:pPr>
      <w:r>
        <w:rPr>
          <w:rFonts w:ascii="Times New Roman" w:cs="Times New Roman" w:eastAsia="Times New Roman" w:hAnsi="Times New Roman"/>
          <w:sz w:val="20"/>
          <w:szCs w:val="20"/>
          <w:color w:val="auto"/>
        </w:rPr>
        <w:t>g)</w:t>
      </w:r>
    </w:p>
    <w:p>
      <w:pPr>
        <w:sectPr>
          <w:pgSz w:w="9360" w:h="13039" w:orient="portrait"/>
          <w:cols w:equalWidth="0" w:num="1">
            <w:col w:w="6960"/>
          </w:cols>
          <w:pgMar w:left="132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8"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38" w:name="page39"/>
    <w:bookmarkEnd w:id="38"/>
    <w:p>
      <w:pPr>
        <w:spacing w:after="0" w:line="239" w:lineRule="auto"/>
        <w:tabs>
          <w:tab w:leader="none" w:pos="1940" w:val="left"/>
        </w:tabs>
        <w:rPr>
          <w:sz w:val="20"/>
          <w:szCs w:val="20"/>
          <w:color w:val="auto"/>
        </w:rPr>
      </w:pPr>
      <w:r>
        <w:rPr>
          <w:rFonts w:ascii="Arial Narrow" w:cs="Arial Narrow" w:eastAsia="Arial Narrow" w:hAnsi="Arial Narrow"/>
          <w:sz w:val="16"/>
          <w:szCs w:val="16"/>
          <w:color w:val="auto"/>
        </w:rPr>
        <w:t>38</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p>
    <w:p>
      <w:pPr>
        <w:spacing w:after="0" w:line="376"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Semilandmarks</w:t>
      </w:r>
    </w:p>
    <w:p>
      <w:pPr>
        <w:spacing w:after="0" w:line="387" w:lineRule="exact"/>
        <w:rPr>
          <w:sz w:val="20"/>
          <w:szCs w:val="20"/>
          <w:color w:val="auto"/>
        </w:rPr>
      </w:pPr>
    </w:p>
    <w:p>
      <w:pPr>
        <w:jc w:val="both"/>
        <w:spacing w:after="0" w:line="318" w:lineRule="auto"/>
        <w:rPr>
          <w:sz w:val="20"/>
          <w:szCs w:val="20"/>
          <w:color w:val="auto"/>
        </w:rPr>
      </w:pPr>
      <w:r>
        <w:rPr>
          <w:rFonts w:ascii="Times New Roman" w:cs="Times New Roman" w:eastAsia="Times New Roman" w:hAnsi="Times New Roman"/>
          <w:sz w:val="21"/>
          <w:szCs w:val="21"/>
          <w:color w:val="auto"/>
        </w:rPr>
        <w:t xml:space="preserve">Algunas estructuras carecen de puntos homólogos o </w:t>
      </w:r>
      <w:r>
        <w:rPr>
          <w:rFonts w:ascii="Times New Roman" w:cs="Times New Roman" w:eastAsia="Times New Roman" w:hAnsi="Times New Roman"/>
          <w:sz w:val="21"/>
          <w:szCs w:val="21"/>
          <w:i w:val="1"/>
          <w:iCs w:val="1"/>
          <w:color w:val="auto"/>
        </w:rPr>
        <w:t>landmarks</w:t>
      </w:r>
      <w:r>
        <w:rPr>
          <w:rFonts w:ascii="Times New Roman" w:cs="Times New Roman" w:eastAsia="Times New Roman" w:hAnsi="Times New Roman"/>
          <w:sz w:val="21"/>
          <w:szCs w:val="21"/>
          <w:color w:val="auto"/>
        </w:rPr>
        <w:t xml:space="preserve"> verdaderos, como los contornos; en estos casos, la alternativa son los </w:t>
      </w:r>
      <w:r>
        <w:rPr>
          <w:rFonts w:ascii="Times New Roman" w:cs="Times New Roman" w:eastAsia="Times New Roman" w:hAnsi="Times New Roman"/>
          <w:sz w:val="21"/>
          <w:szCs w:val="21"/>
          <w:i w:val="1"/>
          <w:iCs w:val="1"/>
          <w:color w:val="auto"/>
        </w:rPr>
        <w:t>semilandmarks</w:t>
      </w:r>
      <w:r>
        <w:rPr>
          <w:rFonts w:ascii="Times New Roman" w:cs="Times New Roman" w:eastAsia="Times New Roman" w:hAnsi="Times New Roman"/>
          <w:sz w:val="21"/>
          <w:szCs w:val="21"/>
          <w:color w:val="auto"/>
        </w:rPr>
        <w:t xml:space="preserve">, serie de puntos localizados a lo largo de una curva en función de criterios del mismo tipo que los que caracterizan a los </w:t>
      </w:r>
      <w:r>
        <w:rPr>
          <w:rFonts w:ascii="Times New Roman" w:cs="Times New Roman" w:eastAsia="Times New Roman" w:hAnsi="Times New Roman"/>
          <w:sz w:val="21"/>
          <w:szCs w:val="21"/>
          <w:i w:val="1"/>
          <w:iCs w:val="1"/>
          <w:color w:val="auto"/>
        </w:rPr>
        <w:t>landmarks.</w:t>
      </w:r>
      <w:r>
        <w:rPr>
          <w:rFonts w:ascii="Times New Roman" w:cs="Times New Roman" w:eastAsia="Times New Roman" w:hAnsi="Times New Roman"/>
          <w:sz w:val="21"/>
          <w:szCs w:val="21"/>
          <w:color w:val="auto"/>
        </w:rPr>
        <w:t xml:space="preserve"> Los pasos a seguir para ubicar los </w:t>
      </w:r>
      <w:r>
        <w:rPr>
          <w:rFonts w:ascii="Times New Roman" w:cs="Times New Roman" w:eastAsia="Times New Roman" w:hAnsi="Times New Roman"/>
          <w:sz w:val="21"/>
          <w:szCs w:val="21"/>
          <w:i w:val="1"/>
          <w:iCs w:val="1"/>
          <w:color w:val="auto"/>
        </w:rPr>
        <w:t>semilandmarks</w:t>
      </w:r>
      <w:r>
        <w:rPr>
          <w:rFonts w:ascii="Times New Roman" w:cs="Times New Roman" w:eastAsia="Times New Roman" w:hAnsi="Times New Roman"/>
          <w:sz w:val="21"/>
          <w:szCs w:val="21"/>
          <w:color w:val="auto"/>
        </w:rPr>
        <w:t xml:space="preserve"> son:</w:t>
      </w:r>
    </w:p>
    <w:p>
      <w:pPr>
        <w:jc w:val="both"/>
        <w:ind w:left="240" w:hanging="240"/>
        <w:spacing w:after="0" w:line="346" w:lineRule="auto"/>
        <w:tabs>
          <w:tab w:leader="none" w:pos="240" w:val="left"/>
        </w:tabs>
        <w:numPr>
          <w:ilvl w:val="0"/>
          <w:numId w:val="23"/>
        </w:numPr>
        <w:rPr>
          <w:rFonts w:ascii="Times New Roman" w:cs="Times New Roman" w:eastAsia="Times New Roman" w:hAnsi="Times New Roman"/>
          <w:sz w:val="20"/>
          <w:szCs w:val="20"/>
          <w:color w:val="auto"/>
        </w:rPr>
      </w:pPr>
      <w:r>
        <w:rPr>
          <w:rFonts w:ascii="Times New Roman" w:cs="Times New Roman" w:eastAsia="Times New Roman" w:hAnsi="Times New Roman"/>
          <w:sz w:val="20"/>
          <w:szCs w:val="20"/>
          <w:color w:val="auto"/>
        </w:rPr>
        <w:t xml:space="preserve">MakeFan. Es un programa que permite colocar peines o abanicos para tener una referencia de los sitios donde se digitalizarán los </w:t>
      </w:r>
      <w:r>
        <w:rPr>
          <w:rFonts w:ascii="Times New Roman" w:cs="Times New Roman" w:eastAsia="Times New Roman" w:hAnsi="Times New Roman"/>
          <w:sz w:val="20"/>
          <w:szCs w:val="20"/>
          <w:i w:val="1"/>
          <w:iCs w:val="1"/>
          <w:color w:val="auto"/>
        </w:rPr>
        <w:t>semilandmarks.</w:t>
      </w:r>
      <w:r>
        <w:rPr>
          <w:rFonts w:ascii="Times New Roman" w:cs="Times New Roman" w:eastAsia="Times New Roman" w:hAnsi="Times New Roman"/>
          <w:sz w:val="20"/>
          <w:szCs w:val="20"/>
          <w:color w:val="auto"/>
        </w:rPr>
        <w:t xml:space="preserve"> Con las imágenes organizadas de la forma adecuada (ver inciso 2 de </w:t>
      </w:r>
      <w:r>
        <w:rPr>
          <w:rFonts w:ascii="Times New Roman" w:cs="Times New Roman" w:eastAsia="Times New Roman" w:hAnsi="Times New Roman"/>
          <w:sz w:val="20"/>
          <w:szCs w:val="20"/>
          <w:i w:val="1"/>
          <w:iCs w:val="1"/>
          <w:color w:val="auto"/>
        </w:rPr>
        <w:t>landmarks</w:t>
      </w:r>
      <w:r>
        <w:rPr>
          <w:rFonts w:ascii="Times New Roman" w:cs="Times New Roman" w:eastAsia="Times New Roman" w:hAnsi="Times New Roman"/>
          <w:sz w:val="20"/>
          <w:szCs w:val="20"/>
          <w:color w:val="auto"/>
        </w:rPr>
        <w:t>), se ponen los abanicos o peines de manera estratégica en función de la estructura a estudiar para cubrir la curva que se requiera. En la siguiente figura aparecen los pasos para colocar un abanico.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224790</wp:posOffset>
            </wp:positionV>
            <wp:extent cx="4568190" cy="2718435"/>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32">
                      <a:extLst>
                        <a:ext uri="{28A0092B-C50C-407E-A947-70E740481C1C}"/>
                      </a:extLst>
                    </a:blip>
                    <a:srcRect/>
                    <a:stretch>
                      <a:fillRect/>
                    </a:stretch>
                  </pic:blipFill>
                  <pic:spPr bwMode="auto">
                    <a:xfrm>
                      <a:off x="0" y="0"/>
                      <a:ext cx="4568190" cy="2718435"/>
                    </a:xfrm>
                    <a:prstGeom prst="rect">
                      <a:avLst/>
                    </a:prstGeom>
                    <a:noFill/>
                  </pic:spPr>
                </pic:pic>
              </a:graphicData>
            </a:graphic>
          </wp:anchor>
        </w:drawing>
      </w:r>
    </w:p>
    <w:p>
      <w:pPr>
        <w:spacing w:after="0" w:line="311" w:lineRule="exact"/>
        <w:rPr>
          <w:sz w:val="20"/>
          <w:szCs w:val="20"/>
          <w:color w:val="auto"/>
        </w:rPr>
      </w:pPr>
    </w:p>
    <w:p>
      <w:pPr>
        <w:ind w:left="1180"/>
        <w:spacing w:after="0"/>
        <w:rPr>
          <w:sz w:val="20"/>
          <w:szCs w:val="20"/>
          <w:color w:val="auto"/>
        </w:rPr>
      </w:pPr>
      <w:r>
        <w:rPr>
          <w:rFonts w:ascii="Times New Roman" w:cs="Times New Roman" w:eastAsia="Times New Roman" w:hAnsi="Times New Roman"/>
          <w:sz w:val="18"/>
          <w:szCs w:val="18"/>
          <w:color w:val="auto"/>
        </w:rPr>
        <w:t>a)</w:t>
      </w:r>
    </w:p>
    <w:p>
      <w:pPr>
        <w:spacing w:after="0" w:line="139" w:lineRule="exact"/>
        <w:rPr>
          <w:sz w:val="20"/>
          <w:szCs w:val="20"/>
          <w:color w:val="auto"/>
        </w:rPr>
      </w:pPr>
    </w:p>
    <w:p>
      <w:pPr>
        <w:ind w:left="940"/>
        <w:spacing w:after="0"/>
        <w:rPr>
          <w:sz w:val="20"/>
          <w:szCs w:val="20"/>
          <w:color w:val="auto"/>
        </w:rPr>
      </w:pPr>
      <w:r>
        <w:rPr>
          <w:rFonts w:ascii="Times New Roman" w:cs="Times New Roman" w:eastAsia="Times New Roman" w:hAnsi="Times New Roman"/>
          <w:sz w:val="18"/>
          <w:szCs w:val="18"/>
          <w:color w:val="auto"/>
        </w:rPr>
        <w:t>h)</w:t>
      </w:r>
    </w:p>
    <w:p>
      <w:pPr>
        <w:spacing w:after="0" w:line="200" w:lineRule="exact"/>
        <w:rPr>
          <w:sz w:val="20"/>
          <w:szCs w:val="20"/>
          <w:color w:val="auto"/>
        </w:rPr>
      </w:pPr>
    </w:p>
    <w:p>
      <w:pPr>
        <w:spacing w:after="0" w:line="222" w:lineRule="exact"/>
        <w:rPr>
          <w:sz w:val="20"/>
          <w:szCs w:val="20"/>
          <w:color w:val="auto"/>
        </w:rPr>
      </w:pPr>
    </w:p>
    <w:p>
      <w:pPr>
        <w:ind w:left="5720"/>
        <w:spacing w:after="0"/>
        <w:rPr>
          <w:sz w:val="20"/>
          <w:szCs w:val="20"/>
          <w:color w:val="auto"/>
        </w:rPr>
      </w:pPr>
      <w:r>
        <w:rPr>
          <w:rFonts w:ascii="Times New Roman" w:cs="Times New Roman" w:eastAsia="Times New Roman" w:hAnsi="Times New Roman"/>
          <w:sz w:val="18"/>
          <w:szCs w:val="18"/>
          <w:color w:val="auto"/>
        </w:rPr>
        <w:t>b)</w:t>
      </w:r>
    </w:p>
    <w:p>
      <w:pPr>
        <w:spacing w:after="0" w:line="200" w:lineRule="exact"/>
        <w:rPr>
          <w:sz w:val="20"/>
          <w:szCs w:val="20"/>
          <w:color w:val="auto"/>
        </w:rPr>
      </w:pPr>
    </w:p>
    <w:p>
      <w:pPr>
        <w:spacing w:after="0" w:line="239" w:lineRule="exact"/>
        <w:rPr>
          <w:sz w:val="20"/>
          <w:szCs w:val="20"/>
          <w:color w:val="auto"/>
        </w:rPr>
      </w:pPr>
    </w:p>
    <w:p>
      <w:pPr>
        <w:ind w:left="6980"/>
        <w:spacing w:after="0"/>
        <w:rPr>
          <w:sz w:val="20"/>
          <w:szCs w:val="20"/>
          <w:color w:val="auto"/>
        </w:rPr>
      </w:pPr>
      <w:r>
        <w:rPr>
          <w:rFonts w:ascii="Times New Roman" w:cs="Times New Roman" w:eastAsia="Times New Roman" w:hAnsi="Times New Roman"/>
          <w:sz w:val="18"/>
          <w:szCs w:val="18"/>
          <w:color w:val="auto"/>
        </w:rPr>
        <w:t>f )</w:t>
      </w:r>
    </w:p>
    <w:p>
      <w:pPr>
        <w:spacing w:after="0" w:line="6" w:lineRule="exact"/>
        <w:rPr>
          <w:sz w:val="20"/>
          <w:szCs w:val="20"/>
          <w:color w:val="auto"/>
        </w:rPr>
      </w:pPr>
    </w:p>
    <w:p>
      <w:pPr>
        <w:ind w:left="6000"/>
        <w:spacing w:after="0"/>
        <w:rPr>
          <w:sz w:val="20"/>
          <w:szCs w:val="20"/>
          <w:color w:val="auto"/>
        </w:rPr>
      </w:pPr>
      <w:r>
        <w:rPr>
          <w:rFonts w:ascii="Times New Roman" w:cs="Times New Roman" w:eastAsia="Times New Roman" w:hAnsi="Times New Roman"/>
          <w:sz w:val="18"/>
          <w:szCs w:val="18"/>
          <w:color w:val="auto"/>
        </w:rPr>
        <w:t>g)</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2" w:lineRule="exact"/>
        <w:rPr>
          <w:sz w:val="20"/>
          <w:szCs w:val="20"/>
          <w:color w:val="auto"/>
        </w:rPr>
      </w:pPr>
    </w:p>
    <w:p>
      <w:pPr>
        <w:ind w:left="6060"/>
        <w:spacing w:after="0"/>
        <w:rPr>
          <w:sz w:val="20"/>
          <w:szCs w:val="20"/>
          <w:color w:val="auto"/>
        </w:rPr>
      </w:pPr>
      <w:r>
        <w:rPr>
          <w:rFonts w:ascii="Times New Roman" w:cs="Times New Roman" w:eastAsia="Times New Roman" w:hAnsi="Times New Roman"/>
          <w:sz w:val="18"/>
          <w:szCs w:val="18"/>
          <w:color w:val="auto"/>
        </w:rPr>
        <w:t>c)</w:t>
      </w:r>
    </w:p>
    <w:p>
      <w:pPr>
        <w:spacing w:after="0" w:line="204" w:lineRule="exact"/>
        <w:rPr>
          <w:sz w:val="20"/>
          <w:szCs w:val="20"/>
          <w:color w:val="auto"/>
        </w:rPr>
      </w:pPr>
    </w:p>
    <w:p>
      <w:pPr>
        <w:ind w:left="6060"/>
        <w:spacing w:after="0"/>
        <w:rPr>
          <w:sz w:val="20"/>
          <w:szCs w:val="20"/>
          <w:color w:val="auto"/>
        </w:rPr>
      </w:pPr>
      <w:r>
        <w:rPr>
          <w:rFonts w:ascii="Times New Roman" w:cs="Times New Roman" w:eastAsia="Times New Roman" w:hAnsi="Times New Roman"/>
          <w:sz w:val="18"/>
          <w:szCs w:val="18"/>
          <w:color w:val="auto"/>
        </w:rPr>
        <w:t>d)</w:t>
      </w:r>
    </w:p>
    <w:p>
      <w:pPr>
        <w:spacing w:after="0" w:line="244" w:lineRule="exact"/>
        <w:rPr>
          <w:sz w:val="20"/>
          <w:szCs w:val="20"/>
          <w:color w:val="auto"/>
        </w:rPr>
      </w:pPr>
    </w:p>
    <w:p>
      <w:pPr>
        <w:ind w:left="6800"/>
        <w:spacing w:after="0"/>
        <w:rPr>
          <w:sz w:val="20"/>
          <w:szCs w:val="20"/>
          <w:color w:val="auto"/>
        </w:rPr>
      </w:pPr>
      <w:r>
        <w:rPr>
          <w:rFonts w:ascii="Times New Roman" w:cs="Times New Roman" w:eastAsia="Times New Roman" w:hAnsi="Times New Roman"/>
          <w:sz w:val="18"/>
          <w:szCs w:val="18"/>
          <w:color w:val="auto"/>
        </w:rPr>
        <w:t>e)</w:t>
      </w:r>
    </w:p>
    <w:p>
      <w:pPr>
        <w:spacing w:after="0" w:line="200" w:lineRule="exact"/>
        <w:rPr>
          <w:sz w:val="20"/>
          <w:szCs w:val="20"/>
          <w:color w:val="auto"/>
        </w:rPr>
      </w:pPr>
    </w:p>
    <w:p>
      <w:pPr>
        <w:spacing w:after="0" w:line="306" w:lineRule="exact"/>
        <w:rPr>
          <w:sz w:val="20"/>
          <w:szCs w:val="20"/>
          <w:color w:val="auto"/>
        </w:rPr>
      </w:pPr>
    </w:p>
    <w:p>
      <w:pPr>
        <w:jc w:val="both"/>
        <w:ind w:left="540" w:hanging="300"/>
        <w:spacing w:after="0"/>
        <w:tabs>
          <w:tab w:leader="none" w:pos="540" w:val="left"/>
        </w:tabs>
        <w:numPr>
          <w:ilvl w:val="0"/>
          <w:numId w:val="24"/>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Cargar la imagen.</w:t>
      </w:r>
    </w:p>
    <w:p>
      <w:pPr>
        <w:spacing w:after="0" w:line="67" w:lineRule="exact"/>
        <w:rPr>
          <w:rFonts w:ascii="Times New Roman" w:cs="Times New Roman" w:eastAsia="Times New Roman" w:hAnsi="Times New Roman"/>
          <w:sz w:val="22"/>
          <w:szCs w:val="22"/>
          <w:color w:val="auto"/>
        </w:rPr>
      </w:pPr>
    </w:p>
    <w:p>
      <w:pPr>
        <w:jc w:val="both"/>
        <w:ind w:left="540" w:hanging="300"/>
        <w:spacing w:after="0" w:line="315" w:lineRule="auto"/>
        <w:tabs>
          <w:tab w:leader="none" w:pos="540" w:val="left"/>
        </w:tabs>
        <w:numPr>
          <w:ilvl w:val="0"/>
          <w:numId w:val="24"/>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Colocar tres marcas homólogas (dos distales y una central) en puntos estratégicos de tal forma que cubran por completo la curva que se requiere, ya que a partir de éstos se traza el abanico.</w:t>
      </w:r>
    </w:p>
    <w:p>
      <w:pPr>
        <w:sectPr>
          <w:pgSz w:w="9360" w:h="13039" w:orient="portrait"/>
          <w:cols w:equalWidth="0" w:num="1">
            <w:col w:w="7200"/>
          </w:cols>
          <w:pgMar w:left="1080" w:top="878" w:right="1080" w:bottom="437" w:gutter="0" w:footer="0" w:header="0"/>
        </w:sectPr>
      </w:pPr>
    </w:p>
    <w:p>
      <w:pPr>
        <w:spacing w:after="0" w:line="200" w:lineRule="exact"/>
        <w:rPr>
          <w:sz w:val="20"/>
          <w:szCs w:val="20"/>
          <w:color w:val="auto"/>
        </w:rPr>
      </w:pPr>
    </w:p>
    <w:p>
      <w:pPr>
        <w:spacing w:after="0" w:line="331"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78" name="Shape 7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78" o:spid="_x0000_s110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79" name="Shape 7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79" o:spid="_x0000_s110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80" name="Shape 8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80" o:spid="_x0000_s110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39" w:name="page40"/>
    <w:bookmarkEnd w:id="39"/>
    <w:tbl>
      <w:tblPr>
        <w:tblLayout w:type="fixed"/>
        <w:tblInd w:w="2160" w:type="dxa"/>
        <w:tblCellMar>
          <w:top w:w="0" w:type="dxa"/>
          <w:left w:w="0" w:type="dxa"/>
          <w:bottom w:w="0" w:type="dxa"/>
          <w:right w:w="0" w:type="dxa"/>
        </w:tblCellMar>
      </w:tblPr>
      <w:tr>
        <w:trPr>
          <w:trHeight w:val="222"/>
        </w:trPr>
        <w:tc>
          <w:tcPr>
            <w:tcW w:w="3880" w:type="dxa"/>
            <w:vAlign w:val="bottom"/>
          </w:tcPr>
          <w:p>
            <w:pPr>
              <w:spacing w:after="0"/>
              <w:rPr>
                <w:sz w:val="20"/>
                <w:szCs w:val="20"/>
                <w:color w:val="auto"/>
              </w:rPr>
            </w:pPr>
            <w:r>
              <w:rPr>
                <w:rFonts w:ascii="Arial Narrow" w:cs="Arial Narrow" w:eastAsia="Arial Narrow" w:hAnsi="Arial Narrow"/>
                <w:sz w:val="11"/>
                <w:szCs w:val="11"/>
                <w:color w:val="auto"/>
              </w:rPr>
              <w:t>manual de morfometría tradicional y geométrica</w:t>
            </w:r>
          </w:p>
        </w:tc>
        <w:tc>
          <w:tcPr>
            <w:tcW w:w="1160" w:type="dxa"/>
            <w:vAlign w:val="bottom"/>
          </w:tcPr>
          <w:p>
            <w:pPr>
              <w:jc w:val="right"/>
              <w:spacing w:after="0"/>
              <w:rPr>
                <w:sz w:val="20"/>
                <w:szCs w:val="20"/>
                <w:color w:val="auto"/>
              </w:rPr>
            </w:pPr>
            <w:r>
              <w:rPr>
                <w:rFonts w:ascii="Arial Narrow" w:cs="Arial Narrow" w:eastAsia="Arial Narrow" w:hAnsi="Arial Narrow"/>
                <w:sz w:val="16"/>
                <w:szCs w:val="16"/>
                <w:color w:val="auto"/>
              </w:rPr>
              <w:t>39</w:t>
            </w:r>
          </w:p>
        </w:tc>
      </w:tr>
    </w:tbl>
    <w:p>
      <w:pPr>
        <w:spacing w:after="0" w:line="200" w:lineRule="exact"/>
        <w:rPr>
          <w:sz w:val="20"/>
          <w:szCs w:val="20"/>
          <w:color w:val="auto"/>
        </w:rPr>
      </w:pPr>
    </w:p>
    <w:p>
      <w:pPr>
        <w:spacing w:after="0" w:line="309" w:lineRule="exact"/>
        <w:rPr>
          <w:sz w:val="20"/>
          <w:szCs w:val="20"/>
          <w:color w:val="auto"/>
        </w:rPr>
      </w:pPr>
    </w:p>
    <w:p>
      <w:pPr>
        <w:jc w:val="both"/>
        <w:ind w:left="540" w:hanging="301"/>
        <w:spacing w:after="0" w:line="308" w:lineRule="auto"/>
        <w:tabs>
          <w:tab w:leader="none" w:pos="540" w:val="left"/>
        </w:tabs>
        <w:numPr>
          <w:ilvl w:val="0"/>
          <w:numId w:val="25"/>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 xml:space="preserve">Número de líneas que componen el abanico: estas líneas definen de igual forma el número de </w:t>
      </w:r>
      <w:r>
        <w:rPr>
          <w:rFonts w:ascii="Times New Roman" w:cs="Times New Roman" w:eastAsia="Times New Roman" w:hAnsi="Times New Roman"/>
          <w:sz w:val="21"/>
          <w:szCs w:val="21"/>
          <w:i w:val="1"/>
          <w:iCs w:val="1"/>
          <w:color w:val="auto"/>
        </w:rPr>
        <w:t>semilandmarks</w:t>
      </w:r>
      <w:r>
        <w:rPr>
          <w:rFonts w:ascii="Times New Roman" w:cs="Times New Roman" w:eastAsia="Times New Roman" w:hAnsi="Times New Roman"/>
          <w:sz w:val="21"/>
          <w:szCs w:val="21"/>
          <w:color w:val="auto"/>
        </w:rPr>
        <w:t xml:space="preserve"> que se digitalizarán, pues en las intersecciones de cada línea del abanico se deberán colocar los </w:t>
      </w:r>
      <w:r>
        <w:rPr>
          <w:rFonts w:ascii="Times New Roman" w:cs="Times New Roman" w:eastAsia="Times New Roman" w:hAnsi="Times New Roman"/>
          <w:sz w:val="21"/>
          <w:szCs w:val="21"/>
          <w:i w:val="1"/>
          <w:iCs w:val="1"/>
          <w:color w:val="auto"/>
        </w:rPr>
        <w:t>semilandmarks</w:t>
      </w:r>
      <w:r>
        <w:rPr>
          <w:rFonts w:ascii="Times New Roman" w:cs="Times New Roman" w:eastAsia="Times New Roman" w:hAnsi="Times New Roman"/>
          <w:sz w:val="21"/>
          <w:szCs w:val="21"/>
          <w:color w:val="auto"/>
        </w:rPr>
        <w:t>.</w:t>
      </w:r>
    </w:p>
    <w:p>
      <w:pPr>
        <w:jc w:val="both"/>
        <w:ind w:left="540" w:hanging="301"/>
        <w:spacing w:after="0" w:line="294" w:lineRule="auto"/>
        <w:tabs>
          <w:tab w:leader="none" w:pos="540" w:val="left"/>
        </w:tabs>
        <w:numPr>
          <w:ilvl w:val="0"/>
          <w:numId w:val="25"/>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Aumentar o disminuir la longitud del trazo de las líneas que componen el abanico con el fin de cubrir la curva que se requiera.</w:t>
      </w:r>
    </w:p>
    <w:p>
      <w:pPr>
        <w:jc w:val="both"/>
        <w:ind w:left="540" w:hanging="301"/>
        <w:spacing w:after="0" w:line="294" w:lineRule="auto"/>
        <w:tabs>
          <w:tab w:leader="none" w:pos="540" w:val="left"/>
        </w:tabs>
        <w:numPr>
          <w:ilvl w:val="0"/>
          <w:numId w:val="25"/>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 xml:space="preserve">Modificar el color del abanico (hay casos en los que el abanico se pierde en la imagen y dificulta la digitalización de los </w:t>
      </w:r>
      <w:r>
        <w:rPr>
          <w:rFonts w:ascii="Times New Roman" w:cs="Times New Roman" w:eastAsia="Times New Roman" w:hAnsi="Times New Roman"/>
          <w:sz w:val="22"/>
          <w:szCs w:val="22"/>
          <w:i w:val="1"/>
          <w:iCs w:val="1"/>
          <w:color w:val="auto"/>
        </w:rPr>
        <w:t>semilandmarks</w:t>
      </w:r>
      <w:r>
        <w:rPr>
          <w:rFonts w:ascii="Times New Roman" w:cs="Times New Roman" w:eastAsia="Times New Roman" w:hAnsi="Times New Roman"/>
          <w:sz w:val="22"/>
          <w:szCs w:val="22"/>
          <w:color w:val="auto"/>
        </w:rPr>
        <w:t>).</w:t>
      </w:r>
    </w:p>
    <w:p>
      <w:pPr>
        <w:jc w:val="both"/>
        <w:ind w:left="540" w:hanging="301"/>
        <w:spacing w:after="0"/>
        <w:tabs>
          <w:tab w:leader="none" w:pos="540" w:val="left"/>
        </w:tabs>
        <w:numPr>
          <w:ilvl w:val="0"/>
          <w:numId w:val="25"/>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Trazar el abanico hacia la parte superior/izquierda.</w:t>
      </w:r>
    </w:p>
    <w:p>
      <w:pPr>
        <w:spacing w:after="0" w:line="57" w:lineRule="exact"/>
        <w:rPr>
          <w:rFonts w:ascii="Times New Roman" w:cs="Times New Roman" w:eastAsia="Times New Roman" w:hAnsi="Times New Roman"/>
          <w:sz w:val="22"/>
          <w:szCs w:val="22"/>
          <w:color w:val="auto"/>
        </w:rPr>
      </w:pPr>
    </w:p>
    <w:p>
      <w:pPr>
        <w:jc w:val="both"/>
        <w:ind w:left="540" w:hanging="301"/>
        <w:spacing w:after="0"/>
        <w:tabs>
          <w:tab w:leader="none" w:pos="540" w:val="left"/>
        </w:tabs>
        <w:numPr>
          <w:ilvl w:val="0"/>
          <w:numId w:val="25"/>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Trazar el abanico hacia la parte inferior/derecha.</w:t>
      </w:r>
    </w:p>
    <w:p>
      <w:pPr>
        <w:spacing w:after="0" w:line="57" w:lineRule="exact"/>
        <w:rPr>
          <w:rFonts w:ascii="Times New Roman" w:cs="Times New Roman" w:eastAsia="Times New Roman" w:hAnsi="Times New Roman"/>
          <w:sz w:val="22"/>
          <w:szCs w:val="22"/>
          <w:color w:val="auto"/>
        </w:rPr>
      </w:pPr>
    </w:p>
    <w:p>
      <w:pPr>
        <w:jc w:val="both"/>
        <w:ind w:left="540" w:hanging="301"/>
        <w:spacing w:after="0"/>
        <w:tabs>
          <w:tab w:leader="none" w:pos="540" w:val="left"/>
        </w:tabs>
        <w:numPr>
          <w:ilvl w:val="0"/>
          <w:numId w:val="25"/>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Guardar la imagen en formato jpg una vez que se ha colocado el abanico.</w:t>
      </w:r>
    </w:p>
    <w:p>
      <w:pPr>
        <w:spacing w:after="0" w:line="367" w:lineRule="exact"/>
        <w:rPr>
          <w:sz w:val="20"/>
          <w:szCs w:val="20"/>
          <w:color w:val="auto"/>
        </w:rPr>
      </w:pPr>
    </w:p>
    <w:p>
      <w:pPr>
        <w:spacing w:after="0" w:line="313" w:lineRule="auto"/>
        <w:rPr>
          <w:sz w:val="20"/>
          <w:szCs w:val="20"/>
          <w:color w:val="auto"/>
        </w:rPr>
      </w:pPr>
      <w:r>
        <w:rPr>
          <w:rFonts w:ascii="Times New Roman" w:cs="Times New Roman" w:eastAsia="Times New Roman" w:hAnsi="Times New Roman"/>
          <w:sz w:val="21"/>
          <w:szCs w:val="21"/>
          <w:color w:val="auto"/>
        </w:rPr>
        <w:t xml:space="preserve">Es importante remarcar que los puntos de referencia de los abanicos se deben digitalizar como </w:t>
      </w:r>
      <w:r>
        <w:rPr>
          <w:rFonts w:ascii="Times New Roman" w:cs="Times New Roman" w:eastAsia="Times New Roman" w:hAnsi="Times New Roman"/>
          <w:sz w:val="21"/>
          <w:szCs w:val="21"/>
          <w:i w:val="1"/>
          <w:iCs w:val="1"/>
          <w:color w:val="auto"/>
        </w:rPr>
        <w:t>landmarks</w:t>
      </w:r>
      <w:r>
        <w:rPr>
          <w:rFonts w:ascii="Times New Roman" w:cs="Times New Roman" w:eastAsia="Times New Roman" w:hAnsi="Times New Roman"/>
          <w:sz w:val="21"/>
          <w:szCs w:val="21"/>
          <w:color w:val="auto"/>
        </w:rPr>
        <w:t>, puesto que son los puntos homólogos de la estructura.</w:t>
      </w:r>
    </w:p>
    <w:p>
      <w:pPr>
        <w:ind w:left="360"/>
        <w:spacing w:after="0"/>
        <w:rPr>
          <w:sz w:val="20"/>
          <w:szCs w:val="20"/>
          <w:color w:val="auto"/>
        </w:rPr>
      </w:pPr>
      <w:r>
        <w:rPr>
          <w:rFonts w:ascii="Times New Roman" w:cs="Times New Roman" w:eastAsia="Times New Roman" w:hAnsi="Times New Roman"/>
          <w:sz w:val="22"/>
          <w:szCs w:val="22"/>
          <w:color w:val="auto"/>
        </w:rPr>
        <w:t>En la siguiente imagen se muestran los pasos a seguir para colocar un peine.</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198120</wp:posOffset>
            </wp:positionH>
            <wp:positionV relativeFrom="paragraph">
              <wp:posOffset>293370</wp:posOffset>
            </wp:positionV>
            <wp:extent cx="4171950" cy="3230245"/>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3">
                      <a:extLst>
                        <a:ext uri="{28A0092B-C50C-407E-A947-70E740481C1C}"/>
                      </a:extLst>
                    </a:blip>
                    <a:srcRect/>
                    <a:stretch>
                      <a:fillRect/>
                    </a:stretch>
                  </pic:blipFill>
                  <pic:spPr bwMode="auto">
                    <a:xfrm>
                      <a:off x="0" y="0"/>
                      <a:ext cx="4171950" cy="323024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56" w:lineRule="exact"/>
        <w:rPr>
          <w:sz w:val="20"/>
          <w:szCs w:val="20"/>
          <w:color w:val="auto"/>
        </w:rPr>
      </w:pPr>
    </w:p>
    <w:p>
      <w:pPr>
        <w:ind w:left="1320"/>
        <w:spacing w:after="0"/>
        <w:rPr>
          <w:sz w:val="20"/>
          <w:szCs w:val="20"/>
          <w:color w:val="auto"/>
        </w:rPr>
      </w:pPr>
      <w:r>
        <w:rPr>
          <w:rFonts w:ascii="Times New Roman" w:cs="Times New Roman" w:eastAsia="Times New Roman" w:hAnsi="Times New Roman"/>
          <w:sz w:val="15"/>
          <w:szCs w:val="15"/>
          <w:color w:val="auto"/>
        </w:rPr>
        <w:t>a)</w:t>
      </w:r>
    </w:p>
    <w:p>
      <w:pPr>
        <w:spacing w:after="0" w:line="370" w:lineRule="exact"/>
        <w:rPr>
          <w:sz w:val="20"/>
          <w:szCs w:val="20"/>
          <w:color w:val="auto"/>
        </w:rPr>
      </w:pPr>
    </w:p>
    <w:p>
      <w:pPr>
        <w:ind w:left="1520"/>
        <w:spacing w:after="0"/>
        <w:rPr>
          <w:sz w:val="20"/>
          <w:szCs w:val="20"/>
          <w:color w:val="auto"/>
        </w:rPr>
      </w:pPr>
      <w:r>
        <w:rPr>
          <w:rFonts w:ascii="Times New Roman" w:cs="Times New Roman" w:eastAsia="Times New Roman" w:hAnsi="Times New Roman"/>
          <w:sz w:val="15"/>
          <w:szCs w:val="15"/>
          <w:color w:val="auto"/>
        </w:rPr>
        <w:t>g)</w:t>
      </w:r>
    </w:p>
    <w:p>
      <w:pPr>
        <w:spacing w:after="0" w:line="285" w:lineRule="exact"/>
        <w:rPr>
          <w:sz w:val="20"/>
          <w:szCs w:val="20"/>
          <w:color w:val="auto"/>
        </w:rPr>
      </w:pPr>
    </w:p>
    <w:p>
      <w:pPr>
        <w:ind w:left="5880"/>
        <w:spacing w:after="0"/>
        <w:rPr>
          <w:sz w:val="20"/>
          <w:szCs w:val="20"/>
          <w:color w:val="auto"/>
        </w:rPr>
      </w:pPr>
      <w:r>
        <w:rPr>
          <w:rFonts w:ascii="Times New Roman" w:cs="Times New Roman" w:eastAsia="Times New Roman" w:hAnsi="Times New Roman"/>
          <w:sz w:val="15"/>
          <w:szCs w:val="15"/>
          <w:color w:val="auto"/>
        </w:rPr>
        <w:t>b)</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4" w:lineRule="exact"/>
        <w:rPr>
          <w:sz w:val="20"/>
          <w:szCs w:val="20"/>
          <w:color w:val="auto"/>
        </w:rPr>
      </w:pPr>
    </w:p>
    <w:p>
      <w:pPr>
        <w:ind w:left="6620"/>
        <w:spacing w:after="0"/>
        <w:rPr>
          <w:sz w:val="20"/>
          <w:szCs w:val="20"/>
          <w:color w:val="auto"/>
        </w:rPr>
      </w:pPr>
      <w:r>
        <w:rPr>
          <w:rFonts w:ascii="Times New Roman" w:cs="Times New Roman" w:eastAsia="Times New Roman" w:hAnsi="Times New Roman"/>
          <w:sz w:val="15"/>
          <w:szCs w:val="15"/>
          <w:color w:val="auto"/>
        </w:rPr>
        <w:t>f )</w:t>
      </w:r>
    </w:p>
    <w:p>
      <w:pPr>
        <w:spacing w:after="0" w:line="293" w:lineRule="exact"/>
        <w:rPr>
          <w:sz w:val="20"/>
          <w:szCs w:val="20"/>
          <w:color w:val="auto"/>
        </w:rPr>
      </w:pPr>
    </w:p>
    <w:p>
      <w:pPr>
        <w:ind w:left="6620"/>
        <w:spacing w:after="0"/>
        <w:rPr>
          <w:sz w:val="20"/>
          <w:szCs w:val="20"/>
          <w:color w:val="auto"/>
        </w:rPr>
      </w:pPr>
      <w:r>
        <w:rPr>
          <w:rFonts w:ascii="Times New Roman" w:cs="Times New Roman" w:eastAsia="Times New Roman" w:hAnsi="Times New Roman"/>
          <w:sz w:val="15"/>
          <w:szCs w:val="15"/>
          <w:color w:val="auto"/>
        </w:rPr>
        <w:t>c)</w:t>
      </w:r>
    </w:p>
    <w:p>
      <w:pPr>
        <w:spacing w:after="0" w:line="236" w:lineRule="exact"/>
        <w:rPr>
          <w:sz w:val="20"/>
          <w:szCs w:val="20"/>
          <w:color w:val="auto"/>
        </w:rPr>
      </w:pPr>
    </w:p>
    <w:p>
      <w:pPr>
        <w:ind w:left="6660"/>
        <w:spacing w:after="0"/>
        <w:rPr>
          <w:sz w:val="20"/>
          <w:szCs w:val="20"/>
          <w:color w:val="auto"/>
        </w:rPr>
      </w:pPr>
      <w:r>
        <w:rPr>
          <w:rFonts w:ascii="Times New Roman" w:cs="Times New Roman" w:eastAsia="Times New Roman" w:hAnsi="Times New Roman"/>
          <w:sz w:val="15"/>
          <w:szCs w:val="15"/>
          <w:color w:val="auto"/>
        </w:rPr>
        <w:t>d)</w:t>
      </w:r>
    </w:p>
    <w:p>
      <w:pPr>
        <w:spacing w:after="0" w:line="236" w:lineRule="exact"/>
        <w:rPr>
          <w:sz w:val="20"/>
          <w:szCs w:val="20"/>
          <w:color w:val="auto"/>
        </w:rPr>
      </w:pPr>
    </w:p>
    <w:p>
      <w:pPr>
        <w:ind w:left="6660"/>
        <w:spacing w:after="0"/>
        <w:rPr>
          <w:sz w:val="20"/>
          <w:szCs w:val="20"/>
          <w:color w:val="auto"/>
        </w:rPr>
      </w:pPr>
      <w:r>
        <w:rPr>
          <w:rFonts w:ascii="Times New Roman" w:cs="Times New Roman" w:eastAsia="Times New Roman" w:hAnsi="Times New Roman"/>
          <w:sz w:val="15"/>
          <w:szCs w:val="15"/>
          <w:color w:val="auto"/>
        </w:rPr>
        <w:t>e)</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5"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40" w:name="page41"/>
    <w:bookmarkEnd w:id="40"/>
    <w:p>
      <w:pPr>
        <w:spacing w:after="0" w:line="239" w:lineRule="auto"/>
        <w:tabs>
          <w:tab w:leader="none" w:pos="1940" w:val="left"/>
        </w:tabs>
        <w:rPr>
          <w:sz w:val="20"/>
          <w:szCs w:val="20"/>
          <w:color w:val="auto"/>
        </w:rPr>
      </w:pPr>
      <w:r>
        <w:rPr>
          <w:rFonts w:ascii="Arial Narrow" w:cs="Arial Narrow" w:eastAsia="Arial Narrow" w:hAnsi="Arial Narrow"/>
          <w:sz w:val="16"/>
          <w:szCs w:val="16"/>
          <w:color w:val="auto"/>
        </w:rPr>
        <w:t>40</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p>
    <w:p>
      <w:pPr>
        <w:spacing w:after="0" w:line="376" w:lineRule="exact"/>
        <w:rPr>
          <w:sz w:val="20"/>
          <w:szCs w:val="20"/>
          <w:color w:val="auto"/>
        </w:rPr>
      </w:pPr>
    </w:p>
    <w:p>
      <w:pPr>
        <w:jc w:val="both"/>
        <w:ind w:left="240" w:hanging="240"/>
        <w:spacing w:after="0"/>
        <w:tabs>
          <w:tab w:leader="none" w:pos="240" w:val="left"/>
        </w:tabs>
        <w:numPr>
          <w:ilvl w:val="0"/>
          <w:numId w:val="26"/>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Cargar la imagen.</w:t>
      </w:r>
    </w:p>
    <w:p>
      <w:pPr>
        <w:spacing w:after="0" w:line="67" w:lineRule="exact"/>
        <w:rPr>
          <w:rFonts w:ascii="Times New Roman" w:cs="Times New Roman" w:eastAsia="Times New Roman" w:hAnsi="Times New Roman"/>
          <w:sz w:val="22"/>
          <w:szCs w:val="22"/>
          <w:color w:val="auto"/>
        </w:rPr>
      </w:pPr>
    </w:p>
    <w:p>
      <w:pPr>
        <w:jc w:val="both"/>
        <w:ind w:left="240" w:hanging="240"/>
        <w:spacing w:after="0" w:line="303" w:lineRule="auto"/>
        <w:tabs>
          <w:tab w:leader="none" w:pos="240" w:val="left"/>
        </w:tabs>
        <w:numPr>
          <w:ilvl w:val="0"/>
          <w:numId w:val="26"/>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Colocar dos puntos homólogos estratégicos en los extremos de la estructura (largo o ancho).</w:t>
      </w:r>
    </w:p>
    <w:p>
      <w:pPr>
        <w:spacing w:after="0" w:line="1" w:lineRule="exact"/>
        <w:rPr>
          <w:rFonts w:ascii="Times New Roman" w:cs="Times New Roman" w:eastAsia="Times New Roman" w:hAnsi="Times New Roman"/>
          <w:sz w:val="22"/>
          <w:szCs w:val="22"/>
          <w:color w:val="auto"/>
        </w:rPr>
      </w:pPr>
    </w:p>
    <w:p>
      <w:pPr>
        <w:jc w:val="both"/>
        <w:ind w:left="240" w:hanging="240"/>
        <w:spacing w:after="0" w:line="303" w:lineRule="auto"/>
        <w:tabs>
          <w:tab w:leader="none" w:pos="240" w:val="left"/>
        </w:tabs>
        <w:numPr>
          <w:ilvl w:val="0"/>
          <w:numId w:val="26"/>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 xml:space="preserve">Número de líneas que componen el peine (estas líneas definen de igual forma el número de </w:t>
      </w:r>
      <w:r>
        <w:rPr>
          <w:rFonts w:ascii="Times New Roman" w:cs="Times New Roman" w:eastAsia="Times New Roman" w:hAnsi="Times New Roman"/>
          <w:sz w:val="22"/>
          <w:szCs w:val="22"/>
          <w:i w:val="1"/>
          <w:iCs w:val="1"/>
          <w:color w:val="auto"/>
        </w:rPr>
        <w:t>semilandmarks</w:t>
      </w:r>
      <w:r>
        <w:rPr>
          <w:rFonts w:ascii="Times New Roman" w:cs="Times New Roman" w:eastAsia="Times New Roman" w:hAnsi="Times New Roman"/>
          <w:sz w:val="22"/>
          <w:szCs w:val="22"/>
          <w:color w:val="auto"/>
        </w:rPr>
        <w:t xml:space="preserve"> que se digitalizarán, pues en las intersecciones de cada línea del peine se deberán colocar las semimarcas).</w:t>
      </w:r>
    </w:p>
    <w:p>
      <w:pPr>
        <w:spacing w:after="0" w:line="1" w:lineRule="exact"/>
        <w:rPr>
          <w:rFonts w:ascii="Times New Roman" w:cs="Times New Roman" w:eastAsia="Times New Roman" w:hAnsi="Times New Roman"/>
          <w:sz w:val="22"/>
          <w:szCs w:val="22"/>
          <w:color w:val="auto"/>
        </w:rPr>
      </w:pPr>
    </w:p>
    <w:p>
      <w:pPr>
        <w:jc w:val="both"/>
        <w:ind w:left="240" w:hanging="240"/>
        <w:spacing w:after="0" w:line="303" w:lineRule="auto"/>
        <w:tabs>
          <w:tab w:leader="none" w:pos="240" w:val="left"/>
        </w:tabs>
        <w:numPr>
          <w:ilvl w:val="0"/>
          <w:numId w:val="26"/>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Aumentar o disminuir la longitud de trazo de las líneas que componen el peine con el fin de cubrir la curva que se requiera.</w:t>
      </w:r>
    </w:p>
    <w:p>
      <w:pPr>
        <w:spacing w:after="0" w:line="1" w:lineRule="exact"/>
        <w:rPr>
          <w:rFonts w:ascii="Times New Roman" w:cs="Times New Roman" w:eastAsia="Times New Roman" w:hAnsi="Times New Roman"/>
          <w:sz w:val="22"/>
          <w:szCs w:val="22"/>
          <w:color w:val="auto"/>
        </w:rPr>
      </w:pPr>
    </w:p>
    <w:p>
      <w:pPr>
        <w:jc w:val="both"/>
        <w:ind w:left="240" w:hanging="240"/>
        <w:spacing w:after="0" w:line="303" w:lineRule="auto"/>
        <w:tabs>
          <w:tab w:leader="none" w:pos="240" w:val="left"/>
        </w:tabs>
        <w:numPr>
          <w:ilvl w:val="0"/>
          <w:numId w:val="26"/>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 xml:space="preserve">Modificar el color del peine (hay casos en los que el peine se pierde en la imagen y dificulta la digitalización de los </w:t>
      </w:r>
      <w:r>
        <w:rPr>
          <w:rFonts w:ascii="Times New Roman" w:cs="Times New Roman" w:eastAsia="Times New Roman" w:hAnsi="Times New Roman"/>
          <w:sz w:val="22"/>
          <w:szCs w:val="22"/>
          <w:i w:val="1"/>
          <w:iCs w:val="1"/>
          <w:color w:val="auto"/>
        </w:rPr>
        <w:t>semilandmarks</w:t>
      </w:r>
      <w:r>
        <w:rPr>
          <w:rFonts w:ascii="Times New Roman" w:cs="Times New Roman" w:eastAsia="Times New Roman" w:hAnsi="Times New Roman"/>
          <w:sz w:val="22"/>
          <w:szCs w:val="22"/>
          <w:color w:val="auto"/>
        </w:rPr>
        <w:t>).</w:t>
      </w:r>
    </w:p>
    <w:p>
      <w:pPr>
        <w:spacing w:after="0" w:line="1" w:lineRule="exact"/>
        <w:rPr>
          <w:rFonts w:ascii="Times New Roman" w:cs="Times New Roman" w:eastAsia="Times New Roman" w:hAnsi="Times New Roman"/>
          <w:sz w:val="22"/>
          <w:szCs w:val="22"/>
          <w:color w:val="auto"/>
        </w:rPr>
      </w:pPr>
    </w:p>
    <w:p>
      <w:pPr>
        <w:jc w:val="both"/>
        <w:ind w:left="240" w:hanging="240"/>
        <w:spacing w:after="0"/>
        <w:tabs>
          <w:tab w:leader="none" w:pos="240" w:val="left"/>
        </w:tabs>
        <w:numPr>
          <w:ilvl w:val="0"/>
          <w:numId w:val="26"/>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Trazar el peine.</w:t>
      </w:r>
    </w:p>
    <w:p>
      <w:pPr>
        <w:spacing w:after="0" w:line="67" w:lineRule="exact"/>
        <w:rPr>
          <w:rFonts w:ascii="Times New Roman" w:cs="Times New Roman" w:eastAsia="Times New Roman" w:hAnsi="Times New Roman"/>
          <w:sz w:val="22"/>
          <w:szCs w:val="22"/>
          <w:color w:val="auto"/>
        </w:rPr>
      </w:pPr>
    </w:p>
    <w:p>
      <w:pPr>
        <w:jc w:val="both"/>
        <w:ind w:left="240" w:hanging="240"/>
        <w:spacing w:after="0"/>
        <w:tabs>
          <w:tab w:leader="none" w:pos="240" w:val="left"/>
        </w:tabs>
        <w:numPr>
          <w:ilvl w:val="0"/>
          <w:numId w:val="26"/>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Guardar la imagen con formato jpg.</w:t>
      </w:r>
    </w:p>
    <w:p>
      <w:pPr>
        <w:spacing w:after="0" w:line="387" w:lineRule="exact"/>
        <w:rPr>
          <w:sz w:val="20"/>
          <w:szCs w:val="20"/>
          <w:color w:val="auto"/>
        </w:rPr>
      </w:pPr>
    </w:p>
    <w:p>
      <w:pPr>
        <w:jc w:val="both"/>
        <w:spacing w:after="0" w:line="315" w:lineRule="auto"/>
        <w:rPr>
          <w:sz w:val="20"/>
          <w:szCs w:val="20"/>
          <w:color w:val="auto"/>
        </w:rPr>
      </w:pPr>
      <w:r>
        <w:rPr>
          <w:rFonts w:ascii="Times New Roman" w:cs="Times New Roman" w:eastAsia="Times New Roman" w:hAnsi="Times New Roman"/>
          <w:sz w:val="22"/>
          <w:szCs w:val="22"/>
          <w:color w:val="auto"/>
        </w:rPr>
        <w:t xml:space="preserve">Nota: el trazo del peine se debe realizar en cada fotografía y guardar uno a uno. Una vez que se han colocado los peines que se requieren, se procede a seguir los pasos 2, 3 y 4 de la sección de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xml:space="preserve"> antes descritos.</w:t>
      </w:r>
    </w:p>
    <w:p>
      <w:pPr>
        <w:spacing w:after="0" w:line="284" w:lineRule="exact"/>
        <w:rPr>
          <w:sz w:val="20"/>
          <w:szCs w:val="20"/>
          <w:color w:val="auto"/>
        </w:rPr>
      </w:pPr>
    </w:p>
    <w:p>
      <w:pPr>
        <w:jc w:val="both"/>
        <w:ind w:left="240" w:hanging="239"/>
        <w:spacing w:after="0" w:line="303" w:lineRule="auto"/>
        <w:rPr>
          <w:sz w:val="20"/>
          <w:szCs w:val="20"/>
          <w:color w:val="auto"/>
        </w:rPr>
      </w:pPr>
      <w:r>
        <w:rPr>
          <w:rFonts w:ascii="Times New Roman" w:cs="Times New Roman" w:eastAsia="Times New Roman" w:hAnsi="Times New Roman"/>
          <w:sz w:val="22"/>
          <w:szCs w:val="22"/>
          <w:color w:val="auto"/>
        </w:rPr>
        <w:t xml:space="preserve">2. Alineación de </w:t>
      </w:r>
      <w:r>
        <w:rPr>
          <w:rFonts w:ascii="Times New Roman" w:cs="Times New Roman" w:eastAsia="Times New Roman" w:hAnsi="Times New Roman"/>
          <w:sz w:val="22"/>
          <w:szCs w:val="22"/>
          <w:i w:val="1"/>
          <w:iCs w:val="1"/>
          <w:color w:val="auto"/>
        </w:rPr>
        <w:t>semilandmarks</w:t>
      </w:r>
      <w:r>
        <w:rPr>
          <w:rFonts w:ascii="Times New Roman" w:cs="Times New Roman" w:eastAsia="Times New Roman" w:hAnsi="Times New Roman"/>
          <w:sz w:val="22"/>
          <w:szCs w:val="22"/>
          <w:color w:val="auto"/>
        </w:rPr>
        <w:t xml:space="preserve"> (se realiza con el programa SemiLand). Este procedimiento se lleva a cabo después de hacer la superimposición en CoordGen para que los </w:t>
      </w:r>
      <w:r>
        <w:rPr>
          <w:rFonts w:ascii="Times New Roman" w:cs="Times New Roman" w:eastAsia="Times New Roman" w:hAnsi="Times New Roman"/>
          <w:sz w:val="22"/>
          <w:szCs w:val="22"/>
          <w:i w:val="1"/>
          <w:iCs w:val="1"/>
          <w:color w:val="auto"/>
        </w:rPr>
        <w:t>semilandmarks</w:t>
      </w:r>
      <w:r>
        <w:rPr>
          <w:rFonts w:ascii="Times New Roman" w:cs="Times New Roman" w:eastAsia="Times New Roman" w:hAnsi="Times New Roman"/>
          <w:sz w:val="22"/>
          <w:szCs w:val="22"/>
          <w:color w:val="auto"/>
        </w:rPr>
        <w:t xml:space="preserve"> se puedan tratar como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xml:space="preserve"> en los análisis posteriores. El procedimiento se describe a continuación.</w:t>
      </w:r>
    </w:p>
    <w:p>
      <w:pPr>
        <w:spacing w:after="0" w:line="2" w:lineRule="exact"/>
        <w:rPr>
          <w:sz w:val="20"/>
          <w:szCs w:val="20"/>
          <w:color w:val="auto"/>
        </w:rPr>
      </w:pPr>
    </w:p>
    <w:p>
      <w:pPr>
        <w:jc w:val="both"/>
        <w:ind w:left="540" w:hanging="300"/>
        <w:spacing w:after="0"/>
        <w:tabs>
          <w:tab w:leader="none" w:pos="540" w:val="left"/>
        </w:tabs>
        <w:numPr>
          <w:ilvl w:val="0"/>
          <w:numId w:val="27"/>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Cargar el archivo de Procrustes que se guardó en CoordGen.</w:t>
      </w:r>
    </w:p>
    <w:p>
      <w:pPr>
        <w:spacing w:after="0" w:line="67" w:lineRule="exact"/>
        <w:rPr>
          <w:rFonts w:ascii="Times New Roman" w:cs="Times New Roman" w:eastAsia="Times New Roman" w:hAnsi="Times New Roman"/>
          <w:sz w:val="22"/>
          <w:szCs w:val="22"/>
          <w:color w:val="auto"/>
        </w:rPr>
      </w:pPr>
    </w:p>
    <w:p>
      <w:pPr>
        <w:jc w:val="both"/>
        <w:ind w:left="540" w:hanging="300"/>
        <w:spacing w:after="0"/>
        <w:tabs>
          <w:tab w:leader="none" w:pos="540" w:val="left"/>
        </w:tabs>
        <w:numPr>
          <w:ilvl w:val="0"/>
          <w:numId w:val="27"/>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Cargar el protocolo de clasificación.</w:t>
      </w:r>
    </w:p>
    <w:p>
      <w:pPr>
        <w:spacing w:after="0" w:line="67" w:lineRule="exact"/>
        <w:rPr>
          <w:rFonts w:ascii="Times New Roman" w:cs="Times New Roman" w:eastAsia="Times New Roman" w:hAnsi="Times New Roman"/>
          <w:sz w:val="22"/>
          <w:szCs w:val="22"/>
          <w:color w:val="auto"/>
        </w:rPr>
      </w:pPr>
    </w:p>
    <w:p>
      <w:pPr>
        <w:jc w:val="both"/>
        <w:ind w:left="540" w:hanging="300"/>
        <w:spacing w:after="0"/>
        <w:tabs>
          <w:tab w:leader="none" w:pos="540" w:val="left"/>
        </w:tabs>
        <w:numPr>
          <w:ilvl w:val="0"/>
          <w:numId w:val="27"/>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Mostrar las distintas formas de presentación de la nueva alineación de puntos.</w:t>
      </w:r>
    </w:p>
    <w:p>
      <w:pPr>
        <w:spacing w:after="0" w:line="78" w:lineRule="exact"/>
        <w:rPr>
          <w:rFonts w:ascii="Times New Roman" w:cs="Times New Roman" w:eastAsia="Times New Roman" w:hAnsi="Times New Roman"/>
          <w:sz w:val="21"/>
          <w:szCs w:val="21"/>
          <w:color w:val="auto"/>
        </w:rPr>
      </w:pPr>
    </w:p>
    <w:p>
      <w:pPr>
        <w:jc w:val="both"/>
        <w:ind w:left="540" w:hanging="300"/>
        <w:spacing w:after="0" w:line="330" w:lineRule="auto"/>
        <w:tabs>
          <w:tab w:leader="none" w:pos="540" w:val="left"/>
        </w:tabs>
        <w:numPr>
          <w:ilvl w:val="0"/>
          <w:numId w:val="27"/>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 xml:space="preserve">Guardar (se recomienda elegir la opción Save All, ya que guarda </w:t>
      </w:r>
      <w:r>
        <w:rPr>
          <w:rFonts w:ascii="Times New Roman" w:cs="Times New Roman" w:eastAsia="Times New Roman" w:hAnsi="Times New Roman"/>
          <w:sz w:val="21"/>
          <w:szCs w:val="21"/>
          <w:i w:val="1"/>
          <w:iCs w:val="1"/>
          <w:color w:val="auto"/>
        </w:rPr>
        <w:t>landmarks,</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semilandmarks </w:t>
      </w:r>
      <w:r>
        <w:rPr>
          <w:rFonts w:ascii="Times New Roman" w:cs="Times New Roman" w:eastAsia="Times New Roman" w:hAnsi="Times New Roman"/>
          <w:sz w:val="21"/>
          <w:szCs w:val="21"/>
          <w:color w:val="auto"/>
        </w:rPr>
        <w:t>y puntos de ayuda). Para los análisis estadísticos en PCAGen</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y CVAGen, el archivo que se carga es el que se guardó en este programa y el procedimiento es el mismo que en los pasos 6 y 7.</w:t>
      </w:r>
    </w:p>
    <w:p>
      <w:pPr>
        <w:sectPr>
          <w:pgSz w:w="9360" w:h="13039" w:orient="portrait"/>
          <w:cols w:equalWidth="0" w:num="1">
            <w:col w:w="7200"/>
          </w:cols>
          <w:pgMar w:left="1080" w:top="878"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6"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82" name="Shape 8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82" o:spid="_x0000_s110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83" name="Shape 8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83" o:spid="_x0000_s110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84" name="Shape 8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84" o:spid="_x0000_s110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41" w:name="page42"/>
    <w:bookmarkEnd w:id="41"/>
    <w:tbl>
      <w:tblPr>
        <w:tblLayout w:type="fixed"/>
        <w:tblInd w:w="2160" w:type="dxa"/>
        <w:tblCellMar>
          <w:top w:w="0" w:type="dxa"/>
          <w:left w:w="0" w:type="dxa"/>
          <w:bottom w:w="0" w:type="dxa"/>
          <w:right w:w="0" w:type="dxa"/>
        </w:tblCellMar>
      </w:tblPr>
      <w:tr>
        <w:trPr>
          <w:trHeight w:val="222"/>
        </w:trPr>
        <w:tc>
          <w:tcPr>
            <w:tcW w:w="3880" w:type="dxa"/>
            <w:vAlign w:val="bottom"/>
          </w:tcPr>
          <w:p>
            <w:pPr>
              <w:spacing w:after="0"/>
              <w:rPr>
                <w:sz w:val="20"/>
                <w:szCs w:val="20"/>
                <w:color w:val="auto"/>
              </w:rPr>
            </w:pPr>
            <w:r>
              <w:rPr>
                <w:rFonts w:ascii="Arial Narrow" w:cs="Arial Narrow" w:eastAsia="Arial Narrow" w:hAnsi="Arial Narrow"/>
                <w:sz w:val="11"/>
                <w:szCs w:val="11"/>
                <w:color w:val="auto"/>
              </w:rPr>
              <w:t>manual de morfometría tradicional y geométrica</w:t>
            </w:r>
          </w:p>
        </w:tc>
        <w:tc>
          <w:tcPr>
            <w:tcW w:w="1160" w:type="dxa"/>
            <w:vAlign w:val="bottom"/>
          </w:tcPr>
          <w:p>
            <w:pPr>
              <w:jc w:val="right"/>
              <w:spacing w:after="0"/>
              <w:rPr>
                <w:sz w:val="20"/>
                <w:szCs w:val="20"/>
                <w:color w:val="auto"/>
              </w:rPr>
            </w:pPr>
            <w:r>
              <w:rPr>
                <w:rFonts w:ascii="Arial Narrow" w:cs="Arial Narrow" w:eastAsia="Arial Narrow" w:hAnsi="Arial Narrow"/>
                <w:sz w:val="16"/>
                <w:szCs w:val="16"/>
                <w:color w:val="auto"/>
              </w:rPr>
              <w:t>41</w:t>
            </w:r>
          </w:p>
        </w:tc>
      </w:tr>
    </w:tbl>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349885</wp:posOffset>
            </wp:positionV>
            <wp:extent cx="4568190" cy="3689985"/>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34">
                      <a:extLst>
                        <a:ext uri="{28A0092B-C50C-407E-A947-70E740481C1C}"/>
                      </a:extLst>
                    </a:blip>
                    <a:srcRect/>
                    <a:stretch>
                      <a:fillRect/>
                    </a:stretch>
                  </pic:blipFill>
                  <pic:spPr bwMode="auto">
                    <a:xfrm>
                      <a:off x="0" y="0"/>
                      <a:ext cx="4568190" cy="368998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0" w:lineRule="exact"/>
        <w:rPr>
          <w:sz w:val="20"/>
          <w:szCs w:val="20"/>
          <w:color w:val="auto"/>
        </w:rPr>
      </w:pPr>
    </w:p>
    <w:p>
      <w:pPr>
        <w:ind w:left="1300"/>
        <w:spacing w:after="0" w:line="239" w:lineRule="auto"/>
        <w:rPr>
          <w:sz w:val="20"/>
          <w:szCs w:val="20"/>
          <w:color w:val="auto"/>
        </w:rPr>
      </w:pPr>
      <w:r>
        <w:rPr>
          <w:rFonts w:ascii="Times New Roman" w:cs="Times New Roman" w:eastAsia="Times New Roman" w:hAnsi="Times New Roman"/>
          <w:sz w:val="18"/>
          <w:szCs w:val="18"/>
          <w:color w:val="auto"/>
        </w:rPr>
        <w:t>a)</w:t>
      </w:r>
    </w:p>
    <w:p>
      <w:pPr>
        <w:spacing w:after="0" w:line="1" w:lineRule="exact"/>
        <w:rPr>
          <w:sz w:val="20"/>
          <w:szCs w:val="20"/>
          <w:color w:val="auto"/>
        </w:rPr>
      </w:pPr>
    </w:p>
    <w:p>
      <w:pPr>
        <w:ind w:left="2700"/>
        <w:spacing w:after="0"/>
        <w:rPr>
          <w:sz w:val="20"/>
          <w:szCs w:val="20"/>
          <w:color w:val="auto"/>
        </w:rPr>
      </w:pPr>
      <w:r>
        <w:rPr>
          <w:rFonts w:ascii="Times New Roman" w:cs="Times New Roman" w:eastAsia="Times New Roman" w:hAnsi="Times New Roman"/>
          <w:sz w:val="18"/>
          <w:szCs w:val="18"/>
          <w:color w:val="auto"/>
        </w:rPr>
        <w:t>d)</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4" w:lineRule="exact"/>
        <w:rPr>
          <w:sz w:val="20"/>
          <w:szCs w:val="20"/>
          <w:color w:val="auto"/>
        </w:rPr>
      </w:pPr>
    </w:p>
    <w:p>
      <w:pPr>
        <w:ind w:left="6680"/>
        <w:spacing w:after="0"/>
        <w:rPr>
          <w:sz w:val="20"/>
          <w:szCs w:val="20"/>
          <w:color w:val="auto"/>
        </w:rPr>
      </w:pPr>
      <w:r>
        <w:rPr>
          <w:rFonts w:ascii="Times New Roman" w:cs="Times New Roman" w:eastAsia="Times New Roman" w:hAnsi="Times New Roman"/>
          <w:sz w:val="18"/>
          <w:szCs w:val="18"/>
          <w:color w:val="auto"/>
        </w:rPr>
        <w:t>b)</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4" w:lineRule="exact"/>
        <w:rPr>
          <w:sz w:val="20"/>
          <w:szCs w:val="20"/>
          <w:color w:val="auto"/>
        </w:rPr>
      </w:pPr>
    </w:p>
    <w:p>
      <w:pPr>
        <w:ind w:left="5740"/>
        <w:spacing w:after="0"/>
        <w:rPr>
          <w:sz w:val="20"/>
          <w:szCs w:val="20"/>
          <w:color w:val="auto"/>
        </w:rPr>
      </w:pPr>
      <w:r>
        <w:rPr>
          <w:rFonts w:ascii="Times New Roman" w:cs="Times New Roman" w:eastAsia="Times New Roman" w:hAnsi="Times New Roman"/>
          <w:sz w:val="18"/>
          <w:szCs w:val="18"/>
          <w:color w:val="auto"/>
        </w:rPr>
        <w:t>c)</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8" w:lineRule="exact"/>
        <w:rPr>
          <w:sz w:val="20"/>
          <w:szCs w:val="20"/>
          <w:color w:val="auto"/>
        </w:rPr>
      </w:pPr>
    </w:p>
    <w:p>
      <w:pPr>
        <w:jc w:val="both"/>
        <w:spacing w:after="0" w:line="311" w:lineRule="auto"/>
        <w:rPr>
          <w:sz w:val="20"/>
          <w:szCs w:val="20"/>
          <w:color w:val="auto"/>
        </w:rPr>
      </w:pPr>
      <w:r>
        <w:rPr>
          <w:rFonts w:ascii="Times New Roman" w:cs="Times New Roman" w:eastAsia="Times New Roman" w:hAnsi="Times New Roman"/>
          <w:sz w:val="22"/>
          <w:szCs w:val="22"/>
          <w:color w:val="auto"/>
        </w:rPr>
        <w:t>* Nota: el protocolo de clasificación se determina por el tipo de contorno y de marca o punto. Se debe cargar como un documento de Bloc de Notas, aunque se puede crear en una hoja de Excell para facilitar el trabajo de clasificación, como se observa en el ejemplo de la siguiente imagen.</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8"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42" w:name="page43"/>
    <w:bookmarkEnd w:id="42"/>
    <w:p>
      <w:pPr>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685800</wp:posOffset>
            </wp:positionH>
            <wp:positionV relativeFrom="page">
              <wp:posOffset>1066800</wp:posOffset>
            </wp:positionV>
            <wp:extent cx="3656330" cy="6249670"/>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35">
                      <a:clrChange>
                        <a:clrFrom>
                          <a:srgbClr val="FFFFFF"/>
                        </a:clrFrom>
                        <a:clrTo>
                          <a:srgbClr val="FFFFFF">
                            <a:alpha val="0"/>
                          </a:srgbClr>
                        </a:clrTo>
                      </a:clrChange>
                      <a:extLst>
                        <a:ext uri="{28A0092B-C50C-407E-A947-70E740481C1C}"/>
                      </a:extLst>
                    </a:blip>
                    <a:srcRect/>
                    <a:stretch>
                      <a:fillRect/>
                    </a:stretch>
                  </pic:blipFill>
                  <pic:spPr bwMode="auto">
                    <a:xfrm>
                      <a:off x="0" y="0"/>
                      <a:ext cx="3656330" cy="6249670"/>
                    </a:xfrm>
                    <a:prstGeom prst="rect">
                      <a:avLst/>
                    </a:prstGeom>
                    <a:noFill/>
                  </pic:spPr>
                </pic:pic>
              </a:graphicData>
            </a:graphic>
          </wp:anchor>
        </w:drawing>
      </w:r>
    </w:p>
    <w:p>
      <w:pPr>
        <w:sectPr>
          <w:pgSz w:w="9360" w:h="13039" w:orient="portrait"/>
          <w:cols w:equalWidth="1" w:num="1" w:space="0"/>
          <w:pgMar w:left="1440" w:top="1440" w:right="1440" w:bottom="1440" w:gutter="0" w:footer="0" w:header="0"/>
        </w:sectPr>
      </w:pPr>
    </w:p>
    <w:bookmarkStart w:id="43" w:name="page44"/>
    <w:bookmarkEnd w:id="43"/>
    <w:tbl>
      <w:tblPr>
        <w:tblLayout w:type="fixed"/>
        <w:tblInd w:w="2160" w:type="dxa"/>
        <w:tblCellMar>
          <w:top w:w="0" w:type="dxa"/>
          <w:left w:w="0" w:type="dxa"/>
          <w:bottom w:w="0" w:type="dxa"/>
          <w:right w:w="0" w:type="dxa"/>
        </w:tblCellMar>
      </w:tblPr>
      <w:tr>
        <w:trPr>
          <w:trHeight w:val="222"/>
        </w:trPr>
        <w:tc>
          <w:tcPr>
            <w:tcW w:w="3880" w:type="dxa"/>
            <w:vAlign w:val="bottom"/>
          </w:tcPr>
          <w:p>
            <w:pPr>
              <w:spacing w:after="0"/>
              <w:rPr>
                <w:sz w:val="20"/>
                <w:szCs w:val="20"/>
                <w:color w:val="auto"/>
              </w:rPr>
            </w:pPr>
            <w:r>
              <w:rPr>
                <w:rFonts w:ascii="Arial Narrow" w:cs="Arial Narrow" w:eastAsia="Arial Narrow" w:hAnsi="Arial Narrow"/>
                <w:sz w:val="11"/>
                <w:szCs w:val="11"/>
                <w:color w:val="auto"/>
              </w:rPr>
              <w:t>manual de morfometría tradicional y geométrica</w:t>
            </w:r>
          </w:p>
        </w:tc>
        <w:tc>
          <w:tcPr>
            <w:tcW w:w="1160" w:type="dxa"/>
            <w:vAlign w:val="bottom"/>
          </w:tcPr>
          <w:p>
            <w:pPr>
              <w:jc w:val="right"/>
              <w:spacing w:after="0"/>
              <w:rPr>
                <w:sz w:val="20"/>
                <w:szCs w:val="20"/>
                <w:color w:val="auto"/>
              </w:rPr>
            </w:pPr>
            <w:r>
              <w:rPr>
                <w:rFonts w:ascii="Arial Narrow" w:cs="Arial Narrow" w:eastAsia="Arial Narrow" w:hAnsi="Arial Narrow"/>
                <w:sz w:val="16"/>
                <w:szCs w:val="16"/>
                <w:color w:val="auto"/>
              </w:rPr>
              <w:t>43</w:t>
            </w:r>
          </w:p>
        </w:tc>
      </w:tr>
    </w:tbl>
    <w:p>
      <w:pPr>
        <w:spacing w:after="0" w:line="200" w:lineRule="exact"/>
        <w:rPr>
          <w:sz w:val="20"/>
          <w:szCs w:val="20"/>
          <w:color w:val="auto"/>
        </w:rPr>
      </w:pPr>
    </w:p>
    <w:p>
      <w:pPr>
        <w:spacing w:after="0" w:line="309"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Glosario</w:t>
      </w:r>
    </w:p>
    <w:p>
      <w:pPr>
        <w:spacing w:after="0" w:line="387" w:lineRule="exact"/>
        <w:rPr>
          <w:sz w:val="20"/>
          <w:szCs w:val="20"/>
          <w:color w:val="auto"/>
        </w:rPr>
      </w:pPr>
    </w:p>
    <w:p>
      <w:pPr>
        <w:jc w:val="both"/>
        <w:spacing w:after="0" w:line="323" w:lineRule="auto"/>
        <w:rPr>
          <w:sz w:val="20"/>
          <w:szCs w:val="20"/>
          <w:color w:val="auto"/>
        </w:rPr>
      </w:pPr>
      <w:r>
        <w:rPr>
          <w:rFonts w:ascii="Times New Roman" w:cs="Times New Roman" w:eastAsia="Times New Roman" w:hAnsi="Times New Roman"/>
          <w:sz w:val="21"/>
          <w:szCs w:val="21"/>
          <w:i w:val="1"/>
          <w:iCs w:val="1"/>
          <w:color w:val="auto"/>
        </w:rPr>
        <w:t xml:space="preserve">Coordenadas de Bookstein </w:t>
      </w:r>
      <w:r>
        <w:rPr>
          <w:rFonts w:ascii="Times New Roman" w:cs="Times New Roman" w:eastAsia="Times New Roman" w:hAnsi="Times New Roman"/>
          <w:sz w:val="21"/>
          <w:szCs w:val="21"/>
          <w:color w:val="auto"/>
        </w:rPr>
        <w:t>(Bookstein, 1982, 1991): método de alineación que consiste</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 xml:space="preserve">en hacer coincidir un determinado lado de la forma de referencia con la </w:t>
      </w:r>
      <w:r>
        <w:rPr>
          <w:rFonts w:ascii="Times New Roman" w:cs="Times New Roman" w:eastAsia="Times New Roman" w:hAnsi="Times New Roman"/>
          <w:sz w:val="21"/>
          <w:szCs w:val="21"/>
          <w:i w:val="1"/>
          <w:iCs w:val="1"/>
          <w:color w:val="auto"/>
        </w:rPr>
        <w:t>target</w:t>
      </w:r>
      <w:r>
        <w:rPr>
          <w:rFonts w:ascii="Times New Roman" w:cs="Times New Roman" w:eastAsia="Times New Roman" w:hAnsi="Times New Roman"/>
          <w:sz w:val="21"/>
          <w:szCs w:val="21"/>
          <w:color w:val="auto"/>
        </w:rPr>
        <w:t xml:space="preserve">. En el caso de un triángulo, por ejemplo, las coordenadas de forma son simplemente las coordenadas de un vértice; una vez que el triángulo fue trasladado, rotado y escalado, de manera que el vértice 1 se ubica en el origen (0,0) y el vértice 2 está en la coordenada (1,0), los vértices 1 y 2 serían los </w:t>
      </w:r>
      <w:r>
        <w:rPr>
          <w:rFonts w:ascii="Times New Roman" w:cs="Times New Roman" w:eastAsia="Times New Roman" w:hAnsi="Times New Roman"/>
          <w:sz w:val="21"/>
          <w:szCs w:val="21"/>
          <w:i w:val="1"/>
          <w:iCs w:val="1"/>
          <w:color w:val="auto"/>
        </w:rPr>
        <w:t>landmarks</w:t>
      </w:r>
      <w:r>
        <w:rPr>
          <w:rFonts w:ascii="Times New Roman" w:cs="Times New Roman" w:eastAsia="Times New Roman" w:hAnsi="Times New Roman"/>
          <w:sz w:val="21"/>
          <w:szCs w:val="21"/>
          <w:color w:val="auto"/>
        </w:rPr>
        <w:t xml:space="preserve"> utilizados para denominar la línea de base. Estas nuevas coordenadas son llamadas </w:t>
      </w:r>
      <w:r>
        <w:rPr>
          <w:rFonts w:ascii="Times New Roman" w:cs="Times New Roman" w:eastAsia="Times New Roman" w:hAnsi="Times New Roman"/>
          <w:sz w:val="21"/>
          <w:szCs w:val="21"/>
          <w:i w:val="1"/>
          <w:iCs w:val="1"/>
          <w:color w:val="auto"/>
        </w:rPr>
        <w:t>coordenadas de Bookstein</w:t>
      </w:r>
      <w:r>
        <w:rPr>
          <w:rFonts w:ascii="Times New Roman" w:cs="Times New Roman" w:eastAsia="Times New Roman" w:hAnsi="Times New Roman"/>
          <w:sz w:val="21"/>
          <w:szCs w:val="21"/>
          <w:color w:val="auto"/>
        </w:rPr>
        <w:t xml:space="preserve"> (bc) (Van der Molen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2007; Zelditch</w:t>
      </w:r>
      <w:r>
        <w:rPr>
          <w:rFonts w:ascii="Times New Roman" w:cs="Times New Roman" w:eastAsia="Times New Roman" w:hAnsi="Times New Roman"/>
          <w:sz w:val="21"/>
          <w:szCs w:val="21"/>
          <w:i w:val="1"/>
          <w:iCs w:val="1"/>
          <w:color w:val="auto"/>
        </w:rPr>
        <w:t xml:space="preserve"> et al., </w:t>
      </w:r>
      <w:r>
        <w:rPr>
          <w:rFonts w:ascii="Times New Roman" w:cs="Times New Roman" w:eastAsia="Times New Roman" w:hAnsi="Times New Roman"/>
          <w:sz w:val="21"/>
          <w:szCs w:val="21"/>
          <w:color w:val="auto"/>
        </w:rPr>
        <w:t>2004).</w:t>
      </w:r>
    </w:p>
    <w:p>
      <w:pPr>
        <w:spacing w:after="0" w:line="280" w:lineRule="exact"/>
        <w:rPr>
          <w:sz w:val="20"/>
          <w:szCs w:val="20"/>
          <w:color w:val="auto"/>
        </w:rPr>
      </w:pPr>
    </w:p>
    <w:p>
      <w:pPr>
        <w:jc w:val="both"/>
        <w:spacing w:after="0" w:line="309" w:lineRule="auto"/>
        <w:rPr>
          <w:sz w:val="20"/>
          <w:szCs w:val="20"/>
          <w:color w:val="auto"/>
        </w:rPr>
      </w:pPr>
      <w:r>
        <w:rPr>
          <w:rFonts w:ascii="Times New Roman" w:cs="Times New Roman" w:eastAsia="Times New Roman" w:hAnsi="Times New Roman"/>
          <w:sz w:val="22"/>
          <w:szCs w:val="22"/>
          <w:i w:val="1"/>
          <w:iCs w:val="1"/>
          <w:color w:val="auto"/>
        </w:rPr>
        <w:t xml:space="preserve">Generalized resistant fit </w:t>
      </w:r>
      <w:r>
        <w:rPr>
          <w:rFonts w:ascii="Times New Roman" w:cs="Times New Roman" w:eastAsia="Times New Roman" w:hAnsi="Times New Roman"/>
          <w:sz w:val="22"/>
          <w:szCs w:val="22"/>
          <w:color w:val="auto"/>
        </w:rPr>
        <w:t>(grf) (Rohlf y Slice, 1990; Slice</w:t>
      </w:r>
      <w:r>
        <w:rPr>
          <w:rFonts w:ascii="Times New Roman" w:cs="Times New Roman" w:eastAsia="Times New Roman" w:hAnsi="Times New Roman"/>
          <w:sz w:val="22"/>
          <w:szCs w:val="22"/>
          <w:i w:val="1"/>
          <w:iCs w:val="1"/>
          <w:color w:val="auto"/>
        </w:rPr>
        <w:t xml:space="preserve"> et al.</w:t>
      </w:r>
      <w:r>
        <w:rPr>
          <w:rFonts w:ascii="Times New Roman" w:cs="Times New Roman" w:eastAsia="Times New Roman" w:hAnsi="Times New Roman"/>
          <w:sz w:val="22"/>
          <w:szCs w:val="22"/>
          <w:color w:val="auto"/>
        </w:rPr>
        <w:t>, 1996): este método</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estima la superposición de parámetros como medianas en vez de mínimos cuadrados. Al igual que en gpa, este procedimiento es iterado hasta obtener la superposición de la muestra. Cuando la variación se limita a unos pocos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xml:space="preserve"> es posible utilizar grf (Van der Molen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2007).</w:t>
      </w:r>
    </w:p>
    <w:p>
      <w:pPr>
        <w:spacing w:after="0" w:line="291" w:lineRule="exact"/>
        <w:rPr>
          <w:sz w:val="20"/>
          <w:szCs w:val="20"/>
          <w:color w:val="auto"/>
        </w:rPr>
      </w:pPr>
    </w:p>
    <w:p>
      <w:pPr>
        <w:jc w:val="both"/>
        <w:spacing w:after="0" w:line="327" w:lineRule="auto"/>
        <w:rPr>
          <w:sz w:val="20"/>
          <w:szCs w:val="20"/>
          <w:color w:val="auto"/>
        </w:rPr>
      </w:pPr>
      <w:r>
        <w:rPr>
          <w:rFonts w:ascii="Times New Roman" w:cs="Times New Roman" w:eastAsia="Times New Roman" w:hAnsi="Times New Roman"/>
          <w:sz w:val="22"/>
          <w:szCs w:val="22"/>
          <w:i w:val="1"/>
          <w:iCs w:val="1"/>
          <w:color w:val="auto"/>
        </w:rPr>
        <w:t xml:space="preserve">Landmarks: </w:t>
      </w:r>
      <w:r>
        <w:rPr>
          <w:rFonts w:ascii="Times New Roman" w:cs="Times New Roman" w:eastAsia="Times New Roman" w:hAnsi="Times New Roman"/>
          <w:sz w:val="22"/>
          <w:szCs w:val="22"/>
          <w:color w:val="auto"/>
        </w:rPr>
        <w:t>puntos anatómicos concretos que pueden ser reconocidos como</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homólogos en todos los especímenes estudiados (Zelditch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2004).</w:t>
      </w:r>
    </w:p>
    <w:p>
      <w:pPr>
        <w:spacing w:after="0" w:line="271" w:lineRule="exact"/>
        <w:rPr>
          <w:sz w:val="20"/>
          <w:szCs w:val="20"/>
          <w:color w:val="auto"/>
        </w:rPr>
      </w:pPr>
    </w:p>
    <w:p>
      <w:pPr>
        <w:jc w:val="both"/>
        <w:spacing w:after="0" w:line="311" w:lineRule="auto"/>
        <w:rPr>
          <w:sz w:val="20"/>
          <w:szCs w:val="20"/>
          <w:color w:val="auto"/>
        </w:rPr>
      </w:pPr>
      <w:r>
        <w:rPr>
          <w:rFonts w:ascii="Times New Roman" w:cs="Times New Roman" w:eastAsia="Times New Roman" w:hAnsi="Times New Roman"/>
          <w:sz w:val="22"/>
          <w:szCs w:val="22"/>
          <w:i w:val="1"/>
          <w:iCs w:val="1"/>
          <w:color w:val="auto"/>
        </w:rPr>
        <w:t xml:space="preserve">Partial warps: </w:t>
      </w:r>
      <w:r>
        <w:rPr>
          <w:rFonts w:ascii="Times New Roman" w:cs="Times New Roman" w:eastAsia="Times New Roman" w:hAnsi="Times New Roman"/>
          <w:sz w:val="22"/>
          <w:szCs w:val="22"/>
          <w:color w:val="auto"/>
        </w:rPr>
        <w:t>componentes principales de una distribución de formas en el espacio</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tangente al espacio de la forma de Kendall que se usan para describir las mayores tendencias en la variación morfológica entre organismos dentro de una muestra (Zelditch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2004).</w:t>
      </w:r>
    </w:p>
    <w:p>
      <w:pPr>
        <w:spacing w:after="0" w:line="289" w:lineRule="exact"/>
        <w:rPr>
          <w:sz w:val="20"/>
          <w:szCs w:val="20"/>
          <w:color w:val="auto"/>
        </w:rPr>
      </w:pPr>
    </w:p>
    <w:p>
      <w:pPr>
        <w:jc w:val="both"/>
        <w:spacing w:after="0" w:line="315" w:lineRule="auto"/>
        <w:rPr>
          <w:sz w:val="20"/>
          <w:szCs w:val="20"/>
          <w:color w:val="auto"/>
        </w:rPr>
      </w:pPr>
      <w:r>
        <w:rPr>
          <w:rFonts w:ascii="Times New Roman" w:cs="Times New Roman" w:eastAsia="Times New Roman" w:hAnsi="Times New Roman"/>
          <w:sz w:val="22"/>
          <w:szCs w:val="22"/>
          <w:i w:val="1"/>
          <w:iCs w:val="1"/>
          <w:color w:val="auto"/>
        </w:rPr>
        <w:t xml:space="preserve">Semilandmark: </w:t>
      </w:r>
      <w:r>
        <w:rPr>
          <w:rFonts w:ascii="Times New Roman" w:cs="Times New Roman" w:eastAsia="Times New Roman" w:hAnsi="Times New Roman"/>
          <w:sz w:val="22"/>
          <w:szCs w:val="22"/>
          <w:color w:val="auto"/>
        </w:rPr>
        <w:t>series de puntos localizados a lo largo de una curva, borde o superficie.</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Los </w:t>
      </w:r>
      <w:r>
        <w:rPr>
          <w:rFonts w:ascii="Times New Roman" w:cs="Times New Roman" w:eastAsia="Times New Roman" w:hAnsi="Times New Roman"/>
          <w:sz w:val="22"/>
          <w:szCs w:val="22"/>
          <w:i w:val="1"/>
          <w:iCs w:val="1"/>
          <w:color w:val="auto"/>
        </w:rPr>
        <w:t>semilandmarks</w:t>
      </w:r>
      <w:r>
        <w:rPr>
          <w:rFonts w:ascii="Times New Roman" w:cs="Times New Roman" w:eastAsia="Times New Roman" w:hAnsi="Times New Roman"/>
          <w:sz w:val="22"/>
          <w:szCs w:val="22"/>
          <w:color w:val="auto"/>
        </w:rPr>
        <w:t xml:space="preserve"> se utilizan para incorporar información acerca de la curvatura en una forma geométrica (Bookstein, 1991; Zelditch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2004).</w:t>
      </w:r>
    </w:p>
    <w:p>
      <w:pPr>
        <w:spacing w:after="0" w:line="284" w:lineRule="exact"/>
        <w:rPr>
          <w:sz w:val="20"/>
          <w:szCs w:val="20"/>
          <w:color w:val="auto"/>
        </w:rPr>
      </w:pPr>
    </w:p>
    <w:p>
      <w:pPr>
        <w:jc w:val="both"/>
        <w:spacing w:after="0" w:line="327" w:lineRule="auto"/>
        <w:rPr>
          <w:sz w:val="20"/>
          <w:szCs w:val="20"/>
          <w:color w:val="auto"/>
        </w:rPr>
      </w:pPr>
      <w:r>
        <w:rPr>
          <w:rFonts w:ascii="Times New Roman" w:cs="Times New Roman" w:eastAsia="Times New Roman" w:hAnsi="Times New Roman"/>
          <w:sz w:val="22"/>
          <w:szCs w:val="22"/>
          <w:i w:val="1"/>
          <w:iCs w:val="1"/>
          <w:color w:val="auto"/>
        </w:rPr>
        <w:t xml:space="preserve">Superimposición: </w:t>
      </w:r>
      <w:r>
        <w:rPr>
          <w:rFonts w:ascii="Times New Roman" w:cs="Times New Roman" w:eastAsia="Times New Roman" w:hAnsi="Times New Roman"/>
          <w:sz w:val="22"/>
          <w:szCs w:val="22"/>
          <w:color w:val="auto"/>
        </w:rPr>
        <w:t>método previo a los análisis estadísticos para solapar dos</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configuraciones de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xml:space="preserve"> (Zelditch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2004).</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35"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44" w:name="page45"/>
    <w:bookmarkEnd w:id="44"/>
    <w:p>
      <w:pPr>
        <w:spacing w:after="0" w:line="239" w:lineRule="auto"/>
        <w:tabs>
          <w:tab w:leader="none" w:pos="1940" w:val="left"/>
        </w:tabs>
        <w:rPr>
          <w:sz w:val="20"/>
          <w:szCs w:val="20"/>
          <w:color w:val="auto"/>
        </w:rPr>
      </w:pPr>
      <w:r>
        <w:rPr>
          <w:rFonts w:ascii="Arial Narrow" w:cs="Arial Narrow" w:eastAsia="Arial Narrow" w:hAnsi="Arial Narrow"/>
          <w:sz w:val="16"/>
          <w:szCs w:val="16"/>
          <w:color w:val="auto"/>
        </w:rPr>
        <w:t>44</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p>
    <w:p>
      <w:pPr>
        <w:spacing w:after="0" w:line="376" w:lineRule="exact"/>
        <w:rPr>
          <w:sz w:val="20"/>
          <w:szCs w:val="20"/>
          <w:color w:val="auto"/>
        </w:rPr>
      </w:pPr>
    </w:p>
    <w:p>
      <w:pPr>
        <w:jc w:val="both"/>
        <w:spacing w:after="0" w:line="315" w:lineRule="auto"/>
        <w:rPr>
          <w:sz w:val="20"/>
          <w:szCs w:val="20"/>
          <w:color w:val="auto"/>
        </w:rPr>
      </w:pPr>
      <w:r>
        <w:rPr>
          <w:rFonts w:ascii="Times New Roman" w:cs="Times New Roman" w:eastAsia="Times New Roman" w:hAnsi="Times New Roman"/>
          <w:sz w:val="21"/>
          <w:szCs w:val="21"/>
          <w:i w:val="1"/>
          <w:iCs w:val="1"/>
          <w:color w:val="auto"/>
        </w:rPr>
        <w:t xml:space="preserve">Superimposición Procrustes: </w:t>
      </w:r>
      <w:r>
        <w:rPr>
          <w:rFonts w:ascii="Times New Roman" w:cs="Times New Roman" w:eastAsia="Times New Roman" w:hAnsi="Times New Roman"/>
          <w:sz w:val="21"/>
          <w:szCs w:val="21"/>
          <w:color w:val="auto"/>
        </w:rPr>
        <w:t>el método de</w:t>
      </w:r>
      <w:r>
        <w:rPr>
          <w:rFonts w:ascii="Times New Roman" w:cs="Times New Roman" w:eastAsia="Times New Roman" w:hAnsi="Times New Roman"/>
          <w:sz w:val="21"/>
          <w:szCs w:val="21"/>
          <w:i w:val="1"/>
          <w:iCs w:val="1"/>
          <w:color w:val="auto"/>
        </w:rPr>
        <w:t xml:space="preserve"> generalized Procrustes analysis </w:t>
      </w:r>
      <w:r>
        <w:rPr>
          <w:rFonts w:ascii="Times New Roman" w:cs="Times New Roman" w:eastAsia="Times New Roman" w:hAnsi="Times New Roman"/>
          <w:sz w:val="21"/>
          <w:szCs w:val="21"/>
          <w:color w:val="auto"/>
        </w:rPr>
        <w:t>(gpa) (Rohlf,</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 xml:space="preserve">1990) es el más utilizado y preferido frente a otros métodos. Se superponen las configuraciones de </w:t>
      </w:r>
      <w:r>
        <w:rPr>
          <w:rFonts w:ascii="Times New Roman" w:cs="Times New Roman" w:eastAsia="Times New Roman" w:hAnsi="Times New Roman"/>
          <w:sz w:val="21"/>
          <w:szCs w:val="21"/>
          <w:i w:val="1"/>
          <w:iCs w:val="1"/>
          <w:color w:val="auto"/>
        </w:rPr>
        <w:t>landmarks</w:t>
      </w:r>
      <w:r>
        <w:rPr>
          <w:rFonts w:ascii="Times New Roman" w:cs="Times New Roman" w:eastAsia="Times New Roman" w:hAnsi="Times New Roman"/>
          <w:sz w:val="21"/>
          <w:szCs w:val="21"/>
          <w:color w:val="auto"/>
        </w:rPr>
        <w:t xml:space="preserve"> siguiendo el criterio de los mínimos cuadrados para los efectos de traslación y rotación; expresado de otro modo, las formas son superpuestas de manera tal que la suma de las distancias al cuadrado entre </w:t>
      </w:r>
      <w:r>
        <w:rPr>
          <w:rFonts w:ascii="Times New Roman" w:cs="Times New Roman" w:eastAsia="Times New Roman" w:hAnsi="Times New Roman"/>
          <w:sz w:val="21"/>
          <w:szCs w:val="21"/>
          <w:i w:val="1"/>
          <w:iCs w:val="1"/>
          <w:color w:val="auto"/>
        </w:rPr>
        <w:t>landmarks</w:t>
      </w:r>
      <w:r>
        <w:rPr>
          <w:rFonts w:ascii="Times New Roman" w:cs="Times New Roman" w:eastAsia="Times New Roman" w:hAnsi="Times New Roman"/>
          <w:sz w:val="21"/>
          <w:szCs w:val="21"/>
          <w:color w:val="auto"/>
        </w:rPr>
        <w:t xml:space="preserve"> correspondientes de las dos formas sea mínima (Van der Molen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2007).</w:t>
      </w:r>
    </w:p>
    <w:p>
      <w:pPr>
        <w:spacing w:after="0" w:line="268" w:lineRule="exact"/>
        <w:rPr>
          <w:sz w:val="20"/>
          <w:szCs w:val="20"/>
          <w:color w:val="auto"/>
        </w:rPr>
      </w:pPr>
    </w:p>
    <w:p>
      <w:pPr>
        <w:jc w:val="both"/>
        <w:spacing w:after="0" w:line="317" w:lineRule="auto"/>
        <w:rPr>
          <w:sz w:val="20"/>
          <w:szCs w:val="20"/>
          <w:color w:val="auto"/>
        </w:rPr>
      </w:pPr>
      <w:r>
        <w:rPr>
          <w:rFonts w:ascii="Times New Roman" w:cs="Times New Roman" w:eastAsia="Times New Roman" w:hAnsi="Times New Roman"/>
          <w:sz w:val="22"/>
          <w:szCs w:val="22"/>
          <w:i w:val="1"/>
          <w:iCs w:val="1"/>
          <w:color w:val="auto"/>
        </w:rPr>
        <w:t xml:space="preserve">Thin plate spline </w:t>
      </w:r>
      <w:r>
        <w:rPr>
          <w:rFonts w:ascii="Times New Roman" w:cs="Times New Roman" w:eastAsia="Times New Roman" w:hAnsi="Times New Roman"/>
          <w:sz w:val="22"/>
          <w:szCs w:val="22"/>
          <w:color w:val="auto"/>
        </w:rPr>
        <w:t>(placa fina de deformación): herramienta de visualización basada en</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la deformación de una configuración de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xml:space="preserve"> (Slice, 2007).</w:t>
      </w:r>
    </w:p>
    <w:p>
      <w:pPr>
        <w:spacing w:after="0" w:line="200" w:lineRule="exact"/>
        <w:rPr>
          <w:sz w:val="20"/>
          <w:szCs w:val="20"/>
          <w:color w:val="auto"/>
        </w:rPr>
      </w:pPr>
    </w:p>
    <w:p>
      <w:pPr>
        <w:spacing w:after="0" w:line="372"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Software</w:t>
      </w:r>
    </w:p>
    <w:p>
      <w:pPr>
        <w:spacing w:after="0" w:line="367" w:lineRule="exact"/>
        <w:rPr>
          <w:sz w:val="20"/>
          <w:szCs w:val="20"/>
          <w:color w:val="auto"/>
        </w:rPr>
      </w:pPr>
    </w:p>
    <w:p>
      <w:pPr>
        <w:jc w:val="both"/>
        <w:spacing w:after="0" w:line="317" w:lineRule="auto"/>
        <w:rPr>
          <w:sz w:val="20"/>
          <w:szCs w:val="20"/>
          <w:color w:val="auto"/>
        </w:rPr>
      </w:pPr>
      <w:r>
        <w:rPr>
          <w:rFonts w:ascii="Times New Roman" w:cs="Times New Roman" w:eastAsia="Times New Roman" w:hAnsi="Times New Roman"/>
          <w:sz w:val="22"/>
          <w:szCs w:val="22"/>
          <w:i w:val="1"/>
          <w:iCs w:val="1"/>
          <w:color w:val="auto"/>
        </w:rPr>
        <w:t xml:space="preserve">CoordGen: </w:t>
      </w:r>
      <w:r>
        <w:rPr>
          <w:rFonts w:ascii="Times New Roman" w:cs="Times New Roman" w:eastAsia="Times New Roman" w:hAnsi="Times New Roman"/>
          <w:sz w:val="22"/>
          <w:szCs w:val="22"/>
          <w:color w:val="auto"/>
        </w:rPr>
        <w:t>programa para el cálculo de coordenadas de los</w:t>
      </w:r>
      <w:r>
        <w:rPr>
          <w:rFonts w:ascii="Times New Roman" w:cs="Times New Roman" w:eastAsia="Times New Roman" w:hAnsi="Times New Roman"/>
          <w:sz w:val="22"/>
          <w:szCs w:val="22"/>
          <w:i w:val="1"/>
          <w:iCs w:val="1"/>
          <w:color w:val="auto"/>
        </w:rPr>
        <w:t xml:space="preserve"> landmarks</w:t>
      </w:r>
      <w:r>
        <w:rPr>
          <w:rFonts w:ascii="Times New Roman" w:cs="Times New Roman" w:eastAsia="Times New Roman" w:hAnsi="Times New Roman"/>
          <w:sz w:val="22"/>
          <w:szCs w:val="22"/>
          <w:color w:val="auto"/>
        </w:rPr>
        <w:t>; también muestra</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la gráfica de cada ejemplar (Zelditch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2004).</w:t>
      </w:r>
    </w:p>
    <w:p>
      <w:pPr>
        <w:spacing w:after="0" w:line="262" w:lineRule="exact"/>
        <w:rPr>
          <w:sz w:val="20"/>
          <w:szCs w:val="20"/>
          <w:color w:val="auto"/>
        </w:rPr>
      </w:pPr>
    </w:p>
    <w:p>
      <w:pPr>
        <w:jc w:val="both"/>
        <w:spacing w:after="0" w:line="305" w:lineRule="auto"/>
        <w:rPr>
          <w:sz w:val="20"/>
          <w:szCs w:val="20"/>
          <w:color w:val="auto"/>
        </w:rPr>
      </w:pPr>
      <w:r>
        <w:rPr>
          <w:rFonts w:ascii="Times New Roman" w:cs="Times New Roman" w:eastAsia="Times New Roman" w:hAnsi="Times New Roman"/>
          <w:sz w:val="22"/>
          <w:szCs w:val="22"/>
          <w:i w:val="1"/>
          <w:iCs w:val="1"/>
          <w:color w:val="auto"/>
        </w:rPr>
        <w:t xml:space="preserve">CVAGen: software </w:t>
      </w:r>
      <w:r>
        <w:rPr>
          <w:rFonts w:ascii="Times New Roman" w:cs="Times New Roman" w:eastAsia="Times New Roman" w:hAnsi="Times New Roman"/>
          <w:sz w:val="22"/>
          <w:szCs w:val="22"/>
          <w:color w:val="auto"/>
        </w:rPr>
        <w:t>de imp con el cual se realiza el análisis de variables canónicas; es un</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método para encontrar el conjunto de ejes que permite una mayor capacidad para discriminar entre dos o más grupos (Sheets, 2001).</w:t>
      </w:r>
    </w:p>
    <w:p>
      <w:pPr>
        <w:spacing w:after="0" w:line="276" w:lineRule="exact"/>
        <w:rPr>
          <w:sz w:val="20"/>
          <w:szCs w:val="20"/>
          <w:color w:val="auto"/>
        </w:rPr>
      </w:pPr>
    </w:p>
    <w:p>
      <w:pPr>
        <w:jc w:val="both"/>
        <w:spacing w:after="0" w:line="305" w:lineRule="auto"/>
        <w:rPr>
          <w:sz w:val="20"/>
          <w:szCs w:val="20"/>
          <w:color w:val="auto"/>
        </w:rPr>
      </w:pPr>
      <w:r>
        <w:rPr>
          <w:rFonts w:ascii="Times New Roman" w:cs="Times New Roman" w:eastAsia="Times New Roman" w:hAnsi="Times New Roman"/>
          <w:sz w:val="22"/>
          <w:szCs w:val="22"/>
          <w:i w:val="1"/>
          <w:iCs w:val="1"/>
          <w:color w:val="auto"/>
        </w:rPr>
        <w:t xml:space="preserve">ImageJ: </w:t>
      </w:r>
      <w:r>
        <w:rPr>
          <w:rFonts w:ascii="Times New Roman" w:cs="Times New Roman" w:eastAsia="Times New Roman" w:hAnsi="Times New Roman"/>
          <w:sz w:val="22"/>
          <w:szCs w:val="22"/>
          <w:color w:val="auto"/>
        </w:rPr>
        <w:t>programa procesador de imágenes digitales con formatos tiff, gif, jpeg,</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bmp, dicom, fits y raw; es una herramienta útil para calcular medidas lineales como distancias, ángulos, áreas y contornos.</w:t>
      </w:r>
    </w:p>
    <w:p>
      <w:pPr>
        <w:spacing w:after="0" w:line="276" w:lineRule="exact"/>
        <w:rPr>
          <w:sz w:val="20"/>
          <w:szCs w:val="20"/>
          <w:color w:val="auto"/>
        </w:rPr>
      </w:pPr>
    </w:p>
    <w:p>
      <w:pPr>
        <w:jc w:val="both"/>
        <w:spacing w:after="0" w:line="317" w:lineRule="auto"/>
        <w:rPr>
          <w:sz w:val="20"/>
          <w:szCs w:val="20"/>
          <w:color w:val="auto"/>
        </w:rPr>
      </w:pPr>
      <w:r>
        <w:rPr>
          <w:rFonts w:ascii="Times New Roman" w:cs="Times New Roman" w:eastAsia="Times New Roman" w:hAnsi="Times New Roman"/>
          <w:sz w:val="22"/>
          <w:szCs w:val="22"/>
          <w:i w:val="1"/>
          <w:iCs w:val="1"/>
          <w:color w:val="auto"/>
        </w:rPr>
        <w:t xml:space="preserve">MakeFan: software </w:t>
      </w:r>
      <w:r>
        <w:rPr>
          <w:rFonts w:ascii="Times New Roman" w:cs="Times New Roman" w:eastAsia="Times New Roman" w:hAnsi="Times New Roman"/>
          <w:sz w:val="22"/>
          <w:szCs w:val="22"/>
          <w:color w:val="auto"/>
        </w:rPr>
        <w:t>que permite colocar abanicos o peines a las imágenes para poder</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digitalizar </w:t>
      </w:r>
      <w:r>
        <w:rPr>
          <w:rFonts w:ascii="Times New Roman" w:cs="Times New Roman" w:eastAsia="Times New Roman" w:hAnsi="Times New Roman"/>
          <w:sz w:val="22"/>
          <w:szCs w:val="22"/>
          <w:i w:val="1"/>
          <w:iCs w:val="1"/>
          <w:color w:val="auto"/>
        </w:rPr>
        <w:t>semilandmarks</w:t>
      </w:r>
      <w:r>
        <w:rPr>
          <w:rFonts w:ascii="Times New Roman" w:cs="Times New Roman" w:eastAsia="Times New Roman" w:hAnsi="Times New Roman"/>
          <w:sz w:val="22"/>
          <w:szCs w:val="22"/>
          <w:color w:val="auto"/>
        </w:rPr>
        <w:t xml:space="preserve"> en una curva (Sheets, 2001).</w:t>
      </w:r>
    </w:p>
    <w:p>
      <w:pPr>
        <w:spacing w:after="0" w:line="262" w:lineRule="exact"/>
        <w:rPr>
          <w:sz w:val="20"/>
          <w:szCs w:val="20"/>
          <w:color w:val="auto"/>
        </w:rPr>
      </w:pPr>
    </w:p>
    <w:p>
      <w:pPr>
        <w:jc w:val="both"/>
        <w:spacing w:after="0" w:line="317" w:lineRule="auto"/>
        <w:rPr>
          <w:sz w:val="20"/>
          <w:szCs w:val="20"/>
          <w:color w:val="auto"/>
        </w:rPr>
      </w:pPr>
      <w:r>
        <w:rPr>
          <w:rFonts w:ascii="Times New Roman" w:cs="Times New Roman" w:eastAsia="Times New Roman" w:hAnsi="Times New Roman"/>
          <w:sz w:val="22"/>
          <w:szCs w:val="22"/>
          <w:i w:val="1"/>
          <w:iCs w:val="1"/>
          <w:color w:val="auto"/>
        </w:rPr>
        <w:t xml:space="preserve">PCAGen: </w:t>
      </w:r>
      <w:r>
        <w:rPr>
          <w:rFonts w:ascii="Times New Roman" w:cs="Times New Roman" w:eastAsia="Times New Roman" w:hAnsi="Times New Roman"/>
          <w:sz w:val="22"/>
          <w:szCs w:val="22"/>
          <w:color w:val="auto"/>
        </w:rPr>
        <w:t>programa de imp con el cual se realiza el acp a partir de cualquier</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superimposición (Sheets, 2001).</w:t>
      </w:r>
    </w:p>
    <w:p>
      <w:pPr>
        <w:spacing w:after="0" w:line="262" w:lineRule="exact"/>
        <w:rPr>
          <w:sz w:val="20"/>
          <w:szCs w:val="20"/>
          <w:color w:val="auto"/>
        </w:rPr>
      </w:pPr>
    </w:p>
    <w:p>
      <w:pPr>
        <w:jc w:val="both"/>
        <w:spacing w:after="0" w:line="327" w:lineRule="auto"/>
        <w:rPr>
          <w:sz w:val="20"/>
          <w:szCs w:val="20"/>
          <w:color w:val="auto"/>
        </w:rPr>
      </w:pPr>
      <w:r>
        <w:rPr>
          <w:rFonts w:ascii="Times New Roman" w:cs="Times New Roman" w:eastAsia="Times New Roman" w:hAnsi="Times New Roman"/>
          <w:sz w:val="22"/>
          <w:szCs w:val="22"/>
          <w:i w:val="1"/>
          <w:iCs w:val="1"/>
          <w:color w:val="auto"/>
        </w:rPr>
        <w:t xml:space="preserve">Semiland: software </w:t>
      </w:r>
      <w:r>
        <w:rPr>
          <w:rFonts w:ascii="Times New Roman" w:cs="Times New Roman" w:eastAsia="Times New Roman" w:hAnsi="Times New Roman"/>
          <w:sz w:val="22"/>
          <w:szCs w:val="22"/>
          <w:color w:val="auto"/>
        </w:rPr>
        <w:t>de imp que alinea la configuración de</w:t>
      </w:r>
      <w:r>
        <w:rPr>
          <w:rFonts w:ascii="Times New Roman" w:cs="Times New Roman" w:eastAsia="Times New Roman" w:hAnsi="Times New Roman"/>
          <w:sz w:val="22"/>
          <w:szCs w:val="22"/>
          <w:i w:val="1"/>
          <w:iCs w:val="1"/>
          <w:color w:val="auto"/>
        </w:rPr>
        <w:t xml:space="preserve"> semilandmarks, </w:t>
      </w:r>
      <w:r>
        <w:rPr>
          <w:rFonts w:ascii="Times New Roman" w:cs="Times New Roman" w:eastAsia="Times New Roman" w:hAnsi="Times New Roman"/>
          <w:sz w:val="22"/>
          <w:szCs w:val="22"/>
          <w:color w:val="auto"/>
        </w:rPr>
        <w:t>lo cual permite</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el uso de estos datos (Sheets, 2001).</w:t>
      </w:r>
    </w:p>
    <w:p>
      <w:pPr>
        <w:sectPr>
          <w:pgSz w:w="9360" w:h="13039" w:orient="portrait"/>
          <w:cols w:equalWidth="0" w:num="1">
            <w:col w:w="7200"/>
          </w:cols>
          <w:pgMar w:left="1080" w:top="878" w:right="1080" w:bottom="437" w:gutter="0" w:footer="0" w:header="0"/>
        </w:sectPr>
      </w:pPr>
    </w:p>
    <w:p>
      <w:pPr>
        <w:spacing w:after="0" w:line="200" w:lineRule="exact"/>
        <w:rPr>
          <w:sz w:val="20"/>
          <w:szCs w:val="20"/>
          <w:color w:val="auto"/>
        </w:rPr>
      </w:pPr>
    </w:p>
    <w:p>
      <w:pPr>
        <w:spacing w:after="0" w:line="315"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87" name="Shape 8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87" o:spid="_x0000_s111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88" name="Shape 8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88" o:spid="_x0000_s111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89" name="Shape 8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89" o:spid="_x0000_s111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45" w:name="page46"/>
    <w:bookmarkEnd w:id="45"/>
    <w:tbl>
      <w:tblPr>
        <w:tblLayout w:type="fixed"/>
        <w:tblInd w:w="2160" w:type="dxa"/>
        <w:tblCellMar>
          <w:top w:w="0" w:type="dxa"/>
          <w:left w:w="0" w:type="dxa"/>
          <w:bottom w:w="0" w:type="dxa"/>
          <w:right w:w="0" w:type="dxa"/>
        </w:tblCellMar>
      </w:tblPr>
      <w:tr>
        <w:trPr>
          <w:trHeight w:val="222"/>
        </w:trPr>
        <w:tc>
          <w:tcPr>
            <w:tcW w:w="3880" w:type="dxa"/>
            <w:vAlign w:val="bottom"/>
          </w:tcPr>
          <w:p>
            <w:pPr>
              <w:spacing w:after="0"/>
              <w:rPr>
                <w:sz w:val="20"/>
                <w:szCs w:val="20"/>
                <w:color w:val="auto"/>
              </w:rPr>
            </w:pPr>
            <w:r>
              <w:rPr>
                <w:rFonts w:ascii="Arial Narrow" w:cs="Arial Narrow" w:eastAsia="Arial Narrow" w:hAnsi="Arial Narrow"/>
                <w:sz w:val="11"/>
                <w:szCs w:val="11"/>
                <w:color w:val="auto"/>
              </w:rPr>
              <w:t>manual de morfometría tradicional y geométrica</w:t>
            </w:r>
          </w:p>
        </w:tc>
        <w:tc>
          <w:tcPr>
            <w:tcW w:w="1160" w:type="dxa"/>
            <w:vAlign w:val="bottom"/>
          </w:tcPr>
          <w:p>
            <w:pPr>
              <w:jc w:val="right"/>
              <w:spacing w:after="0"/>
              <w:rPr>
                <w:sz w:val="20"/>
                <w:szCs w:val="20"/>
                <w:color w:val="auto"/>
              </w:rPr>
            </w:pPr>
            <w:r>
              <w:rPr>
                <w:rFonts w:ascii="Arial Narrow" w:cs="Arial Narrow" w:eastAsia="Arial Narrow" w:hAnsi="Arial Narrow"/>
                <w:sz w:val="16"/>
                <w:szCs w:val="16"/>
                <w:color w:val="auto"/>
              </w:rPr>
              <w:t>45</w:t>
            </w:r>
          </w:p>
        </w:tc>
      </w:tr>
    </w:tbl>
    <w:p>
      <w:pPr>
        <w:spacing w:after="0" w:line="200" w:lineRule="exact"/>
        <w:rPr>
          <w:sz w:val="20"/>
          <w:szCs w:val="20"/>
          <w:color w:val="auto"/>
        </w:rPr>
      </w:pPr>
    </w:p>
    <w:p>
      <w:pPr>
        <w:spacing w:after="0" w:line="309" w:lineRule="exact"/>
        <w:rPr>
          <w:sz w:val="20"/>
          <w:szCs w:val="20"/>
          <w:color w:val="auto"/>
        </w:rPr>
      </w:pPr>
    </w:p>
    <w:p>
      <w:pPr>
        <w:jc w:val="both"/>
        <w:spacing w:after="0" w:line="358" w:lineRule="auto"/>
        <w:rPr>
          <w:sz w:val="20"/>
          <w:szCs w:val="20"/>
          <w:color w:val="auto"/>
        </w:rPr>
      </w:pPr>
      <w:r>
        <w:rPr>
          <w:rFonts w:ascii="Times New Roman" w:cs="Times New Roman" w:eastAsia="Times New Roman" w:hAnsi="Times New Roman"/>
          <w:sz w:val="20"/>
          <w:szCs w:val="20"/>
          <w:i w:val="1"/>
          <w:iCs w:val="1"/>
          <w:color w:val="auto"/>
        </w:rPr>
        <w:t xml:space="preserve">tpsDig2: software </w:t>
      </w:r>
      <w:r>
        <w:rPr>
          <w:rFonts w:ascii="Times New Roman" w:cs="Times New Roman" w:eastAsia="Times New Roman" w:hAnsi="Times New Roman"/>
          <w:sz w:val="20"/>
          <w:szCs w:val="20"/>
          <w:color w:val="auto"/>
        </w:rPr>
        <w:t>utilizado para digitalizar</w:t>
      </w:r>
      <w:r>
        <w:rPr>
          <w:rFonts w:ascii="Times New Roman" w:cs="Times New Roman" w:eastAsia="Times New Roman" w:hAnsi="Times New Roman"/>
          <w:sz w:val="20"/>
          <w:szCs w:val="20"/>
          <w:i w:val="1"/>
          <w:iCs w:val="1"/>
          <w:color w:val="auto"/>
        </w:rPr>
        <w:t xml:space="preserve"> landmarks </w:t>
      </w:r>
      <w:r>
        <w:rPr>
          <w:rFonts w:ascii="Times New Roman" w:cs="Times New Roman" w:eastAsia="Times New Roman" w:hAnsi="Times New Roman"/>
          <w:sz w:val="20"/>
          <w:szCs w:val="20"/>
          <w:color w:val="auto"/>
        </w:rPr>
        <w:t>de referencia a partir de</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imágenes digitalizadas. El archivo de salida está en formato tps y se puede utilizar como entrada para otros programas de esta serie (tpsRelw, tpsRegr, etc.) (Rohlf, 2010).</w:t>
      </w:r>
    </w:p>
    <w:p>
      <w:pPr>
        <w:spacing w:after="0" w:line="251" w:lineRule="exact"/>
        <w:rPr>
          <w:sz w:val="20"/>
          <w:szCs w:val="20"/>
          <w:color w:val="auto"/>
        </w:rPr>
      </w:pPr>
    </w:p>
    <w:p>
      <w:pPr>
        <w:jc w:val="both"/>
        <w:spacing w:after="0" w:line="315" w:lineRule="auto"/>
        <w:rPr>
          <w:sz w:val="20"/>
          <w:szCs w:val="20"/>
          <w:color w:val="auto"/>
        </w:rPr>
      </w:pPr>
      <w:r>
        <w:rPr>
          <w:rFonts w:ascii="Times New Roman" w:cs="Times New Roman" w:eastAsia="Times New Roman" w:hAnsi="Times New Roman"/>
          <w:sz w:val="22"/>
          <w:szCs w:val="22"/>
          <w:i w:val="1"/>
          <w:iCs w:val="1"/>
          <w:color w:val="auto"/>
        </w:rPr>
        <w:t xml:space="preserve">tpsUtil: </w:t>
      </w:r>
      <w:r>
        <w:rPr>
          <w:rFonts w:ascii="Times New Roman" w:cs="Times New Roman" w:eastAsia="Times New Roman" w:hAnsi="Times New Roman"/>
          <w:sz w:val="22"/>
          <w:szCs w:val="22"/>
          <w:color w:val="auto"/>
        </w:rPr>
        <w:t>programa que administra las imágenes para crear archivos tps, conversión de</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archivos diversos y otras funciones que permiten manipular los archivos de tps que se usan en la serie de programas tps (Rohlf, 2004).</w:t>
      </w:r>
    </w:p>
    <w:p>
      <w:pPr>
        <w:spacing w:after="0" w:line="200" w:lineRule="exact"/>
        <w:rPr>
          <w:sz w:val="20"/>
          <w:szCs w:val="20"/>
          <w:color w:val="auto"/>
        </w:rPr>
      </w:pPr>
    </w:p>
    <w:p>
      <w:pPr>
        <w:spacing w:after="0" w:line="200" w:lineRule="exact"/>
        <w:rPr>
          <w:sz w:val="20"/>
          <w:szCs w:val="20"/>
          <w:color w:val="auto"/>
        </w:rPr>
      </w:pPr>
    </w:p>
    <w:p>
      <w:pPr>
        <w:spacing w:after="0" w:line="204"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Referencias</w:t>
      </w:r>
    </w:p>
    <w:p>
      <w:pPr>
        <w:spacing w:after="0" w:line="387"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Bookstein, F. L. (1982), “Foundations of morphometrics”, </w:t>
      </w:r>
      <w:r>
        <w:rPr>
          <w:rFonts w:ascii="Times New Roman" w:cs="Times New Roman" w:eastAsia="Times New Roman" w:hAnsi="Times New Roman"/>
          <w:sz w:val="22"/>
          <w:szCs w:val="22"/>
          <w:i w:val="1"/>
          <w:iCs w:val="1"/>
          <w:color w:val="auto"/>
        </w:rPr>
        <w:t>Annual Review of Ecology</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and Systematics</w:t>
      </w:r>
      <w:r>
        <w:rPr>
          <w:rFonts w:ascii="Times New Roman" w:cs="Times New Roman" w:eastAsia="Times New Roman" w:hAnsi="Times New Roman"/>
          <w:sz w:val="22"/>
          <w:szCs w:val="22"/>
          <w:color w:val="auto"/>
        </w:rPr>
        <w:t>, 13, pp. 451-470.</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 (1991), </w:t>
      </w:r>
      <w:r>
        <w:rPr>
          <w:rFonts w:ascii="Times New Roman" w:cs="Times New Roman" w:eastAsia="Times New Roman" w:hAnsi="Times New Roman"/>
          <w:sz w:val="22"/>
          <w:szCs w:val="22"/>
          <w:i w:val="1"/>
          <w:iCs w:val="1"/>
          <w:color w:val="auto"/>
        </w:rPr>
        <w:t>Morphometric tools for landmark data: geometry and biology,</w:t>
      </w:r>
      <w:r>
        <w:rPr>
          <w:rFonts w:ascii="Times New Roman" w:cs="Times New Roman" w:eastAsia="Times New Roman" w:hAnsi="Times New Roman"/>
          <w:sz w:val="22"/>
          <w:szCs w:val="22"/>
          <w:color w:val="auto"/>
        </w:rPr>
        <w:t xml:space="preserve"> Nueva York, Cambridge University Press.</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Rohlf, F. J. (1990), “Rotational fit (Procrustes) methods”, en F. J. Rohlf y F. L. Bookstein (eds), </w:t>
      </w:r>
      <w:r>
        <w:rPr>
          <w:rFonts w:ascii="Times New Roman" w:cs="Times New Roman" w:eastAsia="Times New Roman" w:hAnsi="Times New Roman"/>
          <w:sz w:val="22"/>
          <w:szCs w:val="22"/>
          <w:i w:val="1"/>
          <w:iCs w:val="1"/>
          <w:color w:val="auto"/>
        </w:rPr>
        <w:t>Proceedings of the Michigan morphometrics workshop</w:t>
      </w:r>
      <w:r>
        <w:rPr>
          <w:rFonts w:ascii="Times New Roman" w:cs="Times New Roman" w:eastAsia="Times New Roman" w:hAnsi="Times New Roman"/>
          <w:sz w:val="22"/>
          <w:szCs w:val="22"/>
          <w:color w:val="auto"/>
        </w:rPr>
        <w:t xml:space="preserve"> [Special publication No. 2], Ann Arbor, Michigan, The University of Michigan Museum of Zoology, pp. 227-236.</w:t>
      </w:r>
    </w:p>
    <w:p>
      <w:pPr>
        <w:spacing w:after="0" w:line="2" w:lineRule="exact"/>
        <w:rPr>
          <w:sz w:val="20"/>
          <w:szCs w:val="20"/>
          <w:color w:val="auto"/>
        </w:rPr>
      </w:pPr>
    </w:p>
    <w:p>
      <w:pPr>
        <w:jc w:val="both"/>
        <w:ind w:left="360" w:hanging="360"/>
        <w:spacing w:after="0" w:line="318" w:lineRule="auto"/>
        <w:rPr>
          <w:sz w:val="20"/>
          <w:szCs w:val="20"/>
          <w:color w:val="auto"/>
        </w:rPr>
      </w:pPr>
      <w:r>
        <w:rPr>
          <w:rFonts w:ascii="Times New Roman" w:cs="Times New Roman" w:eastAsia="Times New Roman" w:hAnsi="Times New Roman"/>
          <w:sz w:val="21"/>
          <w:szCs w:val="21"/>
          <w:color w:val="auto"/>
        </w:rPr>
        <w:t>——— (2004) tpsUtil versión 2.05 ©, Department of Ecology and Evolution, State University of New York at Stony Brook, NY 11794-5245, http://life.bio.sunysb. edu/morph/soft-utility.html, consultado el 13 de marzo de 2010.</w:t>
      </w:r>
    </w:p>
    <w:p>
      <w:pPr>
        <w:jc w:val="both"/>
        <w:ind w:left="360" w:hanging="360"/>
        <w:spacing w:after="0" w:line="318" w:lineRule="auto"/>
        <w:rPr>
          <w:sz w:val="20"/>
          <w:szCs w:val="20"/>
          <w:color w:val="auto"/>
        </w:rPr>
      </w:pPr>
      <w:r>
        <w:rPr>
          <w:rFonts w:ascii="Times New Roman" w:cs="Times New Roman" w:eastAsia="Times New Roman" w:hAnsi="Times New Roman"/>
          <w:sz w:val="21"/>
          <w:szCs w:val="21"/>
          <w:color w:val="auto"/>
        </w:rPr>
        <w:t>——— (2010), tpsDig</w:t>
      </w:r>
      <w:r>
        <w:rPr>
          <w:rFonts w:ascii="Times New Roman" w:cs="Times New Roman" w:eastAsia="Times New Roman" w:hAnsi="Times New Roman"/>
          <w:sz w:val="21"/>
          <w:szCs w:val="21"/>
          <w:i w:val="1"/>
          <w:iCs w:val="1"/>
          <w:color w:val="auto"/>
        </w:rPr>
        <w:t>,</w:t>
      </w:r>
      <w:r>
        <w:rPr>
          <w:rFonts w:ascii="Times New Roman" w:cs="Times New Roman" w:eastAsia="Times New Roman" w:hAnsi="Times New Roman"/>
          <w:sz w:val="21"/>
          <w:szCs w:val="21"/>
          <w:color w:val="auto"/>
        </w:rPr>
        <w:t xml:space="preserve"> versión 2.15 ©, Department of Ecology and Evolution, State University. of New York at Stony Brook, NY 11794-5245, http://life.bio.sunysb. edu/morph/soft-dataacq.html, consultado el 13 de marzo de 2010.</w:t>
      </w:r>
    </w:p>
    <w:p>
      <w:pPr>
        <w:jc w:val="both"/>
        <w:ind w:left="360" w:hanging="360"/>
        <w:spacing w:after="0" w:line="303" w:lineRule="auto"/>
        <w:rPr>
          <w:sz w:val="20"/>
          <w:szCs w:val="20"/>
          <w:color w:val="auto"/>
        </w:rPr>
      </w:pPr>
      <w:r>
        <w:rPr>
          <w:rFonts w:ascii="Times New Roman" w:cs="Times New Roman" w:eastAsia="Times New Roman" w:hAnsi="Times New Roman"/>
          <w:sz w:val="22"/>
          <w:szCs w:val="22"/>
          <w:color w:val="auto"/>
        </w:rPr>
        <w:t xml:space="preserve">——— y D. E. Slice (1990), “Extensions of the Procrustes method for the optimal superimposition of landmarks”, </w:t>
      </w:r>
      <w:r>
        <w:rPr>
          <w:rFonts w:ascii="Times New Roman" w:cs="Times New Roman" w:eastAsia="Times New Roman" w:hAnsi="Times New Roman"/>
          <w:sz w:val="22"/>
          <w:szCs w:val="22"/>
          <w:i w:val="1"/>
          <w:iCs w:val="1"/>
          <w:color w:val="auto"/>
        </w:rPr>
        <w:t>Systematic Zool.</w:t>
      </w:r>
      <w:r>
        <w:rPr>
          <w:rFonts w:ascii="Times New Roman" w:cs="Times New Roman" w:eastAsia="Times New Roman" w:hAnsi="Times New Roman"/>
          <w:sz w:val="22"/>
          <w:szCs w:val="22"/>
          <w:color w:val="auto"/>
        </w:rPr>
        <w:t>, 39, pp. 40-59.</w:t>
      </w:r>
    </w:p>
    <w:p>
      <w:pPr>
        <w:spacing w:after="0" w:line="1" w:lineRule="exact"/>
        <w:rPr>
          <w:sz w:val="20"/>
          <w:szCs w:val="20"/>
          <w:color w:val="auto"/>
        </w:rPr>
      </w:pPr>
    </w:p>
    <w:p>
      <w:pPr>
        <w:jc w:val="both"/>
        <w:ind w:left="360" w:hanging="359"/>
        <w:spacing w:after="0" w:line="333" w:lineRule="auto"/>
        <w:rPr>
          <w:sz w:val="20"/>
          <w:szCs w:val="20"/>
          <w:color w:val="auto"/>
        </w:rPr>
      </w:pPr>
      <w:r>
        <w:rPr>
          <w:rFonts w:ascii="Times New Roman" w:cs="Times New Roman" w:eastAsia="Times New Roman" w:hAnsi="Times New Roman"/>
          <w:sz w:val="20"/>
          <w:szCs w:val="20"/>
          <w:color w:val="auto"/>
        </w:rPr>
        <w:t>Sheets, H. D. (2001), Software IMP © (Integrated Mprphometric Package), Deparment of Physics, Canisius College, Bufalo, NY 1408, Deparment of Geology, State University of New York at Buffalo, Buffalo NY 14260, http://www.canisius.</w:t>
      </w:r>
    </w:p>
    <w:p>
      <w:pPr>
        <w:spacing w:after="0" w:line="3" w:lineRule="exact"/>
        <w:rPr>
          <w:sz w:val="20"/>
          <w:szCs w:val="20"/>
          <w:color w:val="auto"/>
        </w:rPr>
      </w:pPr>
    </w:p>
    <w:p>
      <w:pPr>
        <w:ind w:left="360"/>
        <w:spacing w:after="0"/>
        <w:rPr>
          <w:sz w:val="20"/>
          <w:szCs w:val="20"/>
          <w:color w:val="auto"/>
        </w:rPr>
      </w:pPr>
      <w:r>
        <w:rPr>
          <w:rFonts w:ascii="Arial" w:cs="Arial" w:eastAsia="Arial" w:hAnsi="Arial"/>
          <w:sz w:val="22"/>
          <w:szCs w:val="22"/>
          <w:color w:val="auto"/>
        </w:rPr>
        <w:t>edu/~sheets/morphsoft.html, consultado el 13 de marzo de 2010.</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46" w:name="page47"/>
    <w:bookmarkEnd w:id="46"/>
    <w:p>
      <w:pPr>
        <w:spacing w:after="0" w:line="239" w:lineRule="auto"/>
        <w:tabs>
          <w:tab w:leader="none" w:pos="1940" w:val="left"/>
        </w:tabs>
        <w:rPr>
          <w:sz w:val="20"/>
          <w:szCs w:val="20"/>
          <w:color w:val="auto"/>
        </w:rPr>
      </w:pPr>
      <w:r>
        <w:rPr>
          <w:rFonts w:ascii="Arial Narrow" w:cs="Arial Narrow" w:eastAsia="Arial Narrow" w:hAnsi="Arial Narrow"/>
          <w:sz w:val="16"/>
          <w:szCs w:val="16"/>
          <w:color w:val="auto"/>
        </w:rPr>
        <w:t>46</w:t>
      </w:r>
      <w:r>
        <w:rPr>
          <w:sz w:val="20"/>
          <w:szCs w:val="20"/>
          <w:color w:val="auto"/>
        </w:rPr>
        <w:tab/>
      </w:r>
      <w:r>
        <w:rPr>
          <w:rFonts w:ascii="Arial Narrow" w:cs="Arial Narrow" w:eastAsia="Arial Narrow" w:hAnsi="Arial Narrow"/>
          <w:sz w:val="11"/>
          <w:szCs w:val="11"/>
          <w:color w:val="auto"/>
        </w:rPr>
        <w:t>análisis ecomorfológicos y estudios de caso en méxico</w:t>
      </w:r>
    </w:p>
    <w:p>
      <w:pPr>
        <w:spacing w:after="0" w:line="200" w:lineRule="exact"/>
        <w:rPr>
          <w:sz w:val="20"/>
          <w:szCs w:val="20"/>
          <w:color w:val="auto"/>
        </w:rPr>
      </w:pPr>
    </w:p>
    <w:p>
      <w:pPr>
        <w:spacing w:after="0" w:line="376"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Slice, D. E. (2007), “Geometric morphometrics”, </w:t>
      </w:r>
      <w:r>
        <w:rPr>
          <w:rFonts w:ascii="Times New Roman" w:cs="Times New Roman" w:eastAsia="Times New Roman" w:hAnsi="Times New Roman"/>
          <w:sz w:val="22"/>
          <w:szCs w:val="22"/>
          <w:i w:val="1"/>
          <w:iCs w:val="1"/>
          <w:color w:val="auto"/>
        </w:rPr>
        <w:t>Annual Review of Anthropology,</w:t>
      </w:r>
      <w:r>
        <w:rPr>
          <w:rFonts w:ascii="Times New Roman" w:cs="Times New Roman" w:eastAsia="Times New Roman" w:hAnsi="Times New Roman"/>
          <w:sz w:val="22"/>
          <w:szCs w:val="22"/>
          <w:color w:val="auto"/>
        </w:rPr>
        <w:t xml:space="preserve"> 36, pp. 261-281.</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 F. L. Bookstein, L. F. Marcus y F. J. Rohlf (1996), “Appendix I: a glossary for geometric morphometrics”, en L. F. Marcus, M. Corti, A. Loy, G. J. P. Naylor y D. E. Slice (eds), </w:t>
      </w:r>
      <w:r>
        <w:rPr>
          <w:rFonts w:ascii="Times New Roman" w:cs="Times New Roman" w:eastAsia="Times New Roman" w:hAnsi="Times New Roman"/>
          <w:sz w:val="22"/>
          <w:szCs w:val="22"/>
          <w:i w:val="1"/>
          <w:iCs w:val="1"/>
          <w:color w:val="auto"/>
        </w:rPr>
        <w:t>Advances in morphometrics,</w:t>
      </w:r>
      <w:r>
        <w:rPr>
          <w:rFonts w:ascii="Times New Roman" w:cs="Times New Roman" w:eastAsia="Times New Roman" w:hAnsi="Times New Roman"/>
          <w:sz w:val="22"/>
          <w:szCs w:val="22"/>
          <w:color w:val="auto"/>
        </w:rPr>
        <w:t xml:space="preserve"> Nueva York, Plenum Press, pp. 531-555.</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Van der Molen, S., N. Martínez Abadías y R. González-José (2007), </w:t>
      </w:r>
      <w:r>
        <w:rPr>
          <w:rFonts w:ascii="Times New Roman" w:cs="Times New Roman" w:eastAsia="Times New Roman" w:hAnsi="Times New Roman"/>
          <w:sz w:val="22"/>
          <w:szCs w:val="22"/>
          <w:i w:val="1"/>
          <w:iCs w:val="1"/>
          <w:color w:val="auto"/>
        </w:rPr>
        <w:t>Introducción a la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morfometría geométrica: curso teórico-práctico</w:t>
      </w:r>
      <w:r>
        <w:rPr>
          <w:rFonts w:ascii="Times New Roman" w:cs="Times New Roman" w:eastAsia="Times New Roman" w:hAnsi="Times New Roman"/>
          <w:sz w:val="22"/>
          <w:szCs w:val="22"/>
          <w:color w:val="auto"/>
        </w:rPr>
        <w:t>, Puerto Madryn, Barcelona, Cenpat/</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Conicet/Universitat de Barcelona.</w:t>
      </w:r>
    </w:p>
    <w:p>
      <w:pPr>
        <w:spacing w:after="0" w:line="2" w:lineRule="exact"/>
        <w:rPr>
          <w:sz w:val="20"/>
          <w:szCs w:val="20"/>
          <w:color w:val="auto"/>
        </w:rPr>
      </w:pPr>
    </w:p>
    <w:p>
      <w:pPr>
        <w:jc w:val="both"/>
        <w:ind w:left="360" w:hanging="359"/>
        <w:spacing w:after="0" w:line="416" w:lineRule="auto"/>
        <w:rPr>
          <w:sz w:val="20"/>
          <w:szCs w:val="20"/>
          <w:color w:val="auto"/>
        </w:rPr>
      </w:pPr>
      <w:r>
        <w:rPr>
          <w:rFonts w:ascii="Times New Roman" w:cs="Times New Roman" w:eastAsia="Times New Roman" w:hAnsi="Times New Roman"/>
          <w:sz w:val="19"/>
          <w:szCs w:val="19"/>
          <w:color w:val="auto"/>
        </w:rPr>
        <w:t xml:space="preserve">Zelditch, M. L., D. L. Swiderski, H. D. Sheets y W. L. Fink (2004), </w:t>
      </w:r>
      <w:r>
        <w:rPr>
          <w:rFonts w:ascii="Times New Roman" w:cs="Times New Roman" w:eastAsia="Times New Roman" w:hAnsi="Times New Roman"/>
          <w:sz w:val="19"/>
          <w:szCs w:val="19"/>
          <w:i w:val="1"/>
          <w:iCs w:val="1"/>
          <w:color w:val="auto"/>
        </w:rPr>
        <w:t>Geometric</w:t>
      </w:r>
      <w:r>
        <w:rPr>
          <w:rFonts w:ascii="Times New Roman" w:cs="Times New Roman" w:eastAsia="Times New Roman" w:hAnsi="Times New Roman"/>
          <w:sz w:val="19"/>
          <w:szCs w:val="19"/>
          <w:color w:val="auto"/>
        </w:rPr>
        <w:t xml:space="preserve"> </w:t>
      </w:r>
      <w:r>
        <w:rPr>
          <w:rFonts w:ascii="Times New Roman" w:cs="Times New Roman" w:eastAsia="Times New Roman" w:hAnsi="Times New Roman"/>
          <w:sz w:val="19"/>
          <w:szCs w:val="19"/>
          <w:i w:val="1"/>
          <w:iCs w:val="1"/>
          <w:color w:val="auto"/>
        </w:rPr>
        <w:t>morphometric for biologists: a primer</w:t>
      </w:r>
      <w:r>
        <w:rPr>
          <w:rFonts w:ascii="Times New Roman" w:cs="Times New Roman" w:eastAsia="Times New Roman" w:hAnsi="Times New Roman"/>
          <w:sz w:val="19"/>
          <w:szCs w:val="19"/>
          <w:color w:val="auto"/>
        </w:rPr>
        <w:t>, San Diego, California, Elsevier Academic Press.</w:t>
      </w:r>
    </w:p>
    <w:p>
      <w:pPr>
        <w:sectPr>
          <w:pgSz w:w="9360" w:h="13039" w:orient="portrait"/>
          <w:cols w:equalWidth="0" w:num="1">
            <w:col w:w="7200"/>
          </w:cols>
          <w:pgMar w:left="1080" w:top="878"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7"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90" name="Shape 9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90" o:spid="_x0000_s111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91" name="Shape 9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91" o:spid="_x0000_s111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92" name="Shape 9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92" o:spid="_x0000_s111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878" w:right="1780" w:bottom="437" w:gutter="0" w:footer="0" w:header="0"/>
          <w:type w:val="continuous"/>
        </w:sectPr>
      </w:pPr>
    </w:p>
    <w:bookmarkStart w:id="47" w:name="page48"/>
    <w:bookmarkEnd w:id="47"/>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2" w:lineRule="exact"/>
        <w:rPr>
          <w:sz w:val="20"/>
          <w:szCs w:val="20"/>
          <w:color w:val="auto"/>
        </w:rPr>
      </w:pPr>
    </w:p>
    <w:p>
      <w:pPr>
        <w:spacing w:after="0"/>
        <w:rPr>
          <w:sz w:val="20"/>
          <w:szCs w:val="20"/>
          <w:color w:val="auto"/>
        </w:rPr>
      </w:pPr>
      <w:r>
        <w:rPr>
          <w:rFonts w:ascii="Times New Roman" w:cs="Times New Roman" w:eastAsia="Times New Roman" w:hAnsi="Times New Roman"/>
          <w:sz w:val="30"/>
          <w:szCs w:val="30"/>
          <w:color w:val="auto"/>
        </w:rPr>
        <w:t>ESTUDIOS DE CASO</w:t>
      </w:r>
    </w:p>
    <w:p>
      <w:pPr>
        <w:spacing w:after="0"/>
        <w:rPr>
          <w:sz w:val="20"/>
          <w:szCs w:val="20"/>
          <w:color w:val="auto"/>
        </w:rPr>
        <w:sectPr>
          <w:pgSz w:w="9360" w:h="13039" w:orient="portrait"/>
          <w:cols w:equalWidth="0" w:num="1">
            <w:col w:w="2940"/>
          </w:cols>
          <w:pgMar w:left="3200" w:top="1440" w:right="322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-1346200</wp:posOffset>
                </wp:positionH>
                <wp:positionV relativeFrom="paragraph">
                  <wp:posOffset>73660</wp:posOffset>
                </wp:positionV>
                <wp:extent cx="4568190" cy="0"/>
                <wp:wrapNone/>
                <wp:docPr id="93" name="Shape 9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568190" cy="0"/>
                        </a:xfrm>
                        <a:prstGeom prst="line">
                          <a:avLst/>
                        </a:prstGeom>
                        <a:solidFill>
                          <a:srgbClr val="FFFFFF"/>
                        </a:solidFill>
                        <a:ln w="6350">
                          <a:solidFill>
                            <a:srgbClr val="CCCCCC"/>
                          </a:solidFill>
                          <a:miter lim="800000"/>
                          <a:headEnd/>
                          <a:tailEnd/>
                        </a:ln>
                      </wps:spPr>
                      <wps:bodyPr/>
                    </wps:wsp>
                  </a:graphicData>
                </a:graphic>
              </wp:anchor>
            </w:drawing>
          </mc:Choice>
          <mc:Fallback>
            <w:pict>
              <v:line id="Shape 93" o:spid="_x0000_s111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6pt,5.8pt" to="253.7pt,5.8pt" o:allowincell="f" strokecolor="#CCCCCC" strokeweight="0.5pt"/>
            </w:pict>
          </mc:Fallback>
        </mc:AlternateContent>
      </w:r>
    </w:p>
    <w:bookmarkStart w:id="48" w:name="page49"/>
    <w:bookmarkEnd w:id="48"/>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2"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94" name="Shape 9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94" o:spid="_x0000_s111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95" name="Shape 9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95" o:spid="_x0000_s112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96" name="Shape 9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96" o:spid="_x0000_s112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1440" w:right="1780" w:bottom="437" w:gutter="0" w:footer="0" w:header="0"/>
        </w:sectPr>
      </w:pPr>
    </w:p>
    <w:bookmarkStart w:id="49" w:name="page50"/>
    <w:bookmarkEnd w:id="49"/>
    <w:p>
      <w:pPr>
        <w:spacing w:after="0" w:line="194" w:lineRule="exact"/>
        <w:rPr>
          <w:sz w:val="20"/>
          <w:szCs w:val="20"/>
          <w:color w:val="auto"/>
        </w:rPr>
      </w:pPr>
    </w:p>
    <w:p>
      <w:pPr>
        <w:ind w:left="960"/>
        <w:spacing w:after="0"/>
        <w:rPr>
          <w:sz w:val="20"/>
          <w:szCs w:val="20"/>
          <w:color w:val="auto"/>
        </w:rPr>
      </w:pPr>
      <w:r>
        <w:rPr>
          <w:rFonts w:ascii="Times New Roman" w:cs="Times New Roman" w:eastAsia="Times New Roman" w:hAnsi="Times New Roman"/>
          <w:sz w:val="24"/>
          <w:szCs w:val="24"/>
          <w:color w:val="auto"/>
        </w:rPr>
        <w:t>MORFOLOGÍA CORPORAL Y COMPARACIÓN</w:t>
      </w:r>
    </w:p>
    <w:p>
      <w:pPr>
        <w:spacing w:after="0" w:line="44" w:lineRule="exact"/>
        <w:rPr>
          <w:sz w:val="20"/>
          <w:szCs w:val="20"/>
          <w:color w:val="auto"/>
        </w:rPr>
      </w:pPr>
    </w:p>
    <w:p>
      <w:pPr>
        <w:ind w:left="380"/>
        <w:spacing w:after="0"/>
        <w:rPr>
          <w:sz w:val="20"/>
          <w:szCs w:val="20"/>
          <w:color w:val="auto"/>
        </w:rPr>
      </w:pPr>
      <w:r>
        <w:rPr>
          <w:rFonts w:ascii="Times New Roman" w:cs="Times New Roman" w:eastAsia="Times New Roman" w:hAnsi="Times New Roman"/>
          <w:sz w:val="24"/>
          <w:szCs w:val="24"/>
          <w:color w:val="auto"/>
        </w:rPr>
        <w:t>DE LA VELOCIDAD DE ESCAPE EN ALGUNAS ESPECIES</w:t>
      </w:r>
    </w:p>
    <w:p>
      <w:pPr>
        <w:spacing w:after="0" w:line="44" w:lineRule="exact"/>
        <w:rPr>
          <w:sz w:val="20"/>
          <w:szCs w:val="20"/>
          <w:color w:val="auto"/>
        </w:rPr>
      </w:pPr>
    </w:p>
    <w:p>
      <w:pPr>
        <w:ind w:left="1820"/>
        <w:spacing w:after="0"/>
        <w:rPr>
          <w:sz w:val="20"/>
          <w:szCs w:val="20"/>
          <w:color w:val="auto"/>
        </w:rPr>
      </w:pPr>
      <w:r>
        <w:rPr>
          <w:rFonts w:ascii="Times New Roman" w:cs="Times New Roman" w:eastAsia="Times New Roman" w:hAnsi="Times New Roman"/>
          <w:sz w:val="24"/>
          <w:szCs w:val="24"/>
          <w:color w:val="auto"/>
        </w:rPr>
        <w:t>DE LACERTILIOS MEXICANOS</w:t>
      </w:r>
    </w:p>
    <w:p>
      <w:pPr>
        <w:spacing w:after="0" w:line="200" w:lineRule="exact"/>
        <w:rPr>
          <w:sz w:val="20"/>
          <w:szCs w:val="20"/>
          <w:color w:val="auto"/>
        </w:rPr>
      </w:pPr>
    </w:p>
    <w:p>
      <w:pPr>
        <w:spacing w:after="0" w:line="201" w:lineRule="exact"/>
        <w:rPr>
          <w:sz w:val="20"/>
          <w:szCs w:val="20"/>
          <w:color w:val="auto"/>
        </w:rPr>
      </w:pPr>
    </w:p>
    <w:p>
      <w:pPr>
        <w:ind w:left="5560"/>
        <w:spacing w:after="0"/>
        <w:rPr>
          <w:sz w:val="20"/>
          <w:szCs w:val="20"/>
          <w:color w:val="auto"/>
        </w:rPr>
      </w:pPr>
      <w:r>
        <w:rPr>
          <w:rFonts w:ascii="Times New Roman" w:cs="Times New Roman" w:eastAsia="Times New Roman" w:hAnsi="Times New Roman"/>
          <w:sz w:val="19"/>
          <w:szCs w:val="19"/>
          <w:i w:val="1"/>
          <w:iCs w:val="1"/>
          <w:color w:val="auto"/>
        </w:rPr>
        <w:t>O. Suárez-Rodríguez</w:t>
      </w:r>
    </w:p>
    <w:p>
      <w:pPr>
        <w:spacing w:after="0" w:line="102"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0"/>
          <w:szCs w:val="20"/>
          <w:i w:val="1"/>
          <w:iCs w:val="1"/>
          <w:color w:val="auto"/>
        </w:rPr>
        <w:t>F. Rodríguez-Romero</w:t>
      </w:r>
    </w:p>
    <w:p>
      <w:pPr>
        <w:spacing w:after="0" w:line="90"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0"/>
          <w:szCs w:val="20"/>
          <w:i w:val="1"/>
          <w:iCs w:val="1"/>
          <w:color w:val="auto"/>
        </w:rPr>
        <w:t>F. Méndez-Sánchez</w:t>
      </w:r>
    </w:p>
    <w:p>
      <w:pPr>
        <w:spacing w:after="0" w:line="200" w:lineRule="exact"/>
        <w:rPr>
          <w:sz w:val="20"/>
          <w:szCs w:val="20"/>
          <w:color w:val="auto"/>
        </w:rPr>
      </w:pPr>
    </w:p>
    <w:p>
      <w:pPr>
        <w:spacing w:after="0" w:line="200" w:lineRule="exact"/>
        <w:rPr>
          <w:sz w:val="20"/>
          <w:szCs w:val="20"/>
          <w:color w:val="auto"/>
        </w:rPr>
      </w:pPr>
    </w:p>
    <w:p>
      <w:pPr>
        <w:spacing w:after="0" w:line="332"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Resumen</w:t>
      </w:r>
    </w:p>
    <w:p>
      <w:pPr>
        <w:spacing w:after="0" w:line="387" w:lineRule="exact"/>
        <w:rPr>
          <w:sz w:val="20"/>
          <w:szCs w:val="20"/>
          <w:color w:val="auto"/>
        </w:rPr>
      </w:pPr>
    </w:p>
    <w:p>
      <w:pPr>
        <w:jc w:val="both"/>
        <w:spacing w:after="0" w:line="336" w:lineRule="auto"/>
        <w:rPr>
          <w:sz w:val="20"/>
          <w:szCs w:val="20"/>
          <w:color w:val="auto"/>
        </w:rPr>
      </w:pPr>
      <w:r>
        <w:rPr>
          <w:rFonts w:ascii="Times New Roman" w:cs="Times New Roman" w:eastAsia="Times New Roman" w:hAnsi="Times New Roman"/>
          <w:sz w:val="20"/>
          <w:szCs w:val="20"/>
          <w:color w:val="auto"/>
        </w:rPr>
        <w:t>La depredación es una fuerza selectiva que influye en la morfología, fisiología, conducta y características de historia de vida de las especies en poblaciones naturales. Las lagartijas poseen una variedad de estrategias antidepredadoras y de escape, como ataxia, cripsis, mimetismo, búsqueda de refugios, despliegues de amenaza, sonidos, autotomía caudal, velocidad de escape y velocidad de reacción rápida, la cual es una de las conductas más comunes que usan los reptiles para escapar. Se ha observado que factores como el estadio reproductor y la condición de la cola pueden moldear la velocidad de escape, reduciendo considerablemente la capacidad del desempeño locomotor en algunas especies de lacertilios, lo que se ve reflejado en velocidades de escape lentas y, por lo tanto, mayor susceptibilidad a los depredadores. En el presente trabajo se comparó la velocidad de escape de diversas especies de lacertilios mexicanos, las cuales mostraron una conformación morfológica diferente y una relación entre la velocidad de escape y factores como la altitud y el tipo de hábitat. La prueba consistió en recolectar individuos de siete especies de lacertilios de tres distintas familias para que en condiciones controladas de laboratorio a cada uno se le tomaran videos sobre un carril de madera de 200 x 20 x 20 cm de longitud y así conocer la velocidad de escape con respecto a sus medidas morfométricas. Las siete especies presentaron diferencias significativas en morfología y velocidad. Los resultados indican que la variación en la morfología de las especies influye en su velocidad de escape y soportan la hipótesis de velocidad de escape y forma del cuerpo,</w:t>
      </w:r>
    </w:p>
    <w:p>
      <w:pPr>
        <w:sectPr>
          <w:pgSz w:w="9360" w:h="13039" w:orient="portrait"/>
          <w:cols w:equalWidth="0" w:num="1">
            <w:col w:w="7200"/>
          </w:cols>
          <w:pgMar w:left="1080" w:top="1440" w:right="1080" w:bottom="437" w:gutter="0" w:footer="0" w:header="0"/>
        </w:sectPr>
      </w:pPr>
    </w:p>
    <w:p>
      <w:pPr>
        <w:spacing w:after="0" w:line="200" w:lineRule="exact"/>
        <w:rPr>
          <w:sz w:val="20"/>
          <w:szCs w:val="20"/>
          <w:color w:val="auto"/>
        </w:rPr>
      </w:pPr>
    </w:p>
    <w:p>
      <w:pPr>
        <w:spacing w:after="0" w:line="310"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1440" w:right="1080" w:bottom="437" w:gutter="0" w:footer="0" w:header="0"/>
          <w:type w:val="continuous"/>
        </w:sectPr>
      </w:pPr>
    </w:p>
    <w:bookmarkStart w:id="50" w:name="page51"/>
    <w:bookmarkEnd w:id="50"/>
    <w:p>
      <w:pPr>
        <w:spacing w:after="0"/>
        <w:tabs>
          <w:tab w:leader="none" w:pos="1960" w:val="left"/>
          <w:tab w:leader="none" w:pos="3100" w:val="left"/>
          <w:tab w:leader="none" w:pos="4260" w:val="left"/>
        </w:tabs>
        <w:rPr>
          <w:sz w:val="20"/>
          <w:szCs w:val="20"/>
          <w:color w:val="auto"/>
        </w:rPr>
      </w:pPr>
      <w:r>
        <w:rPr>
          <w:rFonts w:ascii="Arial Narrow" w:cs="Arial Narrow" w:eastAsia="Arial Narrow" w:hAnsi="Arial Narrow"/>
          <w:sz w:val="16"/>
          <w:szCs w:val="16"/>
          <w:color w:val="auto"/>
        </w:rPr>
        <w:t>50</w:t>
      </w:r>
      <w:r>
        <w:rPr>
          <w:sz w:val="20"/>
          <w:szCs w:val="20"/>
          <w:color w:val="auto"/>
        </w:rPr>
        <w:tab/>
      </w: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1945640</wp:posOffset>
                </wp:positionH>
                <wp:positionV relativeFrom="paragraph">
                  <wp:posOffset>-76835</wp:posOffset>
                </wp:positionV>
                <wp:extent cx="0" cy="88900"/>
                <wp:wrapNone/>
                <wp:docPr id="97" name="Shape 9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97" o:spid="_x0000_s112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3.2pt,-6.0499pt" to="153.2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2689225</wp:posOffset>
                </wp:positionH>
                <wp:positionV relativeFrom="paragraph">
                  <wp:posOffset>-76835</wp:posOffset>
                </wp:positionV>
                <wp:extent cx="0" cy="88900"/>
                <wp:wrapNone/>
                <wp:docPr id="98" name="Shape 9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98" o:spid="_x0000_s112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1.75pt,-6.0499pt" to="211.75pt,0.95pt" o:allowincell="f" strokecolor="#000000" strokeweight="0.4pt"/>
            </w:pict>
          </mc:Fallback>
        </mc:AlternateContent>
      </w:r>
    </w:p>
    <w:p>
      <w:pPr>
        <w:spacing w:after="0" w:line="347" w:lineRule="exact"/>
        <w:rPr>
          <w:sz w:val="20"/>
          <w:szCs w:val="20"/>
          <w:color w:val="auto"/>
        </w:rPr>
      </w:pPr>
    </w:p>
    <w:p>
      <w:pPr>
        <w:jc w:val="both"/>
        <w:spacing w:after="0" w:line="315" w:lineRule="auto"/>
        <w:rPr>
          <w:sz w:val="20"/>
          <w:szCs w:val="20"/>
          <w:color w:val="auto"/>
        </w:rPr>
      </w:pPr>
      <w:r>
        <w:rPr>
          <w:rFonts w:ascii="Times New Roman" w:cs="Times New Roman" w:eastAsia="Times New Roman" w:hAnsi="Times New Roman"/>
          <w:sz w:val="22"/>
          <w:szCs w:val="22"/>
          <w:color w:val="auto"/>
        </w:rPr>
        <w:t>además de sugerir que hay relación significativa entre la velocidad y la longitud de las extremidades: las especies con extremidades más largas presentan mayor velocidad de escape.</w:t>
      </w:r>
    </w:p>
    <w:p>
      <w:pPr>
        <w:spacing w:after="0" w:line="200" w:lineRule="exact"/>
        <w:rPr>
          <w:sz w:val="20"/>
          <w:szCs w:val="20"/>
          <w:color w:val="auto"/>
        </w:rPr>
      </w:pPr>
    </w:p>
    <w:p>
      <w:pPr>
        <w:spacing w:after="0" w:line="200" w:lineRule="exact"/>
        <w:rPr>
          <w:sz w:val="20"/>
          <w:szCs w:val="20"/>
          <w:color w:val="auto"/>
        </w:rPr>
      </w:pPr>
    </w:p>
    <w:p>
      <w:pPr>
        <w:spacing w:after="0" w:line="204"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Introducción</w:t>
      </w:r>
    </w:p>
    <w:p>
      <w:pPr>
        <w:spacing w:after="0" w:line="387" w:lineRule="exact"/>
        <w:rPr>
          <w:sz w:val="20"/>
          <w:szCs w:val="20"/>
          <w:color w:val="auto"/>
        </w:rPr>
      </w:pPr>
    </w:p>
    <w:p>
      <w:pPr>
        <w:jc w:val="both"/>
        <w:spacing w:after="0" w:line="318" w:lineRule="auto"/>
        <w:rPr>
          <w:sz w:val="20"/>
          <w:szCs w:val="20"/>
          <w:color w:val="auto"/>
        </w:rPr>
      </w:pPr>
      <w:r>
        <w:rPr>
          <w:rFonts w:ascii="Times New Roman" w:cs="Times New Roman" w:eastAsia="Times New Roman" w:hAnsi="Times New Roman"/>
          <w:sz w:val="21"/>
          <w:szCs w:val="21"/>
          <w:color w:val="auto"/>
        </w:rPr>
        <w:t xml:space="preserve">La correlación intraespecífica o interespecífica entre morfología, conducta y ecología puede ser relevante sobre las presiones de selección en diferentes contextos ecológicos (Van Damme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1998). La sobrevivencia entre los individuos refleja una profunda variación de las características morfológicas y fisiológicas, pero la selección natural actúa integrando dichas características (Huey y Stevenson, 1979; Arnold, 1983); por ejemplo, la depredación, la estructura del hábitat y el potencial de selección sexual pueden diferir entre poblaciones.</w:t>
      </w: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Como se mencionó, la depredación es una fuerza selectiva que influye en la adecuación de las especies, favoreciendo adaptaciones que incrementan la capacidad de las presas para evitar o escapar de los depredadores (Schall y Pianka, 1980; Kats y Dill, 1998; Punzo, 2005). No obstante, también los depredadores se han adaptado para encontrar presas (Arnold, 1983; Irschick y Garland, 2001; Punzo, 2000). Es importante para todo ser viviente evaluar el riesgo de depredación cuando se aproximan depredadores potenciales y, de igual manera, seleccionar una estrategia antidepredatoria que minimice el riesgo de ser capturado (Huey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1990; Goodman, 2006).</w:t>
      </w:r>
    </w:p>
    <w:p>
      <w:pPr>
        <w:spacing w:after="0" w:line="6" w:lineRule="exact"/>
        <w:rPr>
          <w:sz w:val="20"/>
          <w:szCs w:val="20"/>
          <w:color w:val="auto"/>
        </w:rPr>
      </w:pPr>
    </w:p>
    <w:p>
      <w:pPr>
        <w:jc w:val="both"/>
        <w:ind w:firstLine="360"/>
        <w:spacing w:after="0" w:line="323" w:lineRule="auto"/>
        <w:rPr>
          <w:sz w:val="20"/>
          <w:szCs w:val="20"/>
          <w:color w:val="auto"/>
        </w:rPr>
      </w:pPr>
      <w:r>
        <w:rPr>
          <w:rFonts w:ascii="Times New Roman" w:cs="Times New Roman" w:eastAsia="Times New Roman" w:hAnsi="Times New Roman"/>
          <w:sz w:val="21"/>
          <w:szCs w:val="21"/>
          <w:color w:val="auto"/>
        </w:rPr>
        <w:t>Las lagartijas son un grupo de vertebrados que muestran una gran variación en morfología y conducta en cuanto a la función locomotora (Garland y Losos, 1994) y las estrategias antidepredatorias, que incluyen ataxia (Shine, 2003), cripsis (Pianka y Vitt, 2003), mimetismo (Vitt, 1992), búsqueda de refugios (Schall y Pianka, 1980; Greene, 1988), despliegues de amenaza (Pianka y Vitt, 2003), sonidos (Schall y Pianka, 1980), patrones de actividad que reducen la probabilidad de encontrarse con otros depredadores (Cogger, 2000), autotomía caudal (Punzo, 1982; Arnold, 1988; Schwarzkopf y Shine, 1992) y escape de rápida reacción (Shine, 2003; Goodman,</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44"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99" name="Shape 9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99" o:spid="_x0000_s112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00" name="Shape 10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00" o:spid="_x0000_s112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01" name="Shape 10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01" o:spid="_x0000_s112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51" w:name="page52"/>
    <w:bookmarkEnd w:id="51"/>
    <w:p>
      <w:pPr>
        <w:ind w:left="1080"/>
        <w:spacing w:after="0"/>
        <w:tabs>
          <w:tab w:leader="dot" w:pos="7020" w:val="left"/>
        </w:tabs>
        <w:rPr>
          <w:sz w:val="20"/>
          <w:szCs w:val="20"/>
          <w:color w:val="auto"/>
        </w:rPr>
      </w:pPr>
      <w:r>
        <w:rPr>
          <w:rFonts w:ascii="Arial Narrow" w:cs="Arial Narrow" w:eastAsia="Arial Narrow" w:hAnsi="Arial Narrow"/>
          <w:sz w:val="11"/>
          <w:szCs w:val="11"/>
          <w:color w:val="auto"/>
        </w:rPr>
        <w:t>morfología corporal y comparación de la velocidad de escape en algunas especies</w:t>
      </w:r>
      <w:r>
        <w:rPr>
          <w:sz w:val="20"/>
          <w:szCs w:val="20"/>
          <w:color w:val="auto"/>
        </w:rPr>
        <w:tab/>
      </w:r>
      <w:r>
        <w:rPr>
          <w:rFonts w:ascii="Arial Narrow" w:cs="Arial Narrow" w:eastAsia="Arial Narrow" w:hAnsi="Arial Narrow"/>
          <w:sz w:val="16"/>
          <w:szCs w:val="16"/>
          <w:color w:val="auto"/>
        </w:rPr>
        <w:t>51</w:t>
      </w:r>
    </w:p>
    <w:p>
      <w:pPr>
        <w:spacing w:after="0" w:line="200" w:lineRule="exact"/>
        <w:rPr>
          <w:sz w:val="20"/>
          <w:szCs w:val="20"/>
          <w:color w:val="auto"/>
        </w:rPr>
      </w:pPr>
    </w:p>
    <w:p>
      <w:pPr>
        <w:spacing w:after="0" w:line="349" w:lineRule="exact"/>
        <w:rPr>
          <w:sz w:val="20"/>
          <w:szCs w:val="20"/>
          <w:color w:val="auto"/>
        </w:rPr>
      </w:pPr>
    </w:p>
    <w:p>
      <w:pPr>
        <w:jc w:val="both"/>
        <w:spacing w:after="0" w:line="323" w:lineRule="auto"/>
        <w:rPr>
          <w:sz w:val="20"/>
          <w:szCs w:val="20"/>
          <w:color w:val="auto"/>
        </w:rPr>
      </w:pPr>
      <w:r>
        <w:rPr>
          <w:rFonts w:ascii="Times New Roman" w:cs="Times New Roman" w:eastAsia="Times New Roman" w:hAnsi="Times New Roman"/>
          <w:sz w:val="20"/>
          <w:szCs w:val="20"/>
          <w:color w:val="auto"/>
        </w:rPr>
        <w:t xml:space="preserve">2006). Estas estrategias les confieren la característica de </w:t>
      </w:r>
      <w:r>
        <w:rPr>
          <w:rFonts w:ascii="Times New Roman" w:cs="Times New Roman" w:eastAsia="Times New Roman" w:hAnsi="Times New Roman"/>
          <w:sz w:val="20"/>
          <w:szCs w:val="20"/>
          <w:i w:val="1"/>
          <w:iCs w:val="1"/>
          <w:color w:val="auto"/>
        </w:rPr>
        <w:t>organismos modelo</w:t>
      </w:r>
      <w:r>
        <w:rPr>
          <w:rFonts w:ascii="Times New Roman" w:cs="Times New Roman" w:eastAsia="Times New Roman" w:hAnsi="Times New Roman"/>
          <w:sz w:val="20"/>
          <w:szCs w:val="20"/>
          <w:color w:val="auto"/>
        </w:rPr>
        <w:t xml:space="preserve"> para probar el desempeño locomotor de la máxima velocidad, lo que es importante para diferentes actividades, tales como escape de depredadores y alimentación (Garland y Losos, 1994).</w:t>
      </w:r>
    </w:p>
    <w:p>
      <w:pPr>
        <w:spacing w:after="0" w:line="1" w:lineRule="exact"/>
        <w:rPr>
          <w:sz w:val="20"/>
          <w:szCs w:val="20"/>
          <w:color w:val="auto"/>
        </w:rPr>
      </w:pPr>
    </w:p>
    <w:p>
      <w:pPr>
        <w:jc w:val="both"/>
        <w:ind w:firstLine="360"/>
        <w:spacing w:after="0" w:line="294" w:lineRule="auto"/>
        <w:rPr>
          <w:sz w:val="20"/>
          <w:szCs w:val="20"/>
          <w:color w:val="auto"/>
        </w:rPr>
      </w:pPr>
      <w:r>
        <w:rPr>
          <w:rFonts w:ascii="Times New Roman" w:cs="Times New Roman" w:eastAsia="Times New Roman" w:hAnsi="Times New Roman"/>
          <w:sz w:val="22"/>
          <w:szCs w:val="22"/>
          <w:color w:val="auto"/>
        </w:rPr>
        <w:t xml:space="preserve">En las lagartijas, el escape de reacción rápida presenta movimientos locomotores raudos, los cuales han sido definidos como </w:t>
      </w:r>
      <w:r>
        <w:rPr>
          <w:rFonts w:ascii="Times New Roman" w:cs="Times New Roman" w:eastAsia="Times New Roman" w:hAnsi="Times New Roman"/>
          <w:sz w:val="22"/>
          <w:szCs w:val="22"/>
          <w:i w:val="1"/>
          <w:iCs w:val="1"/>
          <w:color w:val="auto"/>
        </w:rPr>
        <w:t>velocidad de reacción rápida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sprint speedy</w:t>
      </w:r>
      <w:r>
        <w:rPr>
          <w:rFonts w:ascii="Times New Roman" w:cs="Times New Roman" w:eastAsia="Times New Roman" w:hAnsi="Times New Roman"/>
          <w:sz w:val="22"/>
          <w:szCs w:val="22"/>
          <w:color w:val="auto"/>
        </w:rPr>
        <w:t xml:space="preserve">) (Goodman, 2006) –distancia y tiempo que destinan los lacertilios desde el inicio y hasta que finaliza el primer movimiento de carrera ante un estímulo inducido por el depredador, o bien, para capturar a sus presas (Huey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1990; Goodman, 2006)–, que representa una de las conductas más comunes empleada por diversos animales para escapar una vez que han sido detectados por un potencial depredador (Huey </w:t>
      </w:r>
      <w:r>
        <w:rPr>
          <w:rFonts w:ascii="Times New Roman" w:cs="Times New Roman" w:eastAsia="Times New Roman" w:hAnsi="Times New Roman"/>
          <w:sz w:val="22"/>
          <w:szCs w:val="22"/>
          <w:i w:val="1"/>
          <w:iCs w:val="1"/>
          <w:color w:val="auto"/>
        </w:rPr>
        <w:t>et</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al</w:t>
      </w:r>
      <w:r>
        <w:rPr>
          <w:rFonts w:ascii="Times New Roman" w:cs="Times New Roman" w:eastAsia="Times New Roman" w:hAnsi="Times New Roman"/>
          <w:sz w:val="22"/>
          <w:szCs w:val="22"/>
          <w:color w:val="auto"/>
        </w:rPr>
        <w:t>., 1990, Goodman, 2006).</w:t>
      </w:r>
    </w:p>
    <w:p>
      <w:pPr>
        <w:spacing w:after="0" w:line="1" w:lineRule="exact"/>
        <w:rPr>
          <w:sz w:val="20"/>
          <w:szCs w:val="20"/>
          <w:color w:val="auto"/>
        </w:rPr>
      </w:pPr>
    </w:p>
    <w:p>
      <w:pPr>
        <w:jc w:val="both"/>
        <w:ind w:firstLine="360"/>
        <w:spacing w:after="0" w:line="294" w:lineRule="auto"/>
        <w:rPr>
          <w:sz w:val="20"/>
          <w:szCs w:val="20"/>
          <w:color w:val="auto"/>
        </w:rPr>
      </w:pPr>
      <w:r>
        <w:rPr>
          <w:rFonts w:ascii="Times New Roman" w:cs="Times New Roman" w:eastAsia="Times New Roman" w:hAnsi="Times New Roman"/>
          <w:sz w:val="22"/>
          <w:szCs w:val="22"/>
          <w:color w:val="auto"/>
        </w:rPr>
        <w:t>La locomoción ha sido un tema de interés en muchos estudios ecológicos, ecomorfológicos y ecofisiológicos por diversas razones, como que la habilidad locomotora es considerada crucial para capturar presas y escapar de los depredadores durante las interacciones sociales entre ambas. La locomoción es una función ecológicamente relevante (Losos, 1990; Garland y Losos, 1994) y sus variaciones (por ejemplo, la velocidad) pueden ser evaluadas con facilidad en pruebas de laboratorio (Garland y Losos, 1994).</w:t>
      </w:r>
    </w:p>
    <w:p>
      <w:pPr>
        <w:spacing w:after="0" w:line="1" w:lineRule="exact"/>
        <w:rPr>
          <w:sz w:val="20"/>
          <w:szCs w:val="20"/>
          <w:color w:val="auto"/>
        </w:rPr>
      </w:pPr>
    </w:p>
    <w:p>
      <w:pPr>
        <w:jc w:val="both"/>
        <w:ind w:firstLine="360"/>
        <w:spacing w:after="0" w:line="294" w:lineRule="auto"/>
        <w:rPr>
          <w:sz w:val="20"/>
          <w:szCs w:val="20"/>
          <w:color w:val="auto"/>
        </w:rPr>
      </w:pPr>
      <w:r>
        <w:rPr>
          <w:rFonts w:ascii="Times New Roman" w:cs="Times New Roman" w:eastAsia="Times New Roman" w:hAnsi="Times New Roman"/>
          <w:sz w:val="22"/>
          <w:szCs w:val="22"/>
          <w:color w:val="auto"/>
        </w:rPr>
        <w:t xml:space="preserve">La habilidad de correr es altamente variable entre los conespecíficos y la variación individual es generalmente repetible y heredable (Bennett y Huey, 1990; Bonine y Garland, 1999; Tsuji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1989). El escape de reacción rápida es plausible y empíricamente asociado con los componentes de la adecuación, tales como reproducción y sobrevivencia, y también con actividades de forrajeo y escape de los depredadores (Irschick, 2003).</w:t>
      </w:r>
    </w:p>
    <w:p>
      <w:pPr>
        <w:spacing w:after="0" w:line="1" w:lineRule="exact"/>
        <w:rPr>
          <w:sz w:val="20"/>
          <w:szCs w:val="20"/>
          <w:color w:val="auto"/>
        </w:rPr>
      </w:pPr>
    </w:p>
    <w:p>
      <w:pPr>
        <w:jc w:val="both"/>
        <w:ind w:firstLine="360"/>
        <w:spacing w:after="0" w:line="314" w:lineRule="auto"/>
        <w:rPr>
          <w:sz w:val="20"/>
          <w:szCs w:val="20"/>
          <w:color w:val="auto"/>
        </w:rPr>
      </w:pPr>
      <w:r>
        <w:rPr>
          <w:rFonts w:ascii="Times New Roman" w:cs="Times New Roman" w:eastAsia="Times New Roman" w:hAnsi="Times New Roman"/>
          <w:sz w:val="21"/>
          <w:szCs w:val="21"/>
          <w:color w:val="auto"/>
        </w:rPr>
        <w:t xml:space="preserve">Los estudios sobre velocidad y escape de reacción rápida en lacertilios han estado asociados con la selección natural y selección sexual; por ejemplo, los estudios de Miles (2004) y Warner y Andrews (2002) relacionan la velocidad con la sobrevivencia de los individuos de las especies de </w:t>
      </w:r>
      <w:r>
        <w:rPr>
          <w:rFonts w:ascii="Times New Roman" w:cs="Times New Roman" w:eastAsia="Times New Roman" w:hAnsi="Times New Roman"/>
          <w:sz w:val="21"/>
          <w:szCs w:val="21"/>
          <w:i w:val="1"/>
          <w:iCs w:val="1"/>
          <w:color w:val="auto"/>
        </w:rPr>
        <w:t>Urosaurus</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Sceloporus undulatus</w:t>
      </w:r>
      <w:r>
        <w:rPr>
          <w:rFonts w:ascii="Times New Roman" w:cs="Times New Roman" w:eastAsia="Times New Roman" w:hAnsi="Times New Roman"/>
          <w:sz w:val="21"/>
          <w:szCs w:val="21"/>
          <w:color w:val="auto"/>
        </w:rPr>
        <w:t>, es decir, los individuos más rápidos para realizar sus actividades de forrajeo y escapar de sus depredadores tienen más posibilidades de sobrevivir, además de que la territorialidad y la selección sexual han promovido individuos con velocidades más rápidas durante el desempeño locomotor (Peterson y Husak, 2006).</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337"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52" w:name="page53"/>
    <w:bookmarkEnd w:id="52"/>
    <w:p>
      <w:pPr>
        <w:spacing w:after="0"/>
        <w:tabs>
          <w:tab w:leader="none" w:pos="1960" w:val="left"/>
          <w:tab w:leader="none" w:pos="3100" w:val="left"/>
          <w:tab w:leader="none" w:pos="4260" w:val="left"/>
        </w:tabs>
        <w:rPr>
          <w:sz w:val="20"/>
          <w:szCs w:val="20"/>
          <w:color w:val="auto"/>
        </w:rPr>
      </w:pPr>
      <w:r>
        <w:rPr>
          <w:rFonts w:ascii="Arial Narrow" w:cs="Arial Narrow" w:eastAsia="Arial Narrow" w:hAnsi="Arial Narrow"/>
          <w:sz w:val="16"/>
          <w:szCs w:val="16"/>
          <w:color w:val="auto"/>
        </w:rPr>
        <w:t>52</w:t>
      </w:r>
      <w:r>
        <w:rPr>
          <w:sz w:val="20"/>
          <w:szCs w:val="20"/>
          <w:color w:val="auto"/>
        </w:rPr>
        <w:tab/>
      </w: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1945640</wp:posOffset>
                </wp:positionH>
                <wp:positionV relativeFrom="paragraph">
                  <wp:posOffset>-76835</wp:posOffset>
                </wp:positionV>
                <wp:extent cx="0" cy="88900"/>
                <wp:wrapNone/>
                <wp:docPr id="102" name="Shape 10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02" o:spid="_x0000_s112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3.2pt,-6.0499pt" to="153.2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2689225</wp:posOffset>
                </wp:positionH>
                <wp:positionV relativeFrom="paragraph">
                  <wp:posOffset>-76835</wp:posOffset>
                </wp:positionV>
                <wp:extent cx="0" cy="88900"/>
                <wp:wrapNone/>
                <wp:docPr id="103" name="Shape 10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03" o:spid="_x0000_s112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1.75pt,-6.0499pt" to="211.75pt,0.95pt" o:allowincell="f" strokecolor="#000000" strokeweight="0.4pt"/>
            </w:pict>
          </mc:Fallback>
        </mc:AlternateContent>
      </w:r>
    </w:p>
    <w:p>
      <w:pPr>
        <w:spacing w:after="0" w:line="347" w:lineRule="exact"/>
        <w:rPr>
          <w:sz w:val="20"/>
          <w:szCs w:val="20"/>
          <w:color w:val="auto"/>
        </w:rPr>
      </w:pPr>
    </w:p>
    <w:p>
      <w:pPr>
        <w:jc w:val="both"/>
        <w:ind w:firstLine="360"/>
        <w:spacing w:after="0" w:line="307" w:lineRule="auto"/>
        <w:rPr>
          <w:sz w:val="20"/>
          <w:szCs w:val="20"/>
          <w:color w:val="auto"/>
        </w:rPr>
      </w:pPr>
      <w:r>
        <w:rPr>
          <w:rFonts w:ascii="Times New Roman" w:cs="Times New Roman" w:eastAsia="Times New Roman" w:hAnsi="Times New Roman"/>
          <w:sz w:val="22"/>
          <w:szCs w:val="22"/>
          <w:color w:val="auto"/>
        </w:rPr>
        <w:t xml:space="preserve">Con base en lo anterior, y tratando de entender cómo actúa la selección sobre estas variables, el presente estudio aborda un enfoque que se centra en la depredación como una causa que moldea la velocidad de escape de la presas (Irschick, 2000; Irschick y Losos, 1998), además de la estructura del hábitat (Van Damme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1998), el gradiente altitudinal y otros factores que pueden influir sobre la velocidad de los individuos desarrollando modificaciones morfológicas que promueven diferentes velocidades (Van Damme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1998).</w:t>
      </w:r>
    </w:p>
    <w:p>
      <w:pPr>
        <w:spacing w:after="0" w:line="200" w:lineRule="exact"/>
        <w:rPr>
          <w:sz w:val="20"/>
          <w:szCs w:val="20"/>
          <w:color w:val="auto"/>
        </w:rPr>
      </w:pPr>
    </w:p>
    <w:p>
      <w:pPr>
        <w:spacing w:after="0" w:line="200" w:lineRule="exact"/>
        <w:rPr>
          <w:sz w:val="20"/>
          <w:szCs w:val="20"/>
          <w:color w:val="auto"/>
        </w:rPr>
      </w:pPr>
    </w:p>
    <w:p>
      <w:pPr>
        <w:spacing w:after="0" w:line="215"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Método</w:t>
      </w:r>
    </w:p>
    <w:p>
      <w:pPr>
        <w:spacing w:after="0" w:line="38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Áreas de estudio</w:t>
      </w:r>
    </w:p>
    <w:p>
      <w:pPr>
        <w:spacing w:after="0" w:line="38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 xml:space="preserve">Ixmiquilpan, Hidalgo: se ubica a 1 691 msnm, a 20° 49’ 41.2” latitud norte y 99° 22’ 91.9” latitud oeste; presenta vegetación escasa y zonas muy abiertas (observaciones personales). El clima es de semiseco a semicálido. La temperatura promedio para los meses de diciembre y enero, que son los más fríos del año, oscila entre los 14.5 °C, y durante mayo y junio, que son los meses con temperaturas más altas, registra un promedio de 21.4 °C (Inafed/Gobierno del Estado de Hidalgo, 2005). En este sitio vive la lagartija </w:t>
      </w:r>
      <w:r>
        <w:rPr>
          <w:rFonts w:ascii="Times New Roman" w:cs="Times New Roman" w:eastAsia="Times New Roman" w:hAnsi="Times New Roman"/>
          <w:sz w:val="22"/>
          <w:szCs w:val="22"/>
          <w:i w:val="1"/>
          <w:iCs w:val="1"/>
          <w:color w:val="auto"/>
        </w:rPr>
        <w:t>A. costata.</w:t>
      </w:r>
    </w:p>
    <w:p>
      <w:pPr>
        <w:spacing w:after="0" w:line="4"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Parque Nacional Nevado de Toluca, Estado de México: se localiza entre las coordenadas 19° 07’ 30” latitud norte y 99° 46’ 15” longitud oeste; presenta clima frío o glacial; la temperatura promedio es de 6.5 °C (Inafed/Gobierno del Estado de México, 2005). La vegetación de la zona está representada por zacatonal alpino como</w:t>
      </w:r>
    </w:p>
    <w:p>
      <w:pPr>
        <w:jc w:val="both"/>
        <w:spacing w:after="0" w:line="333" w:lineRule="auto"/>
        <w:rPr>
          <w:sz w:val="20"/>
          <w:szCs w:val="20"/>
          <w:color w:val="auto"/>
        </w:rPr>
      </w:pPr>
      <w:r>
        <w:rPr>
          <w:rFonts w:ascii="Times New Roman" w:cs="Times New Roman" w:eastAsia="Times New Roman" w:hAnsi="Times New Roman"/>
          <w:sz w:val="20"/>
          <w:szCs w:val="20"/>
          <w:i w:val="1"/>
          <w:iCs w:val="1"/>
          <w:color w:val="auto"/>
        </w:rPr>
        <w:t>Festuca tolucencis</w:t>
      </w:r>
      <w:r>
        <w:rPr>
          <w:rFonts w:ascii="Times New Roman" w:cs="Times New Roman" w:eastAsia="Times New Roman" w:hAnsi="Times New Roman"/>
          <w:sz w:val="20"/>
          <w:szCs w:val="20"/>
          <w:color w:val="auto"/>
        </w:rPr>
        <w:t>,</w:t>
      </w:r>
      <w:r>
        <w:rPr>
          <w:rFonts w:ascii="Times New Roman" w:cs="Times New Roman" w:eastAsia="Times New Roman" w:hAnsi="Times New Roman"/>
          <w:sz w:val="20"/>
          <w:szCs w:val="20"/>
          <w:i w:val="1"/>
          <w:iCs w:val="1"/>
          <w:color w:val="auto"/>
        </w:rPr>
        <w:t xml:space="preserve"> Calamagrostis tolucencis </w:t>
      </w:r>
      <w:r>
        <w:rPr>
          <w:rFonts w:ascii="Times New Roman" w:cs="Times New Roman" w:eastAsia="Times New Roman" w:hAnsi="Times New Roman"/>
          <w:sz w:val="20"/>
          <w:szCs w:val="20"/>
          <w:color w:val="auto"/>
        </w:rPr>
        <w:t>y</w:t>
      </w:r>
      <w:r>
        <w:rPr>
          <w:rFonts w:ascii="Times New Roman" w:cs="Times New Roman" w:eastAsia="Times New Roman" w:hAnsi="Times New Roman"/>
          <w:sz w:val="20"/>
          <w:szCs w:val="20"/>
          <w:i w:val="1"/>
          <w:iCs w:val="1"/>
          <w:color w:val="auto"/>
        </w:rPr>
        <w:t xml:space="preserve"> Eryngium protiflorum </w:t>
      </w:r>
      <w:r>
        <w:rPr>
          <w:rFonts w:ascii="Times New Roman" w:cs="Times New Roman" w:eastAsia="Times New Roman" w:hAnsi="Times New Roman"/>
          <w:sz w:val="20"/>
          <w:szCs w:val="20"/>
          <w:color w:val="auto"/>
        </w:rPr>
        <w:t>(Rzedowski, 1983).</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 xml:space="preserve">En esta zona, a 4 200 msnm, habitan las especies </w:t>
      </w:r>
      <w:r>
        <w:rPr>
          <w:rFonts w:ascii="Times New Roman" w:cs="Times New Roman" w:eastAsia="Times New Roman" w:hAnsi="Times New Roman"/>
          <w:sz w:val="20"/>
          <w:szCs w:val="20"/>
          <w:i w:val="1"/>
          <w:iCs w:val="1"/>
          <w:color w:val="auto"/>
        </w:rPr>
        <w:t>S. bicanthalis</w:t>
      </w:r>
      <w:r>
        <w:rPr>
          <w:rFonts w:ascii="Times New Roman" w:cs="Times New Roman" w:eastAsia="Times New Roman" w:hAnsi="Times New Roman"/>
          <w:sz w:val="20"/>
          <w:szCs w:val="20"/>
          <w:color w:val="auto"/>
        </w:rPr>
        <w:t xml:space="preserve"> y </w:t>
      </w:r>
      <w:r>
        <w:rPr>
          <w:rFonts w:ascii="Times New Roman" w:cs="Times New Roman" w:eastAsia="Times New Roman" w:hAnsi="Times New Roman"/>
          <w:sz w:val="20"/>
          <w:szCs w:val="20"/>
          <w:i w:val="1"/>
          <w:iCs w:val="1"/>
          <w:color w:val="auto"/>
        </w:rPr>
        <w:t>B. imbricata.</w:t>
      </w:r>
    </w:p>
    <w:p>
      <w:pPr>
        <w:spacing w:after="0" w:line="2" w:lineRule="exact"/>
        <w:rPr>
          <w:sz w:val="20"/>
          <w:szCs w:val="20"/>
          <w:color w:val="auto"/>
        </w:rPr>
      </w:pPr>
    </w:p>
    <w:p>
      <w:pPr>
        <w:jc w:val="both"/>
        <w:ind w:firstLine="360"/>
        <w:spacing w:after="0" w:line="327" w:lineRule="auto"/>
        <w:rPr>
          <w:sz w:val="20"/>
          <w:szCs w:val="20"/>
          <w:color w:val="auto"/>
        </w:rPr>
      </w:pPr>
      <w:r>
        <w:rPr>
          <w:rFonts w:ascii="Times New Roman" w:cs="Times New Roman" w:eastAsia="Times New Roman" w:hAnsi="Times New Roman"/>
          <w:sz w:val="21"/>
          <w:szCs w:val="21"/>
          <w:color w:val="auto"/>
        </w:rPr>
        <w:t>El Mapa, Zinacantepec, Estado de México: área que se localiza entre las coordenadas 19° 22’ 30” latitud norte y 100° 05’ 57” longitud oeste, en el municipio de Zinacantepec, a 3 200 msnm. El clima es semifrío subhúmedo y templado subhúmedo con lluvias en verano (García, 1981). La temperatura promedio es de 17°C y la precipitación anual es de 940.4 mm (Valenzuela, 1986). La vegetación es</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39"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04" name="Shape 10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04" o:spid="_x0000_s112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05" name="Shape 10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05" o:spid="_x0000_s113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06" name="Shape 10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06" o:spid="_x0000_s113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53" w:name="page54"/>
    <w:bookmarkEnd w:id="53"/>
    <w:p>
      <w:pPr>
        <w:ind w:left="1080"/>
        <w:spacing w:after="0"/>
        <w:tabs>
          <w:tab w:leader="dot" w:pos="7020" w:val="left"/>
        </w:tabs>
        <w:rPr>
          <w:sz w:val="20"/>
          <w:szCs w:val="20"/>
          <w:color w:val="auto"/>
        </w:rPr>
      </w:pPr>
      <w:r>
        <w:rPr>
          <w:rFonts w:ascii="Arial Narrow" w:cs="Arial Narrow" w:eastAsia="Arial Narrow" w:hAnsi="Arial Narrow"/>
          <w:sz w:val="11"/>
          <w:szCs w:val="11"/>
          <w:color w:val="auto"/>
        </w:rPr>
        <w:t>morfología corporal y comparación de la velocidad de escape en algunas especies</w:t>
      </w:r>
      <w:r>
        <w:rPr>
          <w:sz w:val="20"/>
          <w:szCs w:val="20"/>
          <w:color w:val="auto"/>
        </w:rPr>
        <w:tab/>
      </w:r>
      <w:r>
        <w:rPr>
          <w:rFonts w:ascii="Arial Narrow" w:cs="Arial Narrow" w:eastAsia="Arial Narrow" w:hAnsi="Arial Narrow"/>
          <w:sz w:val="16"/>
          <w:szCs w:val="16"/>
          <w:color w:val="auto"/>
        </w:rPr>
        <w:t>53</w:t>
      </w:r>
    </w:p>
    <w:p>
      <w:pPr>
        <w:spacing w:after="0" w:line="200" w:lineRule="exact"/>
        <w:rPr>
          <w:sz w:val="20"/>
          <w:szCs w:val="20"/>
          <w:color w:val="auto"/>
        </w:rPr>
      </w:pPr>
    </w:p>
    <w:p>
      <w:pPr>
        <w:spacing w:after="0" w:line="349"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principalmente de bosque templado (</w:t>
      </w:r>
      <w:r>
        <w:rPr>
          <w:rFonts w:ascii="Times New Roman" w:cs="Times New Roman" w:eastAsia="Times New Roman" w:hAnsi="Times New Roman"/>
          <w:sz w:val="22"/>
          <w:szCs w:val="22"/>
          <w:i w:val="1"/>
          <w:iCs w:val="1"/>
          <w:color w:val="auto"/>
        </w:rPr>
        <w:t>Pinus montezumae</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P. leiophyla</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P. pseudostrobus</w:t>
      </w:r>
      <w:r>
        <w:rPr>
          <w:rFonts w:ascii="Times New Roman" w:cs="Times New Roman" w:eastAsia="Times New Roman" w:hAnsi="Times New Roman"/>
          <w:sz w:val="22"/>
          <w:szCs w:val="22"/>
          <w:color w:val="auto"/>
        </w:rPr>
        <w:t xml:space="preserve">); el resto son pastizales de la especie </w:t>
      </w:r>
      <w:r>
        <w:rPr>
          <w:rFonts w:ascii="Times New Roman" w:cs="Times New Roman" w:eastAsia="Times New Roman" w:hAnsi="Times New Roman"/>
          <w:sz w:val="22"/>
          <w:szCs w:val="22"/>
          <w:i w:val="1"/>
          <w:iCs w:val="1"/>
          <w:color w:val="auto"/>
        </w:rPr>
        <w:t>Muhlembergia macroura</w:t>
      </w:r>
      <w:r>
        <w:rPr>
          <w:rFonts w:ascii="Times New Roman" w:cs="Times New Roman" w:eastAsia="Times New Roman" w:hAnsi="Times New Roman"/>
          <w:sz w:val="22"/>
          <w:szCs w:val="22"/>
          <w:color w:val="auto"/>
        </w:rPr>
        <w:t xml:space="preserve">. En esta región se hallaron ejemplares de </w:t>
      </w:r>
      <w:r>
        <w:rPr>
          <w:rFonts w:ascii="Times New Roman" w:cs="Times New Roman" w:eastAsia="Times New Roman" w:hAnsi="Times New Roman"/>
          <w:sz w:val="22"/>
          <w:szCs w:val="22"/>
          <w:i w:val="1"/>
          <w:iCs w:val="1"/>
          <w:color w:val="auto"/>
        </w:rPr>
        <w:t>S. aeneus</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B. imbricata</w:t>
      </w:r>
      <w:r>
        <w:rPr>
          <w:rFonts w:ascii="Times New Roman" w:cs="Times New Roman" w:eastAsia="Times New Roman" w:hAnsi="Times New Roman"/>
          <w:sz w:val="22"/>
          <w:szCs w:val="22"/>
          <w:color w:val="auto"/>
        </w:rPr>
        <w:t>.</w:t>
      </w:r>
    </w:p>
    <w:p>
      <w:pPr>
        <w:spacing w:after="0" w:line="2"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 xml:space="preserve">Parque Estatal Hermenegildo Galeana, Tenancingo, Estado de México: el municipio de Tenancingo se ubica entre los 18° 57’ 5” y 19° 02’ 25” latitud norte y los 98° 35’ 45’’ y 99° 38’ 37” longitud oeste (Inafed/Gobierno del Estado de México, 2005). La zona de estudio se localiza a 19° 01’ 01.7”, a una latitud de 2 478 m. Su área total y de superficie protegida es de 367 hectáreas (Cepanaf, 2007). La vegetación se caracteriza por presentar zacatonales altos, donde se encontró a </w:t>
      </w:r>
      <w:r>
        <w:rPr>
          <w:rFonts w:ascii="Times New Roman" w:cs="Times New Roman" w:eastAsia="Times New Roman" w:hAnsi="Times New Roman"/>
          <w:sz w:val="21"/>
          <w:szCs w:val="21"/>
          <w:i w:val="1"/>
          <w:iCs w:val="1"/>
          <w:color w:val="auto"/>
        </w:rPr>
        <w:t>S. aeneus</w:t>
      </w:r>
      <w:r>
        <w:rPr>
          <w:rFonts w:ascii="Times New Roman" w:cs="Times New Roman" w:eastAsia="Times New Roman" w:hAnsi="Times New Roman"/>
          <w:sz w:val="21"/>
          <w:szCs w:val="21"/>
          <w:color w:val="auto"/>
        </w:rPr>
        <w:t>; mientras que en los troncos y rocas del mismo sitio se localizó a la lagartija</w:t>
      </w:r>
    </w:p>
    <w:p>
      <w:pPr>
        <w:spacing w:after="0"/>
        <w:rPr>
          <w:sz w:val="20"/>
          <w:szCs w:val="20"/>
          <w:color w:val="auto"/>
        </w:rPr>
      </w:pPr>
      <w:r>
        <w:rPr>
          <w:rFonts w:ascii="Times New Roman" w:cs="Times New Roman" w:eastAsia="Times New Roman" w:hAnsi="Times New Roman"/>
          <w:sz w:val="22"/>
          <w:szCs w:val="22"/>
          <w:i w:val="1"/>
          <w:iCs w:val="1"/>
          <w:color w:val="auto"/>
        </w:rPr>
        <w:t>Sceloporus grammicus.</w:t>
      </w:r>
    </w:p>
    <w:p>
      <w:pPr>
        <w:spacing w:after="0" w:line="67"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 xml:space="preserve">Parque Sierra Morelos, Toluca-Zinacantepec, Estado de México: esta zona se ubica entre las coordenadas 19° 18’ 41.1” latitud norte y 99° 41’ 34” latitud oeste, a 2 733 msnm, con un clima templado. Las temperaturas oscilan entre los 12 y 14 °C. Esta área se destinó a la reforestación, absorción de agua, mejoramiento de suelos y recreación. Su vegetación se compone de bosque inducido de pinos, eucaliptos y pastizal; entre las especies que destacan están </w:t>
      </w:r>
      <w:r>
        <w:rPr>
          <w:rFonts w:ascii="Times New Roman" w:cs="Times New Roman" w:eastAsia="Times New Roman" w:hAnsi="Times New Roman"/>
          <w:sz w:val="21"/>
          <w:szCs w:val="21"/>
          <w:i w:val="1"/>
          <w:iCs w:val="1"/>
          <w:color w:val="auto"/>
        </w:rPr>
        <w:t>Pinus radiata, P. montezumae, P. patula,</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Cupressus lindleyii </w:t>
      </w:r>
      <w:r>
        <w:rPr>
          <w:rFonts w:ascii="Times New Roman" w:cs="Times New Roman" w:eastAsia="Times New Roman" w:hAnsi="Times New Roman"/>
          <w:sz w:val="21"/>
          <w:szCs w:val="21"/>
          <w:color w:val="auto"/>
        </w:rPr>
        <w:t>y</w:t>
      </w:r>
      <w:r>
        <w:rPr>
          <w:rFonts w:ascii="Times New Roman" w:cs="Times New Roman" w:eastAsia="Times New Roman" w:hAnsi="Times New Roman"/>
          <w:sz w:val="21"/>
          <w:szCs w:val="21"/>
          <w:i w:val="1"/>
          <w:iCs w:val="1"/>
          <w:color w:val="auto"/>
        </w:rPr>
        <w:t xml:space="preserve"> Pinus pseudostrabus </w:t>
      </w:r>
      <w:r>
        <w:rPr>
          <w:rFonts w:ascii="Times New Roman" w:cs="Times New Roman" w:eastAsia="Times New Roman" w:hAnsi="Times New Roman"/>
          <w:sz w:val="21"/>
          <w:szCs w:val="21"/>
          <w:color w:val="auto"/>
        </w:rPr>
        <w:t>(Cepanaf, 2009). Aquí se efectuaron colectas</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 xml:space="preserve">de </w:t>
      </w:r>
      <w:r>
        <w:rPr>
          <w:rFonts w:ascii="Times New Roman" w:cs="Times New Roman" w:eastAsia="Times New Roman" w:hAnsi="Times New Roman"/>
          <w:sz w:val="21"/>
          <w:szCs w:val="21"/>
          <w:i w:val="1"/>
          <w:iCs w:val="1"/>
          <w:color w:val="auto"/>
        </w:rPr>
        <w:t>B. imbricata</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P. orbiculare.</w:t>
      </w: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 xml:space="preserve">Ruinas de Teotenango, Tenango, Estado de México: el clima del municipio se clasifica como templado subhúmedo con lluvias en verano. La zona se encuentra a 2 626 msnm, entre las coordenadas 19° 6’ 35.6” latitud norte y 99° 35’ 45.5” latitud oeste. La temperatura promedio anual es de 13.5 °C; la máxima, de 29.5°C, y la mínima, de 5°C. Las variedades forestales predominantes son el encino, tepozán, ayacahuite, oyamel, cedrón, madroño, llorón y nopal (Inafed/Gobierno del Estado de México, 2005), aunque se caracteriza principalmente por presentar zonas de acahuales, donde se halló a la especie </w:t>
      </w:r>
      <w:r>
        <w:rPr>
          <w:rFonts w:ascii="Times New Roman" w:cs="Times New Roman" w:eastAsia="Times New Roman" w:hAnsi="Times New Roman"/>
          <w:sz w:val="21"/>
          <w:szCs w:val="21"/>
          <w:i w:val="1"/>
          <w:iCs w:val="1"/>
          <w:color w:val="auto"/>
        </w:rPr>
        <w:t>S. scalaris.</w:t>
      </w:r>
    </w:p>
    <w:p>
      <w:pPr>
        <w:jc w:val="both"/>
        <w:ind w:firstLine="360"/>
        <w:spacing w:after="0" w:line="330" w:lineRule="auto"/>
        <w:rPr>
          <w:sz w:val="20"/>
          <w:szCs w:val="20"/>
          <w:color w:val="auto"/>
        </w:rPr>
      </w:pPr>
      <w:r>
        <w:rPr>
          <w:rFonts w:ascii="Times New Roman" w:cs="Times New Roman" w:eastAsia="Times New Roman" w:hAnsi="Times New Roman"/>
          <w:sz w:val="21"/>
          <w:szCs w:val="21"/>
          <w:color w:val="auto"/>
        </w:rPr>
        <w:t>Tomando en cuenta las diferentes zonas de colecta de las especies del presente estudio, se hizo una clasificación de acuerdo con las descripciones anteriores y las observaciones realizadas en campo de los hábitats que ocupa cada especie con el objeto de llevar a cabo los análisis respecto al tipo de hábitat y la altitud.</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336"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54" w:name="page55"/>
    <w:bookmarkEnd w:id="54"/>
    <w:p>
      <w:pPr>
        <w:spacing w:after="0"/>
        <w:tabs>
          <w:tab w:leader="none" w:pos="1960" w:val="left"/>
          <w:tab w:leader="none" w:pos="3100" w:val="left"/>
          <w:tab w:leader="none" w:pos="4260" w:val="left"/>
        </w:tabs>
        <w:rPr>
          <w:sz w:val="20"/>
          <w:szCs w:val="20"/>
          <w:color w:val="auto"/>
        </w:rPr>
      </w:pPr>
      <w:r>
        <w:rPr>
          <w:rFonts w:ascii="Arial Narrow" w:cs="Arial Narrow" w:eastAsia="Arial Narrow" w:hAnsi="Arial Narrow"/>
          <w:sz w:val="16"/>
          <w:szCs w:val="16"/>
          <w:color w:val="auto"/>
        </w:rPr>
        <w:t>54</w:t>
      </w:r>
      <w:r>
        <w:rPr>
          <w:sz w:val="20"/>
          <w:szCs w:val="20"/>
          <w:color w:val="auto"/>
        </w:rPr>
        <w:tab/>
      </w: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1945640</wp:posOffset>
                </wp:positionH>
                <wp:positionV relativeFrom="paragraph">
                  <wp:posOffset>-76835</wp:posOffset>
                </wp:positionV>
                <wp:extent cx="0" cy="88900"/>
                <wp:wrapNone/>
                <wp:docPr id="107" name="Shape 10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07" o:spid="_x0000_s113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3.2pt,-6.0499pt" to="153.2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2689225</wp:posOffset>
                </wp:positionH>
                <wp:positionV relativeFrom="paragraph">
                  <wp:posOffset>-76835</wp:posOffset>
                </wp:positionV>
                <wp:extent cx="0" cy="88900"/>
                <wp:wrapNone/>
                <wp:docPr id="108" name="Shape 10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08" o:spid="_x0000_s113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1.75pt,-6.0499pt" to="211.75pt,0.95pt" o:allowincell="f" strokecolor="#000000" strokeweight="0.4pt"/>
            </w:pict>
          </mc:Fallback>
        </mc:AlternateContent>
      </w:r>
    </w:p>
    <w:p>
      <w:pPr>
        <w:spacing w:after="0" w:line="34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Variables morfométricas</w:t>
      </w:r>
    </w:p>
    <w:p>
      <w:pPr>
        <w:spacing w:after="0" w:line="367" w:lineRule="exact"/>
        <w:rPr>
          <w:sz w:val="20"/>
          <w:szCs w:val="20"/>
          <w:color w:val="auto"/>
        </w:rPr>
      </w:pPr>
    </w:p>
    <w:p>
      <w:pPr>
        <w:jc w:val="both"/>
        <w:spacing w:after="0" w:line="320" w:lineRule="auto"/>
        <w:rPr>
          <w:sz w:val="20"/>
          <w:szCs w:val="20"/>
          <w:color w:val="auto"/>
        </w:rPr>
      </w:pPr>
      <w:r>
        <w:rPr>
          <w:rFonts w:ascii="Times New Roman" w:cs="Times New Roman" w:eastAsia="Times New Roman" w:hAnsi="Times New Roman"/>
          <w:sz w:val="21"/>
          <w:szCs w:val="21"/>
          <w:color w:val="auto"/>
        </w:rPr>
        <w:t>Cada individuo se colocó sobre una base de hule espuma. Con una escala milimétrica usada como referencia, se le tomaron fotografías de alta resolución con una cámara réflex Sony Alpha 350 DSLR-A350. Las fotografías se tomaron de las diferentes regiones del cuerpo y se midió la longitud hocico-cloaca (lhc), desde la punta de la boca hasta la parte anterior de la cloaca. Considerando que los individuos presentan simetría bilateral, se utilizaron las extremidades anterior y posterior derechas de cada individuo para medir las variables longitud del antebrazo (la), desde la inserción de las extremidades al cuerpo hasta el codo; longitud del radio (lr), del codo hasta la región próxima al final de la mano; longitud del fémur (lf), de la inserción de la extremidad posterior al cuerpo hasta la rodilla; longitud de la tibia (lt), de la rodilla a la parte final de la pata; también se usó la palma de la extremidad anterior y se midió el ancho (apm) y largo (lpm) de la parte final de la pata al inicio de los dedos, y, finalmente, de la planta de la extremidad posterior se midió el ancho (app) y largo (lpp) de la parte final de la pata al inicio de los dedos (figuras 1 y 2).</w:t>
      </w:r>
    </w:p>
    <w:p>
      <w:pPr>
        <w:spacing w:after="0" w:line="240" w:lineRule="exact"/>
        <w:rPr>
          <w:sz w:val="20"/>
          <w:szCs w:val="20"/>
          <w:color w:val="auto"/>
        </w:rPr>
      </w:pPr>
    </w:p>
    <w:p>
      <w:pPr>
        <w:ind w:left="1380"/>
        <w:spacing w:after="0"/>
        <w:tabs>
          <w:tab w:leader="none" w:pos="5200" w:val="left"/>
        </w:tabs>
        <w:rPr>
          <w:sz w:val="20"/>
          <w:szCs w:val="20"/>
          <w:color w:val="auto"/>
        </w:rPr>
      </w:pPr>
      <w:r>
        <w:rPr>
          <w:rFonts w:ascii="Times New Roman" w:cs="Times New Roman" w:eastAsia="Times New Roman" w:hAnsi="Times New Roman"/>
          <w:sz w:val="18"/>
          <w:szCs w:val="18"/>
          <w:i w:val="1"/>
          <w:iCs w:val="1"/>
          <w:color w:val="auto"/>
        </w:rPr>
        <w:t>Figura 1</w:t>
      </w:r>
      <w:r>
        <w:rPr>
          <w:sz w:val="20"/>
          <w:szCs w:val="20"/>
          <w:color w:val="auto"/>
        </w:rPr>
        <w:tab/>
      </w:r>
      <w:r>
        <w:rPr>
          <w:rFonts w:ascii="Times New Roman" w:cs="Times New Roman" w:eastAsia="Times New Roman" w:hAnsi="Times New Roman"/>
          <w:sz w:val="16"/>
          <w:szCs w:val="16"/>
          <w:i w:val="1"/>
          <w:iCs w:val="1"/>
          <w:color w:val="auto"/>
        </w:rPr>
        <w:t>Figura 2</w:t>
      </w:r>
    </w:p>
    <w:p>
      <w:pPr>
        <w:ind w:left="1380"/>
        <w:spacing w:after="0"/>
        <w:tabs>
          <w:tab w:leader="none" w:pos="5200" w:val="left"/>
        </w:tabs>
        <w:rPr>
          <w:sz w:val="20"/>
          <w:szCs w:val="20"/>
          <w:color w:val="auto"/>
        </w:rPr>
        <w:sectPr>
          <w:pgSz w:w="9360" w:h="13039" w:orient="portrait"/>
          <w:cols w:equalWidth="0" w:num="1">
            <w:col w:w="7200"/>
          </w:cols>
          <w:pgMar w:left="1080" w:top="906" w:right="1080" w:bottom="437" w:gutter="0" w:footer="0" w:header="0"/>
        </w:sect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66040</wp:posOffset>
            </wp:positionV>
            <wp:extent cx="4565650" cy="1153160"/>
            <wp:wrapNone/>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36">
                      <a:extLst>
                        <a:ext uri="{28A0092B-C50C-407E-A947-70E740481C1C}"/>
                      </a:extLst>
                    </a:blip>
                    <a:srcRect/>
                    <a:stretch>
                      <a:fillRect/>
                    </a:stretch>
                  </pic:blipFill>
                  <pic:spPr bwMode="auto">
                    <a:xfrm>
                      <a:off x="0" y="0"/>
                      <a:ext cx="4565650" cy="115316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9" w:lineRule="exact"/>
        <w:rPr>
          <w:sz w:val="20"/>
          <w:szCs w:val="20"/>
          <w:color w:val="auto"/>
        </w:rPr>
      </w:pPr>
    </w:p>
    <w:p>
      <w:pPr>
        <w:jc w:val="both"/>
        <w:spacing w:after="0" w:line="299" w:lineRule="auto"/>
        <w:rPr>
          <w:sz w:val="20"/>
          <w:szCs w:val="20"/>
          <w:color w:val="auto"/>
        </w:rPr>
      </w:pPr>
      <w:r>
        <w:rPr>
          <w:rFonts w:ascii="Times New Roman" w:cs="Times New Roman" w:eastAsia="Times New Roman" w:hAnsi="Times New Roman"/>
          <w:sz w:val="16"/>
          <w:szCs w:val="16"/>
          <w:color w:val="auto"/>
        </w:rPr>
        <w:t xml:space="preserve">Vista ventral de </w:t>
      </w:r>
      <w:r>
        <w:rPr>
          <w:rFonts w:ascii="Times New Roman" w:cs="Times New Roman" w:eastAsia="Times New Roman" w:hAnsi="Times New Roman"/>
          <w:sz w:val="16"/>
          <w:szCs w:val="16"/>
          <w:i w:val="1"/>
          <w:iCs w:val="1"/>
          <w:color w:val="auto"/>
        </w:rPr>
        <w:t>S. bicanthalis</w:t>
      </w:r>
      <w:r>
        <w:rPr>
          <w:rFonts w:ascii="Times New Roman" w:cs="Times New Roman" w:eastAsia="Times New Roman" w:hAnsi="Times New Roman"/>
          <w:sz w:val="16"/>
          <w:szCs w:val="16"/>
          <w:color w:val="auto"/>
        </w:rPr>
        <w:t xml:space="preserve"> donde se representan las variables morfométricas que se midieron del cuerpo y las extremidades.</w:t>
      </w:r>
    </w:p>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9" w:lineRule="exact"/>
        <w:rPr>
          <w:sz w:val="20"/>
          <w:szCs w:val="20"/>
          <w:color w:val="auto"/>
        </w:rPr>
      </w:pPr>
    </w:p>
    <w:p>
      <w:pPr>
        <w:jc w:val="both"/>
        <w:spacing w:after="0" w:line="299" w:lineRule="auto"/>
        <w:rPr>
          <w:sz w:val="20"/>
          <w:szCs w:val="20"/>
          <w:color w:val="auto"/>
        </w:rPr>
      </w:pPr>
      <w:r>
        <w:rPr>
          <w:rFonts w:ascii="Times New Roman" w:cs="Times New Roman" w:eastAsia="Times New Roman" w:hAnsi="Times New Roman"/>
          <w:sz w:val="16"/>
          <w:szCs w:val="16"/>
          <w:color w:val="auto"/>
        </w:rPr>
        <w:t xml:space="preserve">Vista ventral de la palma de la extremidad anterior de </w:t>
      </w:r>
      <w:r>
        <w:rPr>
          <w:rFonts w:ascii="Times New Roman" w:cs="Times New Roman" w:eastAsia="Times New Roman" w:hAnsi="Times New Roman"/>
          <w:sz w:val="16"/>
          <w:szCs w:val="16"/>
          <w:i w:val="1"/>
          <w:iCs w:val="1"/>
          <w:color w:val="auto"/>
        </w:rPr>
        <w:t>S. bicanthalis</w:t>
      </w:r>
      <w:r>
        <w:rPr>
          <w:rFonts w:ascii="Times New Roman" w:cs="Times New Roman" w:eastAsia="Times New Roman" w:hAnsi="Times New Roman"/>
          <w:sz w:val="16"/>
          <w:szCs w:val="16"/>
          <w:color w:val="auto"/>
        </w:rPr>
        <w:t xml:space="preserve"> donde se representan las variables morfométricas.</w:t>
      </w:r>
    </w:p>
    <w:p>
      <w:pPr>
        <w:sectPr>
          <w:pgSz w:w="9360" w:h="13039" w:orient="portrait"/>
          <w:cols w:equalWidth="0" w:num="2">
            <w:col w:w="3360" w:space="480"/>
            <w:col w:w="3360"/>
          </w:cols>
          <w:pgMar w:left="1060" w:top="906" w:right="1100" w:bottom="437" w:gutter="0" w:footer="0" w:header="0"/>
          <w:type w:val="continuous"/>
        </w:sectPr>
      </w:pPr>
    </w:p>
    <w:p>
      <w:pPr>
        <w:spacing w:after="0" w:line="103" w:lineRule="exact"/>
        <w:rPr>
          <w:sz w:val="20"/>
          <w:szCs w:val="20"/>
          <w:color w:val="auto"/>
        </w:rPr>
      </w:pPr>
    </w:p>
    <w:p>
      <w:pPr>
        <w:ind w:left="2920"/>
        <w:spacing w:after="0"/>
        <w:rPr>
          <w:sz w:val="20"/>
          <w:szCs w:val="20"/>
          <w:color w:val="auto"/>
        </w:rPr>
      </w:pPr>
      <w:r>
        <w:rPr>
          <w:rFonts w:ascii="Times New Roman" w:cs="Times New Roman" w:eastAsia="Times New Roman" w:hAnsi="Times New Roman"/>
          <w:sz w:val="16"/>
          <w:szCs w:val="16"/>
          <w:color w:val="auto"/>
        </w:rPr>
        <w:t>Fuente: Suárez, 2010.</w:t>
      </w:r>
    </w:p>
    <w:p>
      <w:pPr>
        <w:spacing w:after="0" w:line="351" w:lineRule="exact"/>
        <w:rPr>
          <w:sz w:val="20"/>
          <w:szCs w:val="20"/>
          <w:color w:val="auto"/>
        </w:rPr>
      </w:pPr>
    </w:p>
    <w:p>
      <w:pPr>
        <w:jc w:val="both"/>
        <w:spacing w:after="0" w:line="315" w:lineRule="auto"/>
        <w:rPr>
          <w:sz w:val="20"/>
          <w:szCs w:val="20"/>
          <w:color w:val="auto"/>
        </w:rPr>
      </w:pPr>
      <w:r>
        <w:rPr>
          <w:rFonts w:ascii="Times New Roman" w:cs="Times New Roman" w:eastAsia="Times New Roman" w:hAnsi="Times New Roman"/>
          <w:sz w:val="22"/>
          <w:szCs w:val="22"/>
          <w:color w:val="auto"/>
        </w:rPr>
        <w:t>Todas las imágenes fueron procesadas; las medidas, calculadas en milímetros (mm), se trabajaron con el programa ImageJ y se elaboró una base de datos en el programa Excel MR para ordenar los datos de cada individuo por especie.</w:t>
      </w:r>
    </w:p>
    <w:p>
      <w:pPr>
        <w:sectPr>
          <w:pgSz w:w="9360" w:h="13039" w:orient="portrait"/>
          <w:cols w:equalWidth="0" w:num="1">
            <w:col w:w="7200"/>
          </w:cols>
          <w:pgMar w:left="1080" w:top="906" w:right="1080" w:bottom="437" w:gutter="0" w:footer="0" w:header="0"/>
          <w:type w:val="continuous"/>
        </w:sectPr>
      </w:pPr>
    </w:p>
    <w:p>
      <w:pPr>
        <w:spacing w:after="0" w:line="200" w:lineRule="exact"/>
        <w:rPr>
          <w:sz w:val="20"/>
          <w:szCs w:val="20"/>
          <w:color w:val="auto"/>
        </w:rPr>
      </w:pPr>
    </w:p>
    <w:p>
      <w:pPr>
        <w:spacing w:after="0" w:line="329"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10" name="Shape 11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10" o:spid="_x0000_s113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11" name="Shape 11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11" o:spid="_x0000_s113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12" name="Shape 11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12" o:spid="_x0000_s113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55" w:name="page56"/>
    <w:bookmarkEnd w:id="55"/>
    <w:p>
      <w:pPr>
        <w:ind w:left="1080"/>
        <w:spacing w:after="0"/>
        <w:tabs>
          <w:tab w:leader="dot" w:pos="7020" w:val="left"/>
        </w:tabs>
        <w:rPr>
          <w:sz w:val="20"/>
          <w:szCs w:val="20"/>
          <w:color w:val="auto"/>
        </w:rPr>
      </w:pPr>
      <w:r>
        <w:rPr>
          <w:rFonts w:ascii="Arial Narrow" w:cs="Arial Narrow" w:eastAsia="Arial Narrow" w:hAnsi="Arial Narrow"/>
          <w:sz w:val="11"/>
          <w:szCs w:val="11"/>
          <w:color w:val="auto"/>
        </w:rPr>
        <w:t>morfología corporal y comparación de la velocidad de escape en algunas especies</w:t>
      </w:r>
      <w:r>
        <w:rPr>
          <w:sz w:val="20"/>
          <w:szCs w:val="20"/>
          <w:color w:val="auto"/>
        </w:rPr>
        <w:tab/>
      </w:r>
      <w:r>
        <w:rPr>
          <w:rFonts w:ascii="Arial Narrow" w:cs="Arial Narrow" w:eastAsia="Arial Narrow" w:hAnsi="Arial Narrow"/>
          <w:sz w:val="16"/>
          <w:szCs w:val="16"/>
          <w:color w:val="auto"/>
        </w:rPr>
        <w:t>55</w:t>
      </w:r>
    </w:p>
    <w:p>
      <w:pPr>
        <w:spacing w:after="0" w:line="200" w:lineRule="exact"/>
        <w:rPr>
          <w:sz w:val="20"/>
          <w:szCs w:val="20"/>
          <w:color w:val="auto"/>
        </w:rPr>
      </w:pPr>
    </w:p>
    <w:p>
      <w:pPr>
        <w:spacing w:after="0" w:line="349"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Velocidad de escape</w:t>
      </w:r>
    </w:p>
    <w:p>
      <w:pPr>
        <w:spacing w:after="0" w:line="387" w:lineRule="exact"/>
        <w:rPr>
          <w:sz w:val="20"/>
          <w:szCs w:val="20"/>
          <w:color w:val="auto"/>
        </w:rPr>
      </w:pPr>
    </w:p>
    <w:p>
      <w:pPr>
        <w:jc w:val="both"/>
        <w:spacing w:after="0" w:line="318" w:lineRule="auto"/>
        <w:rPr>
          <w:sz w:val="20"/>
          <w:szCs w:val="20"/>
          <w:color w:val="auto"/>
        </w:rPr>
      </w:pPr>
      <w:r>
        <w:rPr>
          <w:rFonts w:ascii="Times New Roman" w:cs="Times New Roman" w:eastAsia="Times New Roman" w:hAnsi="Times New Roman"/>
          <w:sz w:val="21"/>
          <w:szCs w:val="21"/>
          <w:color w:val="auto"/>
        </w:rPr>
        <w:t>Para medir la velocidad de escape se construyó un carril de madera, con una pared de vidrio en el frente y una de madera atrás, ésta pintada de color blanco, cuya longitud fue de 200 x 20 x 20 cm. La pared blanca del carril fue marcada cada 10 cm para tener una mejor referencia de la distancia recorrida y el piso se cubrió de lija para madera con el objeto de que los lacertilios tuvieran tracción al momento de la carrera, de igual manera fue marcado cada 10 cm (Bonine y Garland, 1999).</w:t>
      </w: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Se usaron dos cámaras de video, una digital DVD Handycam Sony DCR-DVD 710 y otra Hard Drive Digital Camcorder DCR-SR62 30 GB. Ambas se colocaron de forma lateral frente a la pared de vidrio del carril, a una distancia considerable para enfocar los 200 cm del carril, aproximadamente a 150 cm, y cada una de ellas filmó 100 cm del carril.</w:t>
      </w:r>
    </w:p>
    <w:p>
      <w:pPr>
        <w:spacing w:after="0" w:line="3" w:lineRule="exact"/>
        <w:rPr>
          <w:sz w:val="20"/>
          <w:szCs w:val="20"/>
          <w:color w:val="auto"/>
        </w:rPr>
      </w:pPr>
    </w:p>
    <w:p>
      <w:pPr>
        <w:jc w:val="both"/>
        <w:ind w:firstLine="360"/>
        <w:spacing w:after="0" w:line="300" w:lineRule="auto"/>
        <w:rPr>
          <w:sz w:val="20"/>
          <w:szCs w:val="20"/>
          <w:color w:val="auto"/>
        </w:rPr>
      </w:pPr>
      <w:r>
        <w:rPr>
          <w:rFonts w:ascii="Times New Roman" w:cs="Times New Roman" w:eastAsia="Times New Roman" w:hAnsi="Times New Roman"/>
          <w:sz w:val="22"/>
          <w:szCs w:val="22"/>
          <w:color w:val="auto"/>
        </w:rPr>
        <w:t>Los videos de cada individuo se observaron en cámara lenta y se midió la distancia y tiempo que tardaron en recorrer el carril. Posteriormente se determinó la velocidad en cm/s, estableciendo la velocidad de escape como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color w:val="auto"/>
        </w:rPr>
        <w:t xml:space="preserve"> mediante la siguiente fórmula:</w:t>
      </w:r>
    </w:p>
    <w:p>
      <w:pPr>
        <w:spacing w:after="0" w:line="292" w:lineRule="exact"/>
        <w:rPr>
          <w:sz w:val="20"/>
          <w:szCs w:val="20"/>
          <w:color w:val="auto"/>
        </w:rPr>
      </w:pPr>
    </w:p>
    <w:p>
      <w:pPr>
        <w:ind w:left="2940"/>
        <w:spacing w:after="0"/>
        <w:rPr>
          <w:sz w:val="20"/>
          <w:szCs w:val="20"/>
          <w:color w:val="auto"/>
        </w:rPr>
      </w:pPr>
      <w:r>
        <w:rPr>
          <w:rFonts w:ascii="Times New Roman" w:cs="Times New Roman" w:eastAsia="Times New Roman" w:hAnsi="Times New Roman"/>
          <w:sz w:val="22"/>
          <w:szCs w:val="22"/>
          <w:color w:val="auto"/>
        </w:rPr>
        <w:t>Velocidad = d/t</w:t>
      </w:r>
    </w:p>
    <w:p>
      <w:pPr>
        <w:spacing w:after="0" w:line="38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Donde:</w:t>
      </w:r>
    </w:p>
    <w:p>
      <w:pPr>
        <w:spacing w:after="0" w:line="67" w:lineRule="exact"/>
        <w:rPr>
          <w:sz w:val="20"/>
          <w:szCs w:val="20"/>
          <w:color w:val="auto"/>
        </w:rPr>
      </w:pPr>
    </w:p>
    <w:p>
      <w:pPr>
        <w:ind w:left="640" w:right="4580"/>
        <w:spacing w:after="0" w:line="327" w:lineRule="auto"/>
        <w:rPr>
          <w:sz w:val="20"/>
          <w:szCs w:val="20"/>
          <w:color w:val="auto"/>
        </w:rPr>
      </w:pPr>
      <w:r>
        <w:rPr>
          <w:rFonts w:ascii="Times New Roman" w:cs="Times New Roman" w:eastAsia="Times New Roman" w:hAnsi="Times New Roman"/>
          <w:sz w:val="22"/>
          <w:szCs w:val="22"/>
          <w:color w:val="auto"/>
        </w:rPr>
        <w:t>d = distancia recorrida t = tiempo</w:t>
      </w:r>
    </w:p>
    <w:p>
      <w:pPr>
        <w:spacing w:after="0" w:line="271" w:lineRule="exact"/>
        <w:rPr>
          <w:sz w:val="20"/>
          <w:szCs w:val="20"/>
          <w:color w:val="auto"/>
        </w:rPr>
      </w:pPr>
    </w:p>
    <w:p>
      <w:pPr>
        <w:jc w:val="both"/>
        <w:spacing w:after="0" w:line="342" w:lineRule="auto"/>
        <w:rPr>
          <w:sz w:val="20"/>
          <w:szCs w:val="20"/>
          <w:color w:val="auto"/>
        </w:rPr>
      </w:pPr>
      <w:r>
        <w:rPr>
          <w:rFonts w:ascii="Times New Roman" w:cs="Times New Roman" w:eastAsia="Times New Roman" w:hAnsi="Times New Roman"/>
          <w:sz w:val="20"/>
          <w:szCs w:val="20"/>
          <w:color w:val="auto"/>
        </w:rPr>
        <w:t xml:space="preserve">Previamente, se revisaron estudios comparativos y se buscó la temperatura óptima de actividad en campo de los lacertilios (Irschick y Jayne, 1999; Bonine y Garland, 1999); se registró una temperatura entre 25 y 40 °C para especies de los géneros </w:t>
      </w:r>
      <w:r>
        <w:rPr>
          <w:rFonts w:ascii="Times New Roman" w:cs="Times New Roman" w:eastAsia="Times New Roman" w:hAnsi="Times New Roman"/>
          <w:sz w:val="20"/>
          <w:szCs w:val="20"/>
          <w:i w:val="1"/>
          <w:iCs w:val="1"/>
          <w:color w:val="auto"/>
        </w:rPr>
        <w:t>Scelopours</w:t>
      </w:r>
      <w:r>
        <w:rPr>
          <w:rFonts w:ascii="Times New Roman" w:cs="Times New Roman" w:eastAsia="Times New Roman" w:hAnsi="Times New Roman"/>
          <w:sz w:val="20"/>
          <w:szCs w:val="20"/>
          <w:color w:val="auto"/>
        </w:rPr>
        <w:t xml:space="preserve"> y </w:t>
      </w:r>
      <w:r>
        <w:rPr>
          <w:rFonts w:ascii="Times New Roman" w:cs="Times New Roman" w:eastAsia="Times New Roman" w:hAnsi="Times New Roman"/>
          <w:sz w:val="20"/>
          <w:szCs w:val="20"/>
          <w:i w:val="1"/>
          <w:iCs w:val="1"/>
          <w:color w:val="auto"/>
        </w:rPr>
        <w:t>Phrynosoma</w:t>
      </w:r>
      <w:r>
        <w:rPr>
          <w:rFonts w:ascii="Times New Roman" w:cs="Times New Roman" w:eastAsia="Times New Roman" w:hAnsi="Times New Roman"/>
          <w:sz w:val="20"/>
          <w:szCs w:val="20"/>
          <w:color w:val="auto"/>
        </w:rPr>
        <w:t xml:space="preserve">; adicionalmente, Rodríguez-Romero </w:t>
      </w:r>
      <w:r>
        <w:rPr>
          <w:rFonts w:ascii="Times New Roman" w:cs="Times New Roman" w:eastAsia="Times New Roman" w:hAnsi="Times New Roman"/>
          <w:sz w:val="20"/>
          <w:szCs w:val="20"/>
          <w:i w:val="1"/>
          <w:iCs w:val="1"/>
          <w:color w:val="auto"/>
        </w:rPr>
        <w:t>et al.</w:t>
      </w:r>
      <w:r>
        <w:rPr>
          <w:rFonts w:ascii="Times New Roman" w:cs="Times New Roman" w:eastAsia="Times New Roman" w:hAnsi="Times New Roman"/>
          <w:sz w:val="20"/>
          <w:szCs w:val="20"/>
          <w:color w:val="auto"/>
        </w:rPr>
        <w:t xml:space="preserve"> (2002) reportan para las especies del género </w:t>
      </w:r>
      <w:r>
        <w:rPr>
          <w:rFonts w:ascii="Times New Roman" w:cs="Times New Roman" w:eastAsia="Times New Roman" w:hAnsi="Times New Roman"/>
          <w:sz w:val="20"/>
          <w:szCs w:val="20"/>
          <w:i w:val="1"/>
          <w:iCs w:val="1"/>
          <w:color w:val="auto"/>
        </w:rPr>
        <w:t>Sceloporus</w:t>
      </w:r>
      <w:r>
        <w:rPr>
          <w:rFonts w:ascii="Times New Roman" w:cs="Times New Roman" w:eastAsia="Times New Roman" w:hAnsi="Times New Roman"/>
          <w:sz w:val="20"/>
          <w:szCs w:val="20"/>
          <w:color w:val="auto"/>
        </w:rPr>
        <w:t xml:space="preserve"> una temperatura entre 35.5 y 34.9 </w:t>
      </w:r>
      <w:r>
        <w:rPr>
          <w:rFonts w:ascii="Times New Roman" w:cs="Times New Roman" w:eastAsia="Times New Roman" w:hAnsi="Times New Roman"/>
          <w:sz w:val="20"/>
          <w:szCs w:val="20"/>
          <w:b w:val="1"/>
          <w:bCs w:val="1"/>
          <w:color w:val="auto"/>
        </w:rPr>
        <w:t>°</w:t>
      </w:r>
      <w:r>
        <w:rPr>
          <w:rFonts w:ascii="Times New Roman" w:cs="Times New Roman" w:eastAsia="Times New Roman" w:hAnsi="Times New Roman"/>
          <w:sz w:val="20"/>
          <w:szCs w:val="20"/>
          <w:color w:val="auto"/>
        </w:rPr>
        <w:t xml:space="preserve">C; mientras que, para los géneros </w:t>
      </w:r>
      <w:r>
        <w:rPr>
          <w:rFonts w:ascii="Times New Roman" w:cs="Times New Roman" w:eastAsia="Times New Roman" w:hAnsi="Times New Roman"/>
          <w:sz w:val="20"/>
          <w:szCs w:val="20"/>
          <w:i w:val="1"/>
          <w:iCs w:val="1"/>
          <w:color w:val="auto"/>
        </w:rPr>
        <w:t>Aspidoscelis</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Cnemidophorus</w:t>
      </w:r>
      <w:r>
        <w:rPr>
          <w:rFonts w:ascii="Times New Roman" w:cs="Times New Roman" w:eastAsia="Times New Roman" w:hAnsi="Times New Roman"/>
          <w:sz w:val="20"/>
          <w:szCs w:val="20"/>
          <w:color w:val="auto"/>
        </w:rPr>
        <w:t xml:space="preserve">), Bonine y Garland (1999) calculan una temperatura óptima de 40 °C aproximadamente; para </w:t>
      </w:r>
      <w:r>
        <w:rPr>
          <w:rFonts w:ascii="Times New Roman" w:cs="Times New Roman" w:eastAsia="Times New Roman" w:hAnsi="Times New Roman"/>
          <w:sz w:val="20"/>
          <w:szCs w:val="20"/>
          <w:i w:val="1"/>
          <w:iCs w:val="1"/>
          <w:color w:val="auto"/>
        </w:rPr>
        <w:t>Barisia</w:t>
      </w:r>
      <w:r>
        <w:rPr>
          <w:rFonts w:ascii="Times New Roman" w:cs="Times New Roman" w:eastAsia="Times New Roman" w:hAnsi="Times New Roman"/>
          <w:sz w:val="20"/>
          <w:szCs w:val="20"/>
          <w:color w:val="auto"/>
        </w:rPr>
        <w:t xml:space="preserve"> se trabajó la temperatura</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330"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56" w:name="page57"/>
    <w:bookmarkEnd w:id="56"/>
    <w:p>
      <w:pPr>
        <w:spacing w:after="0"/>
        <w:tabs>
          <w:tab w:leader="none" w:pos="1960" w:val="left"/>
          <w:tab w:leader="none" w:pos="3100" w:val="left"/>
          <w:tab w:leader="none" w:pos="4260" w:val="left"/>
        </w:tabs>
        <w:rPr>
          <w:sz w:val="20"/>
          <w:szCs w:val="20"/>
          <w:color w:val="auto"/>
        </w:rPr>
      </w:pPr>
      <w:r>
        <w:rPr>
          <w:rFonts w:ascii="Arial Narrow" w:cs="Arial Narrow" w:eastAsia="Arial Narrow" w:hAnsi="Arial Narrow"/>
          <w:sz w:val="16"/>
          <w:szCs w:val="16"/>
          <w:color w:val="auto"/>
        </w:rPr>
        <w:t>56</w:t>
      </w:r>
      <w:r>
        <w:rPr>
          <w:sz w:val="20"/>
          <w:szCs w:val="20"/>
          <w:color w:val="auto"/>
        </w:rPr>
        <w:tab/>
      </w: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1945640</wp:posOffset>
                </wp:positionH>
                <wp:positionV relativeFrom="paragraph">
                  <wp:posOffset>-76835</wp:posOffset>
                </wp:positionV>
                <wp:extent cx="0" cy="88900"/>
                <wp:wrapNone/>
                <wp:docPr id="113" name="Shape 11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13" o:spid="_x0000_s113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3.2pt,-6.0499pt" to="153.2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2689225</wp:posOffset>
                </wp:positionH>
                <wp:positionV relativeFrom="paragraph">
                  <wp:posOffset>-76835</wp:posOffset>
                </wp:positionV>
                <wp:extent cx="0" cy="88900"/>
                <wp:wrapNone/>
                <wp:docPr id="114" name="Shape 11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14" o:spid="_x0000_s113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1.75pt,-6.0499pt" to="211.75pt,0.95pt" o:allowincell="f" strokecolor="#000000" strokeweight="0.4pt"/>
            </w:pict>
          </mc:Fallback>
        </mc:AlternateContent>
      </w:r>
    </w:p>
    <w:p>
      <w:pPr>
        <w:spacing w:after="0" w:line="347" w:lineRule="exact"/>
        <w:rPr>
          <w:sz w:val="20"/>
          <w:szCs w:val="20"/>
          <w:color w:val="auto"/>
        </w:rPr>
      </w:pPr>
    </w:p>
    <w:p>
      <w:pPr>
        <w:jc w:val="both"/>
        <w:spacing w:after="0" w:line="318" w:lineRule="auto"/>
        <w:rPr>
          <w:sz w:val="20"/>
          <w:szCs w:val="20"/>
          <w:color w:val="auto"/>
        </w:rPr>
      </w:pPr>
      <w:r>
        <w:rPr>
          <w:rFonts w:ascii="Times New Roman" w:cs="Times New Roman" w:eastAsia="Times New Roman" w:hAnsi="Times New Roman"/>
          <w:sz w:val="21"/>
          <w:szCs w:val="21"/>
          <w:color w:val="auto"/>
        </w:rPr>
        <w:t xml:space="preserve">reportada por Bonine y Garland (1999) de 35 °C, la cual utilizaron para </w:t>
      </w:r>
      <w:r>
        <w:rPr>
          <w:rFonts w:ascii="Times New Roman" w:cs="Times New Roman" w:eastAsia="Times New Roman" w:hAnsi="Times New Roman"/>
          <w:sz w:val="21"/>
          <w:szCs w:val="21"/>
          <w:i w:val="1"/>
          <w:iCs w:val="1"/>
          <w:color w:val="auto"/>
        </w:rPr>
        <w:t>Elgaria kingii.</w:t>
      </w:r>
      <w:r>
        <w:rPr>
          <w:rFonts w:ascii="Times New Roman" w:cs="Times New Roman" w:eastAsia="Times New Roman" w:hAnsi="Times New Roman"/>
          <w:sz w:val="21"/>
          <w:szCs w:val="21"/>
          <w:color w:val="auto"/>
        </w:rPr>
        <w:t xml:space="preserve"> Cada individuo fue colocado en un terrario y expuesto a luz incandescente dos horas antes de ponerlos a correr (Bonine y Garland, 1999) a fin de que alcanzaran su punto recomendable de termorregulación y actividad metabólica (Rodríguez-Romero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xml:space="preserve">, 2002). Después, cada individuo fue removido del terrario y se colocó en el carril de madera, e inmediatamente se activaron las cámaras para filmar el video de cada lacertilio durante su carrera de escape (Vanhooydonck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2006).</w:t>
      </w: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Todas las pruebas de velocidad fueron realizadas al siguiente día de captura de los individuos. Durante tres días se realizaron tres repeticiones por individuo. De cada repetición se registró la velocidad y para los análisis estadísticos se tomó en cuenta la mayor velocidad mostrada por cada individuo (Vanhooydonck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2006; Bonine y Garland, 1999).</w:t>
      </w:r>
    </w:p>
    <w:p>
      <w:pPr>
        <w:spacing w:after="0" w:line="3"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Con base en estudios que demuestran que los lacertilios presentan diferentes velocidades dependiendo del contexto ecológico y la situación a la que se ven expuestos, como el forrajeo, búsqueda de pareja, defensa de territorio o escape de sus depredadores (Peterson y Husak, 2006; Husak y Fox, 2003), y enfocándonos en nuestro objetivo, que es la velocidad de escape, se indujo que las lagartijas corrieran mediante estímulos, tocándoles ligeramente la cola o haciendo movimientos con la mano por detrás de ellas para ahuyentarlas –utilizado en el presente estudio– simulando ser un depredador potencial.</w:t>
      </w:r>
    </w:p>
    <w:p>
      <w:pPr>
        <w:spacing w:after="0" w:line="5"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Si se considera que la técnica manejada en el presente estudio fue estandarizada bajo condiciones controladas de laboratorio, algunas especies tal vez no alcanzaron su velocidad máxima.</w:t>
      </w:r>
    </w:p>
    <w:p>
      <w:pPr>
        <w:spacing w:after="0" w:line="2" w:lineRule="exact"/>
        <w:rPr>
          <w:sz w:val="20"/>
          <w:szCs w:val="20"/>
          <w:color w:val="auto"/>
        </w:rPr>
      </w:pPr>
    </w:p>
    <w:p>
      <w:pPr>
        <w:jc w:val="both"/>
        <w:ind w:firstLine="360"/>
        <w:spacing w:after="0" w:line="311" w:lineRule="auto"/>
        <w:rPr>
          <w:sz w:val="20"/>
          <w:szCs w:val="20"/>
          <w:color w:val="auto"/>
        </w:rPr>
      </w:pPr>
      <w:r>
        <w:rPr>
          <w:rFonts w:ascii="Times New Roman" w:cs="Times New Roman" w:eastAsia="Times New Roman" w:hAnsi="Times New Roman"/>
          <w:sz w:val="22"/>
          <w:szCs w:val="22"/>
          <w:color w:val="auto"/>
        </w:rPr>
        <w:t>Con los datos obtenidos tanto de morfometría como de velocidad de escape, se hizo una matriz de datos en el programa Excel MR. Para realizar todos los análisis estadísticos, la información fue procesada con el programa Stat-Graphics versión 5.0.</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3"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15" name="Shape 11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15" o:spid="_x0000_s114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16" name="Shape 11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16" o:spid="_x0000_s114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17" name="Shape 11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17" o:spid="_x0000_s114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57" w:name="page58"/>
    <w:bookmarkEnd w:id="57"/>
    <w:p>
      <w:pPr>
        <w:ind w:left="1080"/>
        <w:spacing w:after="0"/>
        <w:tabs>
          <w:tab w:leader="dot" w:pos="7020" w:val="left"/>
        </w:tabs>
        <w:rPr>
          <w:sz w:val="20"/>
          <w:szCs w:val="20"/>
          <w:color w:val="auto"/>
        </w:rPr>
      </w:pPr>
      <w:r>
        <w:rPr>
          <w:rFonts w:ascii="Arial Narrow" w:cs="Arial Narrow" w:eastAsia="Arial Narrow" w:hAnsi="Arial Narrow"/>
          <w:sz w:val="11"/>
          <w:szCs w:val="11"/>
          <w:color w:val="auto"/>
        </w:rPr>
        <w:t>morfología corporal y comparación de la velocidad de escape en algunas especies</w:t>
      </w:r>
      <w:r>
        <w:rPr>
          <w:sz w:val="20"/>
          <w:szCs w:val="20"/>
          <w:color w:val="auto"/>
        </w:rPr>
        <w:tab/>
      </w:r>
      <w:r>
        <w:rPr>
          <w:rFonts w:ascii="Arial Narrow" w:cs="Arial Narrow" w:eastAsia="Arial Narrow" w:hAnsi="Arial Narrow"/>
          <w:sz w:val="16"/>
          <w:szCs w:val="16"/>
          <w:color w:val="auto"/>
        </w:rPr>
        <w:t>57</w:t>
      </w:r>
    </w:p>
    <w:p>
      <w:pPr>
        <w:spacing w:after="0" w:line="200" w:lineRule="exact"/>
        <w:rPr>
          <w:sz w:val="20"/>
          <w:szCs w:val="20"/>
          <w:color w:val="auto"/>
        </w:rPr>
      </w:pPr>
    </w:p>
    <w:p>
      <w:pPr>
        <w:spacing w:after="0" w:line="349"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Análisis estadísticos:</w:t>
      </w:r>
    </w:p>
    <w:p>
      <w:pPr>
        <w:spacing w:after="0" w:line="78"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variables morfométricas y morfometría</w:t>
      </w:r>
    </w:p>
    <w:p>
      <w:pPr>
        <w:spacing w:after="0" w:line="200" w:lineRule="exact"/>
        <w:rPr>
          <w:sz w:val="20"/>
          <w:szCs w:val="20"/>
          <w:color w:val="auto"/>
        </w:rPr>
      </w:pPr>
    </w:p>
    <w:p>
      <w:pPr>
        <w:spacing w:after="0" w:line="209" w:lineRule="exact"/>
        <w:rPr>
          <w:sz w:val="20"/>
          <w:szCs w:val="20"/>
          <w:color w:val="auto"/>
        </w:rPr>
      </w:pPr>
    </w:p>
    <w:p>
      <w:pPr>
        <w:jc w:val="both"/>
        <w:spacing w:after="0" w:line="307" w:lineRule="auto"/>
        <w:rPr>
          <w:sz w:val="20"/>
          <w:szCs w:val="20"/>
          <w:color w:val="auto"/>
        </w:rPr>
      </w:pPr>
      <w:r>
        <w:rPr>
          <w:rFonts w:ascii="Times New Roman" w:cs="Times New Roman" w:eastAsia="Times New Roman" w:hAnsi="Times New Roman"/>
          <w:sz w:val="22"/>
          <w:szCs w:val="22"/>
          <w:color w:val="auto"/>
        </w:rPr>
        <w:t>Se aplicó un análisis de regresión simple para conocer el vínculo entre la lhc como variable independiente y cada una de las ocho variables morfométricas restantes como variables dependientes. Posteriormente, para estandarizar las variables morfométricas con respecto a la lhc, se transformaron los datos de la regresión mediante la obtención de residuales y, de esta manera, se eliminó el efecto de la talla sobre las variables morfométricas (Husak, 2006; Zar, 1999).</w:t>
      </w: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 xml:space="preserve">Para examinar las diferencias de la forma corporal entre las especies, se llevó a cabo una clasificación según la descripción que se hizo de las especies anteriormente; así, se dividieron en cilíndrica para </w:t>
      </w:r>
      <w:r>
        <w:rPr>
          <w:rFonts w:ascii="Times New Roman" w:cs="Times New Roman" w:eastAsia="Times New Roman" w:hAnsi="Times New Roman"/>
          <w:sz w:val="21"/>
          <w:szCs w:val="21"/>
          <w:i w:val="1"/>
          <w:iCs w:val="1"/>
          <w:color w:val="auto"/>
        </w:rPr>
        <w:t>A. costata</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B. imbricata,</w:t>
      </w:r>
      <w:r>
        <w:rPr>
          <w:rFonts w:ascii="Times New Roman" w:cs="Times New Roman" w:eastAsia="Times New Roman" w:hAnsi="Times New Roman"/>
          <w:sz w:val="21"/>
          <w:szCs w:val="21"/>
          <w:color w:val="auto"/>
        </w:rPr>
        <w:t xml:space="preserve"> y en robusta para las cinco restantes (</w:t>
      </w:r>
      <w:r>
        <w:rPr>
          <w:rFonts w:ascii="Times New Roman" w:cs="Times New Roman" w:eastAsia="Times New Roman" w:hAnsi="Times New Roman"/>
          <w:sz w:val="21"/>
          <w:szCs w:val="21"/>
          <w:i w:val="1"/>
          <w:iCs w:val="1"/>
          <w:color w:val="auto"/>
        </w:rPr>
        <w:t>S. grammicus, S. bicanthalis, S. aeneus, S. scalaris</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P. orbiculare</w:t>
      </w:r>
      <w:r>
        <w:rPr>
          <w:rFonts w:ascii="Times New Roman" w:cs="Times New Roman" w:eastAsia="Times New Roman" w:hAnsi="Times New Roman"/>
          <w:sz w:val="21"/>
          <w:szCs w:val="21"/>
          <w:color w:val="auto"/>
        </w:rPr>
        <w:t>).</w:t>
      </w: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También se realizó un análisis de funciones discriminantes (afd) a partir de los residuales de las ocho variables morfométricas y las especies como criterios de clasificación. De igual manera, se hizo un afd usando como criterio de clasificación una variable combinada (sexo/especie) para determinar si existen diferencias entre machos y hembras respecto a la morfometría. Con el afd se notó la formación de grupos entre especies y entre sexos; además, se determinó cuáles son los caracteres morfométricos más importantes que causan una discriminación entre grupos (Irschick y Jayne, 1999).</w:t>
      </w:r>
    </w:p>
    <w:p>
      <w:pPr>
        <w:spacing w:after="0" w:line="5" w:lineRule="exact"/>
        <w:rPr>
          <w:sz w:val="20"/>
          <w:szCs w:val="20"/>
          <w:color w:val="auto"/>
        </w:rPr>
      </w:pPr>
    </w:p>
    <w:p>
      <w:pPr>
        <w:jc w:val="both"/>
        <w:ind w:firstLine="360"/>
        <w:spacing w:after="0" w:line="306" w:lineRule="auto"/>
        <w:rPr>
          <w:sz w:val="20"/>
          <w:szCs w:val="20"/>
          <w:color w:val="auto"/>
        </w:rPr>
      </w:pPr>
      <w:r>
        <w:rPr>
          <w:rFonts w:ascii="Times New Roman" w:cs="Times New Roman" w:eastAsia="Times New Roman" w:hAnsi="Times New Roman"/>
          <w:sz w:val="22"/>
          <w:szCs w:val="22"/>
          <w:color w:val="auto"/>
        </w:rPr>
        <w:t xml:space="preserve">En los análisis de </w:t>
      </w:r>
      <w:r>
        <w:rPr>
          <w:rFonts w:ascii="Times New Roman" w:cs="Times New Roman" w:eastAsia="Times New Roman" w:hAnsi="Times New Roman"/>
          <w:sz w:val="22"/>
          <w:szCs w:val="22"/>
          <w:i w:val="1"/>
          <w:iCs w:val="1"/>
          <w:color w:val="auto"/>
        </w:rPr>
        <w:t>B. imbricata</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S. aeneus</w:t>
      </w:r>
      <w:r>
        <w:rPr>
          <w:rFonts w:ascii="Times New Roman" w:cs="Times New Roman" w:eastAsia="Times New Roman" w:hAnsi="Times New Roman"/>
          <w:sz w:val="22"/>
          <w:szCs w:val="22"/>
          <w:color w:val="auto"/>
        </w:rPr>
        <w:t xml:space="preserve">, para los que se obtuvieron muestras de tres y dos localidades respectivamente, primero se aplicó una prueba de normalidad para los datos de cada especie; después se empleó un análisis de covarianza (Ancova) para cada especie utilizando las diferentes poblaciones como factor, la velocidad de escape como variable independiente y la lhc como variable covariada para comprobar si existen diferencias en la velocidad de escape entre las distintas especies, además de observar el efecto de la talla, lhc, con el objeto de considerar a las especies de estas localidades como una sola población (Van Damme </w:t>
      </w:r>
      <w:r>
        <w:rPr>
          <w:rFonts w:ascii="Times New Roman" w:cs="Times New Roman" w:eastAsia="Times New Roman" w:hAnsi="Times New Roman"/>
          <w:sz w:val="22"/>
          <w:szCs w:val="22"/>
          <w:i w:val="1"/>
          <w:iCs w:val="1"/>
          <w:color w:val="auto"/>
        </w:rPr>
        <w:t xml:space="preserve">et al., </w:t>
      </w:r>
      <w:r>
        <w:rPr>
          <w:rFonts w:ascii="Times New Roman" w:cs="Times New Roman" w:eastAsia="Times New Roman" w:hAnsi="Times New Roman"/>
          <w:sz w:val="22"/>
          <w:szCs w:val="22"/>
          <w:color w:val="auto"/>
        </w:rPr>
        <w:t>1998; Zar, 1999).</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6"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58" w:name="page59"/>
    <w:bookmarkEnd w:id="58"/>
    <w:p>
      <w:pPr>
        <w:spacing w:after="0"/>
        <w:tabs>
          <w:tab w:leader="none" w:pos="1960" w:val="left"/>
          <w:tab w:leader="none" w:pos="3100" w:val="left"/>
          <w:tab w:leader="none" w:pos="4260" w:val="left"/>
        </w:tabs>
        <w:rPr>
          <w:sz w:val="20"/>
          <w:szCs w:val="20"/>
          <w:color w:val="auto"/>
        </w:rPr>
      </w:pPr>
      <w:r>
        <w:rPr>
          <w:rFonts w:ascii="Arial Narrow" w:cs="Arial Narrow" w:eastAsia="Arial Narrow" w:hAnsi="Arial Narrow"/>
          <w:sz w:val="16"/>
          <w:szCs w:val="16"/>
          <w:color w:val="auto"/>
        </w:rPr>
        <w:t>58</w:t>
      </w:r>
      <w:r>
        <w:rPr>
          <w:sz w:val="20"/>
          <w:szCs w:val="20"/>
          <w:color w:val="auto"/>
        </w:rPr>
        <w:tab/>
      </w: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1945640</wp:posOffset>
                </wp:positionH>
                <wp:positionV relativeFrom="paragraph">
                  <wp:posOffset>-76835</wp:posOffset>
                </wp:positionV>
                <wp:extent cx="0" cy="88900"/>
                <wp:wrapNone/>
                <wp:docPr id="118" name="Shape 11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18" o:spid="_x0000_s114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3.2pt,-6.0499pt" to="153.2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2689225</wp:posOffset>
                </wp:positionH>
                <wp:positionV relativeFrom="paragraph">
                  <wp:posOffset>-76835</wp:posOffset>
                </wp:positionV>
                <wp:extent cx="0" cy="88900"/>
                <wp:wrapNone/>
                <wp:docPr id="119" name="Shape 11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19" o:spid="_x0000_s114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1.75pt,-6.0499pt" to="211.75pt,0.95pt" o:allowincell="f" strokecolor="#000000" strokeweight="0.4pt"/>
            </w:pict>
          </mc:Fallback>
        </mc:AlternateContent>
      </w:r>
    </w:p>
    <w:p>
      <w:pPr>
        <w:spacing w:after="0" w:line="34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Velocidad de escape</w:t>
      </w:r>
    </w:p>
    <w:p>
      <w:pPr>
        <w:spacing w:after="0" w:line="387" w:lineRule="exact"/>
        <w:rPr>
          <w:sz w:val="20"/>
          <w:szCs w:val="20"/>
          <w:color w:val="auto"/>
        </w:rPr>
      </w:pPr>
    </w:p>
    <w:p>
      <w:pPr>
        <w:jc w:val="both"/>
        <w:spacing w:after="0" w:line="307" w:lineRule="auto"/>
        <w:rPr>
          <w:sz w:val="20"/>
          <w:szCs w:val="20"/>
          <w:color w:val="auto"/>
        </w:rPr>
      </w:pPr>
      <w:r>
        <w:rPr>
          <w:rFonts w:ascii="Times New Roman" w:cs="Times New Roman" w:eastAsia="Times New Roman" w:hAnsi="Times New Roman"/>
          <w:sz w:val="22"/>
          <w:szCs w:val="22"/>
          <w:color w:val="auto"/>
        </w:rPr>
        <w:t xml:space="preserve">El Ancova sirvió para comprobar si existen diferencias en la velocidad de escape entre especies y entre sexos por cada especie y para saber si la talla tiene un efecto en la velocidad de escape usando las diferentes especies como factor, la velocidad como variable independiente y la lhc como variable covariada. Se realizó un análisis de intervalos múltiples por medio de la prueba de la diferencia significativa menor (lsd), que permitió determinar la diferencia de las medias de velocidad entre especies (Van Damme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1998; Zar, 1999).</w:t>
      </w:r>
    </w:p>
    <w:p>
      <w:pPr>
        <w:spacing w:after="0" w:line="200" w:lineRule="exact"/>
        <w:rPr>
          <w:sz w:val="20"/>
          <w:szCs w:val="20"/>
          <w:color w:val="auto"/>
        </w:rPr>
      </w:pPr>
    </w:p>
    <w:p>
      <w:pPr>
        <w:spacing w:after="0" w:line="200" w:lineRule="exact"/>
        <w:rPr>
          <w:sz w:val="20"/>
          <w:szCs w:val="20"/>
          <w:color w:val="auto"/>
        </w:rPr>
      </w:pPr>
    </w:p>
    <w:p>
      <w:pPr>
        <w:spacing w:after="0" w:line="215"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Estructura del hábitat y altitud</w:t>
      </w:r>
    </w:p>
    <w:p>
      <w:pPr>
        <w:spacing w:after="0" w:line="38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Para probar el efecto del tipo de microhábitat y la altitud sobre la velocidad de escape, se realizó un análisis de varianza de un factor (Anova), el cual permitió examinar las diferencias de velocidad entre especies utilizando la velocidad como variable independiente y la altitud y el tipo de hábitat como factores (Irschick y Jayne, 1999).</w:t>
      </w:r>
    </w:p>
    <w:p>
      <w:pPr>
        <w:spacing w:after="0" w:line="3"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Al presentarse diferencias significativas en el análisis de varianza, se llevó a cabo un análisis de intervalos múltiples por medio de la prueba de lsd. Mediante ésta se determinó la diferencia de las medias de velocidad entre especies. Cabe destacar que la prueba lsd es la más recomendada para estudios biológicos (Zar, 1999).</w:t>
      </w: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Para estos análisis se tomaron en cuenta las especies </w:t>
      </w:r>
      <w:r>
        <w:rPr>
          <w:rFonts w:ascii="Times New Roman" w:cs="Times New Roman" w:eastAsia="Times New Roman" w:hAnsi="Times New Roman"/>
          <w:sz w:val="22"/>
          <w:szCs w:val="22"/>
          <w:i w:val="1"/>
          <w:iCs w:val="1"/>
          <w:color w:val="auto"/>
        </w:rPr>
        <w:t>S. aeneus</w:t>
      </w:r>
      <w:r>
        <w:rPr>
          <w:rFonts w:ascii="Times New Roman" w:cs="Times New Roman" w:eastAsia="Times New Roman" w:hAnsi="Times New Roman"/>
          <w:sz w:val="22"/>
          <w:szCs w:val="22"/>
          <w:color w:val="auto"/>
        </w:rPr>
        <w:t xml:space="preserve"> de las localidades del Parque Hermenegildo Galeana y El Mapa y </w:t>
      </w:r>
      <w:r>
        <w:rPr>
          <w:rFonts w:ascii="Times New Roman" w:cs="Times New Roman" w:eastAsia="Times New Roman" w:hAnsi="Times New Roman"/>
          <w:sz w:val="22"/>
          <w:szCs w:val="22"/>
          <w:i w:val="1"/>
          <w:iCs w:val="1"/>
          <w:color w:val="auto"/>
        </w:rPr>
        <w:t>B. imbricada</w:t>
      </w:r>
      <w:r>
        <w:rPr>
          <w:rFonts w:ascii="Times New Roman" w:cs="Times New Roman" w:eastAsia="Times New Roman" w:hAnsi="Times New Roman"/>
          <w:sz w:val="22"/>
          <w:szCs w:val="22"/>
          <w:color w:val="auto"/>
        </w:rPr>
        <w:t xml:space="preserve"> del Nevado de Toluca, El Mapa y el Parque Sierra Morelos por separado, debido a que son poblaciones que viven en diferentes altitudes y hábitat, y quizá la variación de estos factores modificaría los resultados.</w:t>
      </w:r>
    </w:p>
    <w:p>
      <w:pPr>
        <w:spacing w:after="0" w:line="3" w:lineRule="exact"/>
        <w:rPr>
          <w:sz w:val="20"/>
          <w:szCs w:val="20"/>
          <w:color w:val="auto"/>
        </w:rPr>
      </w:pPr>
    </w:p>
    <w:p>
      <w:pPr>
        <w:jc w:val="both"/>
        <w:ind w:firstLine="360"/>
        <w:spacing w:after="0" w:line="350" w:lineRule="auto"/>
        <w:rPr>
          <w:sz w:val="20"/>
          <w:szCs w:val="20"/>
          <w:color w:val="auto"/>
        </w:rPr>
      </w:pPr>
      <w:r>
        <w:rPr>
          <w:rFonts w:ascii="Times New Roman" w:cs="Times New Roman" w:eastAsia="Times New Roman" w:hAnsi="Times New Roman"/>
          <w:sz w:val="20"/>
          <w:szCs w:val="20"/>
          <w:color w:val="auto"/>
        </w:rPr>
        <w:t>Garland (1999) demostró una relación significativa entre pruebas de resistencia en laboratorio y pruebas de conducta en campo entre diferentes especies de lagartijas, donde evidencia que animales capturados recientemente muestran movimientos característicos a los que desarrollan en campo. Por lo tanto, estos análisis se realizaron</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23"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20" name="Shape 12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20" o:spid="_x0000_s114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21" name="Shape 12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21" o:spid="_x0000_s114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22" name="Shape 12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22" o:spid="_x0000_s114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59" w:name="page60"/>
    <w:bookmarkEnd w:id="59"/>
    <w:p>
      <w:pPr>
        <w:ind w:left="1080"/>
        <w:spacing w:after="0"/>
        <w:tabs>
          <w:tab w:leader="dot" w:pos="7020" w:val="left"/>
        </w:tabs>
        <w:rPr>
          <w:sz w:val="20"/>
          <w:szCs w:val="20"/>
          <w:color w:val="auto"/>
        </w:rPr>
      </w:pPr>
      <w:r>
        <w:rPr>
          <w:rFonts w:ascii="Arial Narrow" w:cs="Arial Narrow" w:eastAsia="Arial Narrow" w:hAnsi="Arial Narrow"/>
          <w:sz w:val="11"/>
          <w:szCs w:val="11"/>
          <w:color w:val="auto"/>
        </w:rPr>
        <w:t>morfología corporal y comparación de la velocidad de escape en algunas especies</w:t>
      </w:r>
      <w:r>
        <w:rPr>
          <w:sz w:val="20"/>
          <w:szCs w:val="20"/>
          <w:color w:val="auto"/>
        </w:rPr>
        <w:tab/>
      </w:r>
      <w:r>
        <w:rPr>
          <w:rFonts w:ascii="Arial Narrow" w:cs="Arial Narrow" w:eastAsia="Arial Narrow" w:hAnsi="Arial Narrow"/>
          <w:sz w:val="16"/>
          <w:szCs w:val="16"/>
          <w:color w:val="auto"/>
        </w:rPr>
        <w:t>59</w:t>
      </w:r>
    </w:p>
    <w:p>
      <w:pPr>
        <w:spacing w:after="0" w:line="200" w:lineRule="exact"/>
        <w:rPr>
          <w:sz w:val="20"/>
          <w:szCs w:val="20"/>
          <w:color w:val="auto"/>
        </w:rPr>
      </w:pPr>
    </w:p>
    <w:p>
      <w:pPr>
        <w:spacing w:after="0" w:line="349" w:lineRule="exact"/>
        <w:rPr>
          <w:sz w:val="20"/>
          <w:szCs w:val="20"/>
          <w:color w:val="auto"/>
        </w:rPr>
      </w:pPr>
    </w:p>
    <w:p>
      <w:pPr>
        <w:jc w:val="both"/>
        <w:spacing w:after="0" w:line="315" w:lineRule="auto"/>
        <w:rPr>
          <w:sz w:val="20"/>
          <w:szCs w:val="20"/>
          <w:color w:val="auto"/>
        </w:rPr>
      </w:pPr>
      <w:r>
        <w:rPr>
          <w:rFonts w:ascii="Times New Roman" w:cs="Times New Roman" w:eastAsia="Times New Roman" w:hAnsi="Times New Roman"/>
          <w:sz w:val="22"/>
          <w:szCs w:val="22"/>
          <w:color w:val="auto"/>
        </w:rPr>
        <w:t>para obtener una perspectiva de cómo podrían comportarse las especies en su hábitat natural, recordando que las pruebas se llevaron a cabo en laboratorio y bajo las mismas condiciones para las siete especies.</w:t>
      </w:r>
    </w:p>
    <w:p>
      <w:pPr>
        <w:spacing w:after="0" w:line="200" w:lineRule="exact"/>
        <w:rPr>
          <w:sz w:val="20"/>
          <w:szCs w:val="20"/>
          <w:color w:val="auto"/>
        </w:rPr>
      </w:pPr>
    </w:p>
    <w:p>
      <w:pPr>
        <w:spacing w:after="0" w:line="200" w:lineRule="exact"/>
        <w:rPr>
          <w:sz w:val="20"/>
          <w:szCs w:val="20"/>
          <w:color w:val="auto"/>
        </w:rPr>
      </w:pPr>
    </w:p>
    <w:p>
      <w:pPr>
        <w:spacing w:after="0" w:line="204"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Relación entre morfometría y velocidad</w:t>
      </w:r>
    </w:p>
    <w:p>
      <w:pPr>
        <w:spacing w:after="0" w:line="387" w:lineRule="exact"/>
        <w:rPr>
          <w:sz w:val="20"/>
          <w:szCs w:val="20"/>
          <w:color w:val="auto"/>
        </w:rPr>
      </w:pPr>
    </w:p>
    <w:p>
      <w:pPr>
        <w:jc w:val="both"/>
        <w:spacing w:after="0" w:line="309" w:lineRule="auto"/>
        <w:rPr>
          <w:sz w:val="20"/>
          <w:szCs w:val="20"/>
          <w:color w:val="auto"/>
        </w:rPr>
      </w:pPr>
      <w:r>
        <w:rPr>
          <w:rFonts w:ascii="Times New Roman" w:cs="Times New Roman" w:eastAsia="Times New Roman" w:hAnsi="Times New Roman"/>
          <w:sz w:val="22"/>
          <w:szCs w:val="22"/>
          <w:color w:val="auto"/>
        </w:rPr>
        <w:t>Finalmente, mediante el afd que se utilizó con el fin de conocer la variación en la morfometría, se obtuvieron las funciones discriminantes estadísticamente más significativas para realizar un análisis de regresión simple de las variables morfometría contra velocidad de escape y, de esta manera, conocer si existe una relación entre ambas variables para las siete especies (Bonine y Garland, 1999).</w:t>
      </w:r>
    </w:p>
    <w:p>
      <w:pPr>
        <w:spacing w:after="0" w:line="200" w:lineRule="exact"/>
        <w:rPr>
          <w:sz w:val="20"/>
          <w:szCs w:val="20"/>
          <w:color w:val="auto"/>
        </w:rPr>
      </w:pPr>
    </w:p>
    <w:p>
      <w:pPr>
        <w:spacing w:after="0" w:line="200" w:lineRule="exact"/>
        <w:rPr>
          <w:sz w:val="20"/>
          <w:szCs w:val="20"/>
          <w:color w:val="auto"/>
        </w:rPr>
      </w:pPr>
    </w:p>
    <w:p>
      <w:pPr>
        <w:spacing w:after="0" w:line="211"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Resultados</w:t>
      </w:r>
    </w:p>
    <w:p>
      <w:pPr>
        <w:spacing w:after="0" w:line="38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Variables morfométricas y morfometría</w:t>
      </w:r>
    </w:p>
    <w:p>
      <w:pPr>
        <w:spacing w:after="0" w:line="38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 xml:space="preserve">Se colectaron noventa individuos de siete especies diferentes, pertenecientes a tres familias (Phrynosomatidae, Anguidae y Teiidae), y se identificaron machos y hembras para cada especie. Para las especies </w:t>
      </w:r>
      <w:r>
        <w:rPr>
          <w:rFonts w:ascii="Times New Roman" w:cs="Times New Roman" w:eastAsia="Times New Roman" w:hAnsi="Times New Roman"/>
          <w:sz w:val="22"/>
          <w:szCs w:val="22"/>
          <w:i w:val="1"/>
          <w:iCs w:val="1"/>
          <w:color w:val="auto"/>
        </w:rPr>
        <w:t>A. costata</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S. scalaris</w:t>
      </w:r>
      <w:r>
        <w:rPr>
          <w:rFonts w:ascii="Times New Roman" w:cs="Times New Roman" w:eastAsia="Times New Roman" w:hAnsi="Times New Roman"/>
          <w:sz w:val="22"/>
          <w:szCs w:val="22"/>
          <w:color w:val="auto"/>
        </w:rPr>
        <w:t xml:space="preserve"> se recolectó únicamente un macho por especie, y para </w:t>
      </w:r>
      <w:r>
        <w:rPr>
          <w:rFonts w:ascii="Times New Roman" w:cs="Times New Roman" w:eastAsia="Times New Roman" w:hAnsi="Times New Roman"/>
          <w:sz w:val="22"/>
          <w:szCs w:val="22"/>
          <w:i w:val="1"/>
          <w:iCs w:val="1"/>
          <w:color w:val="auto"/>
        </w:rPr>
        <w:t>S. grammicus,</w:t>
      </w:r>
      <w:r>
        <w:rPr>
          <w:rFonts w:ascii="Times New Roman" w:cs="Times New Roman" w:eastAsia="Times New Roman" w:hAnsi="Times New Roman"/>
          <w:sz w:val="22"/>
          <w:szCs w:val="22"/>
          <w:color w:val="auto"/>
        </w:rPr>
        <w:t xml:space="preserve"> una hembra.</w:t>
      </w:r>
    </w:p>
    <w:p>
      <w:pPr>
        <w:spacing w:after="0" w:line="2"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Las especies examinadas tuvieron diferente forma corporal, ya que las pertenecientes a la familia Phrynosomatidae (</w:t>
      </w:r>
      <w:r>
        <w:rPr>
          <w:rFonts w:ascii="Times New Roman" w:cs="Times New Roman" w:eastAsia="Times New Roman" w:hAnsi="Times New Roman"/>
          <w:sz w:val="22"/>
          <w:szCs w:val="22"/>
          <w:i w:val="1"/>
          <w:iCs w:val="1"/>
          <w:color w:val="auto"/>
        </w:rPr>
        <w:t>S. grammicus, S. bicanthalis, S. aeneus, S. scalaris</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orbiculare</w:t>
      </w:r>
      <w:r>
        <w:rPr>
          <w:rFonts w:ascii="Times New Roman" w:cs="Times New Roman" w:eastAsia="Times New Roman" w:hAnsi="Times New Roman"/>
          <w:sz w:val="22"/>
          <w:szCs w:val="22"/>
          <w:color w:val="auto"/>
        </w:rPr>
        <w:t>) presentaron una forma del cuerpo robusta; mientras que las dos especies</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restantes, de las familias Teiidae (</w:t>
      </w:r>
      <w:r>
        <w:rPr>
          <w:rFonts w:ascii="Times New Roman" w:cs="Times New Roman" w:eastAsia="Times New Roman" w:hAnsi="Times New Roman"/>
          <w:sz w:val="22"/>
          <w:szCs w:val="22"/>
          <w:i w:val="1"/>
          <w:iCs w:val="1"/>
          <w:color w:val="auto"/>
        </w:rPr>
        <w:t>A. costata)</w:t>
      </w:r>
      <w:r>
        <w:rPr>
          <w:rFonts w:ascii="Times New Roman" w:cs="Times New Roman" w:eastAsia="Times New Roman" w:hAnsi="Times New Roman"/>
          <w:sz w:val="22"/>
          <w:szCs w:val="22"/>
          <w:color w:val="auto"/>
        </w:rPr>
        <w:t xml:space="preserve"> y Anguidae </w:t>
      </w:r>
      <w:r>
        <w:rPr>
          <w:rFonts w:ascii="Times New Roman" w:cs="Times New Roman" w:eastAsia="Times New Roman" w:hAnsi="Times New Roman"/>
          <w:sz w:val="22"/>
          <w:szCs w:val="22"/>
          <w:i w:val="1"/>
          <w:iCs w:val="1"/>
          <w:color w:val="auto"/>
        </w:rPr>
        <w:t>(B. imbricata)</w:t>
      </w:r>
      <w:r>
        <w:rPr>
          <w:rFonts w:ascii="Times New Roman" w:cs="Times New Roman" w:eastAsia="Times New Roman" w:hAnsi="Times New Roman"/>
          <w:sz w:val="22"/>
          <w:szCs w:val="22"/>
          <w:color w:val="auto"/>
        </w:rPr>
        <w:t>, una forma del cuerpo cilíndrica.</w:t>
      </w:r>
    </w:p>
    <w:p>
      <w:pPr>
        <w:spacing w:after="0" w:line="3" w:lineRule="exact"/>
        <w:rPr>
          <w:sz w:val="20"/>
          <w:szCs w:val="20"/>
          <w:color w:val="auto"/>
        </w:rPr>
      </w:pPr>
    </w:p>
    <w:p>
      <w:pPr>
        <w:jc w:val="both"/>
        <w:ind w:firstLine="360"/>
        <w:spacing w:after="0" w:line="330" w:lineRule="auto"/>
        <w:rPr>
          <w:sz w:val="20"/>
          <w:szCs w:val="20"/>
          <w:color w:val="auto"/>
        </w:rPr>
      </w:pPr>
      <w:r>
        <w:rPr>
          <w:rFonts w:ascii="Times New Roman" w:cs="Times New Roman" w:eastAsia="Times New Roman" w:hAnsi="Times New Roman"/>
          <w:sz w:val="21"/>
          <w:szCs w:val="21"/>
          <w:color w:val="auto"/>
        </w:rPr>
        <w:t>El análisis de discriminantes indica la formación de tres grupos morfológicamente distintos respecto a las ocho variables morfológicas del cuerpo. Las funciones discriminantes 1 (FD1) y 2 (FD2) fueron las que mostraron mayor significancia estadística en relación con las demás funciones (cuadro 1).</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336"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60" w:name="page61"/>
    <w:bookmarkEnd w:id="60"/>
    <w:p>
      <w:pPr>
        <w:spacing w:after="0"/>
        <w:tabs>
          <w:tab w:leader="none" w:pos="1960" w:val="left"/>
          <w:tab w:leader="none" w:pos="3100" w:val="left"/>
          <w:tab w:leader="none" w:pos="4260" w:val="left"/>
        </w:tabs>
        <w:rPr>
          <w:sz w:val="20"/>
          <w:szCs w:val="20"/>
          <w:color w:val="auto"/>
        </w:rPr>
      </w:pPr>
      <w:r>
        <w:rPr>
          <w:rFonts w:ascii="Arial Narrow" w:cs="Arial Narrow" w:eastAsia="Arial Narrow" w:hAnsi="Arial Narrow"/>
          <w:sz w:val="16"/>
          <w:szCs w:val="16"/>
          <w:color w:val="auto"/>
        </w:rPr>
        <w:t>60</w:t>
      </w:r>
      <w:r>
        <w:rPr>
          <w:sz w:val="20"/>
          <w:szCs w:val="20"/>
          <w:color w:val="auto"/>
        </w:rPr>
        <w:tab/>
      </w: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1945640</wp:posOffset>
                </wp:positionH>
                <wp:positionV relativeFrom="paragraph">
                  <wp:posOffset>-76835</wp:posOffset>
                </wp:positionV>
                <wp:extent cx="0" cy="88900"/>
                <wp:wrapNone/>
                <wp:docPr id="123" name="Shape 12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23" o:spid="_x0000_s114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3.2pt,-6.0499pt" to="153.2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2689225</wp:posOffset>
                </wp:positionH>
                <wp:positionV relativeFrom="paragraph">
                  <wp:posOffset>-76835</wp:posOffset>
                </wp:positionV>
                <wp:extent cx="0" cy="88900"/>
                <wp:wrapNone/>
                <wp:docPr id="124" name="Shape 12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24" o:spid="_x0000_s114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1.75pt,-6.0499pt" to="211.75pt,0.95pt" o:allowincell="f" strokecolor="#000000" strokeweight="0.4pt"/>
            </w:pict>
          </mc:Fallback>
        </mc:AlternateContent>
      </w:r>
    </w:p>
    <w:p>
      <w:pPr>
        <w:spacing w:after="0" w:line="355" w:lineRule="exact"/>
        <w:rPr>
          <w:sz w:val="20"/>
          <w:szCs w:val="20"/>
          <w:color w:val="auto"/>
        </w:rPr>
      </w:pPr>
    </w:p>
    <w:p>
      <w:pPr>
        <w:ind w:left="3280"/>
        <w:spacing w:after="0"/>
        <w:rPr>
          <w:sz w:val="20"/>
          <w:szCs w:val="20"/>
          <w:color w:val="auto"/>
        </w:rPr>
      </w:pPr>
      <w:r>
        <w:rPr>
          <w:rFonts w:ascii="Times New Roman" w:cs="Times New Roman" w:eastAsia="Times New Roman" w:hAnsi="Times New Roman"/>
          <w:sz w:val="18"/>
          <w:szCs w:val="18"/>
          <w:i w:val="1"/>
          <w:iCs w:val="1"/>
          <w:color w:val="auto"/>
        </w:rPr>
        <w:t>Cuadro 1</w:t>
      </w:r>
    </w:p>
    <w:p>
      <w:pPr>
        <w:spacing w:after="0" w:line="33" w:lineRule="exact"/>
        <w:rPr>
          <w:sz w:val="20"/>
          <w:szCs w:val="20"/>
          <w:color w:val="auto"/>
        </w:rPr>
      </w:pPr>
    </w:p>
    <w:p>
      <w:pPr>
        <w:ind w:left="1620"/>
        <w:spacing w:after="0"/>
        <w:rPr>
          <w:sz w:val="20"/>
          <w:szCs w:val="20"/>
          <w:color w:val="auto"/>
        </w:rPr>
      </w:pPr>
      <w:r>
        <w:rPr>
          <w:rFonts w:ascii="Times New Roman" w:cs="Times New Roman" w:eastAsia="Times New Roman" w:hAnsi="Times New Roman"/>
          <w:sz w:val="18"/>
          <w:szCs w:val="18"/>
          <w:color w:val="auto"/>
        </w:rPr>
        <w:t>Coeficientes del análisis de función discriminante</w:t>
      </w:r>
    </w:p>
    <w:p>
      <w:pPr>
        <w:spacing w:after="0" w:line="33" w:lineRule="exact"/>
        <w:rPr>
          <w:sz w:val="20"/>
          <w:szCs w:val="20"/>
          <w:color w:val="auto"/>
        </w:rPr>
      </w:pPr>
    </w:p>
    <w:p>
      <w:pPr>
        <w:ind w:left="880"/>
        <w:spacing w:after="0"/>
        <w:rPr>
          <w:sz w:val="20"/>
          <w:szCs w:val="20"/>
          <w:color w:val="auto"/>
        </w:rPr>
      </w:pPr>
      <w:r>
        <w:rPr>
          <w:rFonts w:ascii="Times New Roman" w:cs="Times New Roman" w:eastAsia="Times New Roman" w:hAnsi="Times New Roman"/>
          <w:sz w:val="18"/>
          <w:szCs w:val="18"/>
          <w:color w:val="auto"/>
        </w:rPr>
        <w:t>de las ocho variables morfométricas (se representan las siete especies)</w:t>
      </w:r>
    </w:p>
    <w:p>
      <w:pPr>
        <w:spacing w:after="0" w:line="188" w:lineRule="exact"/>
        <w:rPr>
          <w:sz w:val="20"/>
          <w:szCs w:val="20"/>
          <w:color w:val="auto"/>
        </w:rPr>
      </w:pPr>
    </w:p>
    <w:tbl>
      <w:tblPr>
        <w:tblLayout w:type="fixed"/>
        <w:tblInd w:w="10" w:type="dxa"/>
        <w:tblCellMar>
          <w:top w:w="0" w:type="dxa"/>
          <w:left w:w="0" w:type="dxa"/>
          <w:bottom w:w="0" w:type="dxa"/>
          <w:right w:w="0" w:type="dxa"/>
        </w:tblCellMar>
      </w:tblPr>
      <w:tr>
        <w:trPr>
          <w:trHeight w:val="286"/>
        </w:trPr>
        <w:tc>
          <w:tcPr>
            <w:tcW w:w="2420" w:type="dxa"/>
            <w:vAlign w:val="bottom"/>
            <w:tcBorders>
              <w:top w:val="single" w:sz="8" w:color="auto"/>
              <w:left w:val="single" w:sz="8" w:color="auto"/>
              <w:right w:val="single" w:sz="8" w:color="auto"/>
            </w:tcBorders>
          </w:tcPr>
          <w:p>
            <w:pPr>
              <w:ind w:left="960"/>
              <w:spacing w:after="0"/>
              <w:rPr>
                <w:sz w:val="20"/>
                <w:szCs w:val="20"/>
                <w:color w:val="auto"/>
              </w:rPr>
            </w:pPr>
            <w:r>
              <w:rPr>
                <w:rFonts w:ascii="Times New Roman" w:cs="Times New Roman" w:eastAsia="Times New Roman" w:hAnsi="Times New Roman"/>
                <w:sz w:val="16"/>
                <w:szCs w:val="16"/>
                <w:i w:val="1"/>
                <w:iCs w:val="1"/>
                <w:color w:val="auto"/>
              </w:rPr>
              <w:t>Variable</w:t>
            </w:r>
          </w:p>
        </w:tc>
        <w:tc>
          <w:tcPr>
            <w:tcW w:w="2400" w:type="dxa"/>
            <w:vAlign w:val="bottom"/>
            <w:tcBorders>
              <w:top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5"/>
              </w:rPr>
              <w:t>FD1</w:t>
            </w:r>
          </w:p>
        </w:tc>
        <w:tc>
          <w:tcPr>
            <w:tcW w:w="2380" w:type="dxa"/>
            <w:vAlign w:val="bottom"/>
            <w:tcBorders>
              <w:top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rPr>
              <w:t>FD2</w:t>
            </w:r>
          </w:p>
        </w:tc>
      </w:tr>
      <w:tr>
        <w:trPr>
          <w:trHeight w:val="57"/>
        </w:trPr>
        <w:tc>
          <w:tcPr>
            <w:tcW w:w="2420" w:type="dxa"/>
            <w:vAlign w:val="bottom"/>
            <w:tcBorders>
              <w:left w:val="single" w:sz="8" w:color="auto"/>
              <w:bottom w:val="single" w:sz="8" w:color="auto"/>
              <w:right w:val="single" w:sz="8" w:color="auto"/>
            </w:tcBorders>
          </w:tcPr>
          <w:p>
            <w:pPr>
              <w:spacing w:after="0"/>
              <w:rPr>
                <w:sz w:val="4"/>
                <w:szCs w:val="4"/>
                <w:color w:val="auto"/>
              </w:rPr>
            </w:pPr>
          </w:p>
        </w:tc>
        <w:tc>
          <w:tcPr>
            <w:tcW w:w="2400" w:type="dxa"/>
            <w:vAlign w:val="bottom"/>
            <w:tcBorders>
              <w:bottom w:val="single" w:sz="8" w:color="auto"/>
              <w:right w:val="single" w:sz="8" w:color="auto"/>
            </w:tcBorders>
          </w:tcPr>
          <w:p>
            <w:pPr>
              <w:spacing w:after="0"/>
              <w:rPr>
                <w:sz w:val="4"/>
                <w:szCs w:val="4"/>
                <w:color w:val="auto"/>
              </w:rPr>
            </w:pPr>
          </w:p>
        </w:tc>
        <w:tc>
          <w:tcPr>
            <w:tcW w:w="2380" w:type="dxa"/>
            <w:vAlign w:val="bottom"/>
            <w:tcBorders>
              <w:bottom w:val="single" w:sz="8" w:color="auto"/>
              <w:right w:val="single" w:sz="8" w:color="auto"/>
            </w:tcBorders>
          </w:tcPr>
          <w:p>
            <w:pPr>
              <w:spacing w:after="0"/>
              <w:rPr>
                <w:sz w:val="4"/>
                <w:szCs w:val="4"/>
                <w:color w:val="auto"/>
              </w:rPr>
            </w:pPr>
          </w:p>
        </w:tc>
      </w:tr>
      <w:tr>
        <w:trPr>
          <w:trHeight w:val="268"/>
        </w:trPr>
        <w:tc>
          <w:tcPr>
            <w:tcW w:w="2420" w:type="dxa"/>
            <w:vAlign w:val="bottom"/>
            <w:tcBorders>
              <w:left w:val="single" w:sz="8" w:color="auto"/>
              <w:right w:val="single" w:sz="8" w:color="auto"/>
            </w:tcBorders>
          </w:tcPr>
          <w:p>
            <w:pPr>
              <w:ind w:left="120"/>
              <w:spacing w:after="0"/>
              <w:rPr>
                <w:sz w:val="20"/>
                <w:szCs w:val="20"/>
                <w:color w:val="auto"/>
              </w:rPr>
            </w:pPr>
            <w:r>
              <w:rPr>
                <w:rFonts w:ascii="Times New Roman" w:cs="Times New Roman" w:eastAsia="Times New Roman" w:hAnsi="Times New Roman"/>
                <w:sz w:val="16"/>
                <w:szCs w:val="16"/>
                <w:color w:val="auto"/>
              </w:rPr>
              <w:t>Ancho palma (apm)</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-0.112368</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0.280912</w:t>
            </w:r>
          </w:p>
        </w:tc>
      </w:tr>
      <w:tr>
        <w:trPr>
          <w:trHeight w:val="55"/>
        </w:trPr>
        <w:tc>
          <w:tcPr>
            <w:tcW w:w="2420" w:type="dxa"/>
            <w:vAlign w:val="bottom"/>
            <w:tcBorders>
              <w:left w:val="single" w:sz="8" w:color="auto"/>
              <w:bottom w:val="single" w:sz="8" w:color="auto"/>
              <w:right w:val="single" w:sz="8" w:color="auto"/>
            </w:tcBorders>
          </w:tcPr>
          <w:p>
            <w:pPr>
              <w:spacing w:after="0"/>
              <w:rPr>
                <w:sz w:val="4"/>
                <w:szCs w:val="4"/>
                <w:color w:val="auto"/>
              </w:rPr>
            </w:pPr>
          </w:p>
        </w:tc>
        <w:tc>
          <w:tcPr>
            <w:tcW w:w="2400" w:type="dxa"/>
            <w:vAlign w:val="bottom"/>
            <w:tcBorders>
              <w:bottom w:val="single" w:sz="8" w:color="auto"/>
              <w:right w:val="single" w:sz="8" w:color="auto"/>
            </w:tcBorders>
          </w:tcPr>
          <w:p>
            <w:pPr>
              <w:spacing w:after="0"/>
              <w:rPr>
                <w:sz w:val="4"/>
                <w:szCs w:val="4"/>
                <w:color w:val="auto"/>
              </w:rPr>
            </w:pPr>
          </w:p>
        </w:tc>
        <w:tc>
          <w:tcPr>
            <w:tcW w:w="2380" w:type="dxa"/>
            <w:vAlign w:val="bottom"/>
            <w:tcBorders>
              <w:bottom w:val="single" w:sz="8" w:color="auto"/>
              <w:right w:val="single" w:sz="8" w:color="auto"/>
            </w:tcBorders>
          </w:tcPr>
          <w:p>
            <w:pPr>
              <w:spacing w:after="0"/>
              <w:rPr>
                <w:sz w:val="4"/>
                <w:szCs w:val="4"/>
                <w:color w:val="auto"/>
              </w:rPr>
            </w:pPr>
          </w:p>
        </w:tc>
      </w:tr>
      <w:tr>
        <w:trPr>
          <w:trHeight w:val="268"/>
        </w:trPr>
        <w:tc>
          <w:tcPr>
            <w:tcW w:w="2420" w:type="dxa"/>
            <w:vAlign w:val="bottom"/>
            <w:tcBorders>
              <w:left w:val="single" w:sz="8" w:color="auto"/>
              <w:right w:val="single" w:sz="8" w:color="auto"/>
            </w:tcBorders>
          </w:tcPr>
          <w:p>
            <w:pPr>
              <w:ind w:left="120"/>
              <w:spacing w:after="0"/>
              <w:rPr>
                <w:sz w:val="20"/>
                <w:szCs w:val="20"/>
                <w:color w:val="auto"/>
              </w:rPr>
            </w:pPr>
            <w:r>
              <w:rPr>
                <w:rFonts w:ascii="Times New Roman" w:cs="Times New Roman" w:eastAsia="Times New Roman" w:hAnsi="Times New Roman"/>
                <w:sz w:val="16"/>
                <w:szCs w:val="16"/>
                <w:color w:val="auto"/>
              </w:rPr>
              <w:t>Ancho planta (app)</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0.00927189</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0.124038</w:t>
            </w:r>
          </w:p>
        </w:tc>
      </w:tr>
      <w:tr>
        <w:trPr>
          <w:trHeight w:val="55"/>
        </w:trPr>
        <w:tc>
          <w:tcPr>
            <w:tcW w:w="2420" w:type="dxa"/>
            <w:vAlign w:val="bottom"/>
            <w:tcBorders>
              <w:left w:val="single" w:sz="8" w:color="auto"/>
              <w:bottom w:val="single" w:sz="8" w:color="auto"/>
              <w:right w:val="single" w:sz="8" w:color="auto"/>
            </w:tcBorders>
          </w:tcPr>
          <w:p>
            <w:pPr>
              <w:spacing w:after="0"/>
              <w:rPr>
                <w:sz w:val="4"/>
                <w:szCs w:val="4"/>
                <w:color w:val="auto"/>
              </w:rPr>
            </w:pPr>
          </w:p>
        </w:tc>
        <w:tc>
          <w:tcPr>
            <w:tcW w:w="2400" w:type="dxa"/>
            <w:vAlign w:val="bottom"/>
            <w:tcBorders>
              <w:bottom w:val="single" w:sz="8" w:color="auto"/>
              <w:right w:val="single" w:sz="8" w:color="auto"/>
            </w:tcBorders>
          </w:tcPr>
          <w:p>
            <w:pPr>
              <w:spacing w:after="0"/>
              <w:rPr>
                <w:sz w:val="4"/>
                <w:szCs w:val="4"/>
                <w:color w:val="auto"/>
              </w:rPr>
            </w:pPr>
          </w:p>
        </w:tc>
        <w:tc>
          <w:tcPr>
            <w:tcW w:w="2380" w:type="dxa"/>
            <w:vAlign w:val="bottom"/>
            <w:tcBorders>
              <w:bottom w:val="single" w:sz="8" w:color="auto"/>
              <w:right w:val="single" w:sz="8" w:color="auto"/>
            </w:tcBorders>
          </w:tcPr>
          <w:p>
            <w:pPr>
              <w:spacing w:after="0"/>
              <w:rPr>
                <w:sz w:val="4"/>
                <w:szCs w:val="4"/>
                <w:color w:val="auto"/>
              </w:rPr>
            </w:pPr>
          </w:p>
        </w:tc>
      </w:tr>
      <w:tr>
        <w:trPr>
          <w:trHeight w:val="268"/>
        </w:trPr>
        <w:tc>
          <w:tcPr>
            <w:tcW w:w="2420" w:type="dxa"/>
            <w:vAlign w:val="bottom"/>
            <w:tcBorders>
              <w:left w:val="single" w:sz="8" w:color="auto"/>
              <w:right w:val="single" w:sz="8" w:color="auto"/>
            </w:tcBorders>
          </w:tcPr>
          <w:p>
            <w:pPr>
              <w:ind w:left="120"/>
              <w:spacing w:after="0"/>
              <w:rPr>
                <w:sz w:val="20"/>
                <w:szCs w:val="20"/>
                <w:color w:val="auto"/>
              </w:rPr>
            </w:pPr>
            <w:r>
              <w:rPr>
                <w:rFonts w:ascii="Times New Roman" w:cs="Times New Roman" w:eastAsia="Times New Roman" w:hAnsi="Times New Roman"/>
                <w:sz w:val="16"/>
                <w:szCs w:val="16"/>
                <w:color w:val="auto"/>
              </w:rPr>
              <w:t>Longitud antebrazo (la)</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8"/>
              </w:rPr>
              <w:t>-0.0693339</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0.101938</w:t>
            </w:r>
          </w:p>
        </w:tc>
      </w:tr>
      <w:tr>
        <w:trPr>
          <w:trHeight w:val="55"/>
        </w:trPr>
        <w:tc>
          <w:tcPr>
            <w:tcW w:w="2420" w:type="dxa"/>
            <w:vAlign w:val="bottom"/>
            <w:tcBorders>
              <w:left w:val="single" w:sz="8" w:color="auto"/>
              <w:bottom w:val="single" w:sz="8" w:color="auto"/>
              <w:right w:val="single" w:sz="8" w:color="auto"/>
            </w:tcBorders>
          </w:tcPr>
          <w:p>
            <w:pPr>
              <w:spacing w:after="0"/>
              <w:rPr>
                <w:sz w:val="4"/>
                <w:szCs w:val="4"/>
                <w:color w:val="auto"/>
              </w:rPr>
            </w:pPr>
          </w:p>
        </w:tc>
        <w:tc>
          <w:tcPr>
            <w:tcW w:w="2400" w:type="dxa"/>
            <w:vAlign w:val="bottom"/>
            <w:tcBorders>
              <w:bottom w:val="single" w:sz="8" w:color="auto"/>
              <w:right w:val="single" w:sz="8" w:color="auto"/>
            </w:tcBorders>
          </w:tcPr>
          <w:p>
            <w:pPr>
              <w:spacing w:after="0"/>
              <w:rPr>
                <w:sz w:val="4"/>
                <w:szCs w:val="4"/>
                <w:color w:val="auto"/>
              </w:rPr>
            </w:pPr>
          </w:p>
        </w:tc>
        <w:tc>
          <w:tcPr>
            <w:tcW w:w="2380" w:type="dxa"/>
            <w:vAlign w:val="bottom"/>
            <w:tcBorders>
              <w:bottom w:val="single" w:sz="8" w:color="auto"/>
              <w:right w:val="single" w:sz="8" w:color="auto"/>
            </w:tcBorders>
          </w:tcPr>
          <w:p>
            <w:pPr>
              <w:spacing w:after="0"/>
              <w:rPr>
                <w:sz w:val="4"/>
                <w:szCs w:val="4"/>
                <w:color w:val="auto"/>
              </w:rPr>
            </w:pPr>
          </w:p>
        </w:tc>
      </w:tr>
      <w:tr>
        <w:trPr>
          <w:trHeight w:val="268"/>
        </w:trPr>
        <w:tc>
          <w:tcPr>
            <w:tcW w:w="2420" w:type="dxa"/>
            <w:vAlign w:val="bottom"/>
            <w:tcBorders>
              <w:left w:val="single" w:sz="8" w:color="auto"/>
              <w:right w:val="single" w:sz="8" w:color="auto"/>
            </w:tcBorders>
          </w:tcPr>
          <w:p>
            <w:pPr>
              <w:ind w:left="120"/>
              <w:spacing w:after="0"/>
              <w:rPr>
                <w:sz w:val="20"/>
                <w:szCs w:val="20"/>
                <w:color w:val="auto"/>
              </w:rPr>
            </w:pPr>
            <w:r>
              <w:rPr>
                <w:rFonts w:ascii="Times New Roman" w:cs="Times New Roman" w:eastAsia="Times New Roman" w:hAnsi="Times New Roman"/>
                <w:sz w:val="16"/>
                <w:szCs w:val="16"/>
                <w:color w:val="auto"/>
              </w:rPr>
              <w:t>Longitud fémur (lf)</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0.905017</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-0.270802</w:t>
            </w:r>
          </w:p>
        </w:tc>
      </w:tr>
      <w:tr>
        <w:trPr>
          <w:trHeight w:val="55"/>
        </w:trPr>
        <w:tc>
          <w:tcPr>
            <w:tcW w:w="2420" w:type="dxa"/>
            <w:vAlign w:val="bottom"/>
            <w:tcBorders>
              <w:left w:val="single" w:sz="8" w:color="auto"/>
              <w:bottom w:val="single" w:sz="8" w:color="auto"/>
              <w:right w:val="single" w:sz="8" w:color="auto"/>
            </w:tcBorders>
          </w:tcPr>
          <w:p>
            <w:pPr>
              <w:spacing w:after="0"/>
              <w:rPr>
                <w:sz w:val="4"/>
                <w:szCs w:val="4"/>
                <w:color w:val="auto"/>
              </w:rPr>
            </w:pPr>
          </w:p>
        </w:tc>
        <w:tc>
          <w:tcPr>
            <w:tcW w:w="2400" w:type="dxa"/>
            <w:vAlign w:val="bottom"/>
            <w:tcBorders>
              <w:bottom w:val="single" w:sz="8" w:color="auto"/>
              <w:right w:val="single" w:sz="8" w:color="auto"/>
            </w:tcBorders>
          </w:tcPr>
          <w:p>
            <w:pPr>
              <w:spacing w:after="0"/>
              <w:rPr>
                <w:sz w:val="4"/>
                <w:szCs w:val="4"/>
                <w:color w:val="auto"/>
              </w:rPr>
            </w:pPr>
          </w:p>
        </w:tc>
        <w:tc>
          <w:tcPr>
            <w:tcW w:w="2380" w:type="dxa"/>
            <w:vAlign w:val="bottom"/>
            <w:tcBorders>
              <w:bottom w:val="single" w:sz="8" w:color="auto"/>
              <w:right w:val="single" w:sz="8" w:color="auto"/>
            </w:tcBorders>
          </w:tcPr>
          <w:p>
            <w:pPr>
              <w:spacing w:after="0"/>
              <w:rPr>
                <w:sz w:val="4"/>
                <w:szCs w:val="4"/>
                <w:color w:val="auto"/>
              </w:rPr>
            </w:pPr>
          </w:p>
        </w:tc>
      </w:tr>
      <w:tr>
        <w:trPr>
          <w:trHeight w:val="268"/>
        </w:trPr>
        <w:tc>
          <w:tcPr>
            <w:tcW w:w="2420" w:type="dxa"/>
            <w:vAlign w:val="bottom"/>
            <w:tcBorders>
              <w:left w:val="single" w:sz="8" w:color="auto"/>
              <w:right w:val="single" w:sz="8" w:color="auto"/>
            </w:tcBorders>
          </w:tcPr>
          <w:p>
            <w:pPr>
              <w:ind w:left="120"/>
              <w:spacing w:after="0"/>
              <w:rPr>
                <w:sz w:val="20"/>
                <w:szCs w:val="20"/>
                <w:color w:val="auto"/>
              </w:rPr>
            </w:pPr>
            <w:r>
              <w:rPr>
                <w:rFonts w:ascii="Times New Roman" w:cs="Times New Roman" w:eastAsia="Times New Roman" w:hAnsi="Times New Roman"/>
                <w:sz w:val="16"/>
                <w:szCs w:val="16"/>
                <w:color w:val="auto"/>
              </w:rPr>
              <w:t>Largo palma (lpm)</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0.539411</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1.02063</w:t>
            </w:r>
          </w:p>
        </w:tc>
      </w:tr>
      <w:tr>
        <w:trPr>
          <w:trHeight w:val="55"/>
        </w:trPr>
        <w:tc>
          <w:tcPr>
            <w:tcW w:w="2420" w:type="dxa"/>
            <w:vAlign w:val="bottom"/>
            <w:tcBorders>
              <w:left w:val="single" w:sz="8" w:color="auto"/>
              <w:bottom w:val="single" w:sz="8" w:color="auto"/>
              <w:right w:val="single" w:sz="8" w:color="auto"/>
            </w:tcBorders>
          </w:tcPr>
          <w:p>
            <w:pPr>
              <w:spacing w:after="0"/>
              <w:rPr>
                <w:sz w:val="4"/>
                <w:szCs w:val="4"/>
                <w:color w:val="auto"/>
              </w:rPr>
            </w:pPr>
          </w:p>
        </w:tc>
        <w:tc>
          <w:tcPr>
            <w:tcW w:w="2400" w:type="dxa"/>
            <w:vAlign w:val="bottom"/>
            <w:tcBorders>
              <w:bottom w:val="single" w:sz="8" w:color="auto"/>
              <w:right w:val="single" w:sz="8" w:color="auto"/>
            </w:tcBorders>
          </w:tcPr>
          <w:p>
            <w:pPr>
              <w:spacing w:after="0"/>
              <w:rPr>
                <w:sz w:val="4"/>
                <w:szCs w:val="4"/>
                <w:color w:val="auto"/>
              </w:rPr>
            </w:pPr>
          </w:p>
        </w:tc>
        <w:tc>
          <w:tcPr>
            <w:tcW w:w="2380" w:type="dxa"/>
            <w:vAlign w:val="bottom"/>
            <w:tcBorders>
              <w:bottom w:val="single" w:sz="8" w:color="auto"/>
              <w:right w:val="single" w:sz="8" w:color="auto"/>
            </w:tcBorders>
          </w:tcPr>
          <w:p>
            <w:pPr>
              <w:spacing w:after="0"/>
              <w:rPr>
                <w:sz w:val="4"/>
                <w:szCs w:val="4"/>
                <w:color w:val="auto"/>
              </w:rPr>
            </w:pPr>
          </w:p>
        </w:tc>
      </w:tr>
      <w:tr>
        <w:trPr>
          <w:trHeight w:val="268"/>
        </w:trPr>
        <w:tc>
          <w:tcPr>
            <w:tcW w:w="2420" w:type="dxa"/>
            <w:vAlign w:val="bottom"/>
            <w:tcBorders>
              <w:left w:val="single" w:sz="8" w:color="auto"/>
              <w:right w:val="single" w:sz="8" w:color="auto"/>
            </w:tcBorders>
          </w:tcPr>
          <w:p>
            <w:pPr>
              <w:ind w:left="120"/>
              <w:spacing w:after="0"/>
              <w:rPr>
                <w:sz w:val="20"/>
                <w:szCs w:val="20"/>
                <w:color w:val="auto"/>
              </w:rPr>
            </w:pPr>
            <w:r>
              <w:rPr>
                <w:rFonts w:ascii="Times New Roman" w:cs="Times New Roman" w:eastAsia="Times New Roman" w:hAnsi="Times New Roman"/>
                <w:sz w:val="16"/>
                <w:szCs w:val="16"/>
                <w:color w:val="auto"/>
              </w:rPr>
              <w:t>Largo planta (lpp)</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0.319636</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-0.25349</w:t>
            </w:r>
          </w:p>
        </w:tc>
      </w:tr>
      <w:tr>
        <w:trPr>
          <w:trHeight w:val="55"/>
        </w:trPr>
        <w:tc>
          <w:tcPr>
            <w:tcW w:w="2420" w:type="dxa"/>
            <w:vAlign w:val="bottom"/>
            <w:tcBorders>
              <w:left w:val="single" w:sz="8" w:color="auto"/>
              <w:bottom w:val="single" w:sz="8" w:color="auto"/>
              <w:right w:val="single" w:sz="8" w:color="auto"/>
            </w:tcBorders>
          </w:tcPr>
          <w:p>
            <w:pPr>
              <w:spacing w:after="0"/>
              <w:rPr>
                <w:sz w:val="4"/>
                <w:szCs w:val="4"/>
                <w:color w:val="auto"/>
              </w:rPr>
            </w:pPr>
          </w:p>
        </w:tc>
        <w:tc>
          <w:tcPr>
            <w:tcW w:w="2400" w:type="dxa"/>
            <w:vAlign w:val="bottom"/>
            <w:tcBorders>
              <w:bottom w:val="single" w:sz="8" w:color="auto"/>
              <w:right w:val="single" w:sz="8" w:color="auto"/>
            </w:tcBorders>
          </w:tcPr>
          <w:p>
            <w:pPr>
              <w:spacing w:after="0"/>
              <w:rPr>
                <w:sz w:val="4"/>
                <w:szCs w:val="4"/>
                <w:color w:val="auto"/>
              </w:rPr>
            </w:pPr>
          </w:p>
        </w:tc>
        <w:tc>
          <w:tcPr>
            <w:tcW w:w="2380" w:type="dxa"/>
            <w:vAlign w:val="bottom"/>
            <w:tcBorders>
              <w:bottom w:val="single" w:sz="8" w:color="auto"/>
              <w:right w:val="single" w:sz="8" w:color="auto"/>
            </w:tcBorders>
          </w:tcPr>
          <w:p>
            <w:pPr>
              <w:spacing w:after="0"/>
              <w:rPr>
                <w:sz w:val="4"/>
                <w:szCs w:val="4"/>
                <w:color w:val="auto"/>
              </w:rPr>
            </w:pPr>
          </w:p>
        </w:tc>
      </w:tr>
      <w:tr>
        <w:trPr>
          <w:trHeight w:val="268"/>
        </w:trPr>
        <w:tc>
          <w:tcPr>
            <w:tcW w:w="2420" w:type="dxa"/>
            <w:vAlign w:val="bottom"/>
            <w:tcBorders>
              <w:left w:val="single" w:sz="8" w:color="auto"/>
              <w:right w:val="single" w:sz="8" w:color="auto"/>
            </w:tcBorders>
          </w:tcPr>
          <w:p>
            <w:pPr>
              <w:ind w:left="120"/>
              <w:spacing w:after="0"/>
              <w:rPr>
                <w:sz w:val="20"/>
                <w:szCs w:val="20"/>
                <w:color w:val="auto"/>
              </w:rPr>
            </w:pPr>
            <w:r>
              <w:rPr>
                <w:rFonts w:ascii="Times New Roman" w:cs="Times New Roman" w:eastAsia="Times New Roman" w:hAnsi="Times New Roman"/>
                <w:sz w:val="16"/>
                <w:szCs w:val="16"/>
                <w:color w:val="auto"/>
              </w:rPr>
              <w:t>Longitud radio (lr)</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0.0007009</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0.059404</w:t>
            </w:r>
          </w:p>
        </w:tc>
      </w:tr>
      <w:tr>
        <w:trPr>
          <w:trHeight w:val="55"/>
        </w:trPr>
        <w:tc>
          <w:tcPr>
            <w:tcW w:w="2420" w:type="dxa"/>
            <w:vAlign w:val="bottom"/>
            <w:tcBorders>
              <w:left w:val="single" w:sz="8" w:color="auto"/>
              <w:bottom w:val="single" w:sz="8" w:color="auto"/>
              <w:right w:val="single" w:sz="8" w:color="auto"/>
            </w:tcBorders>
          </w:tcPr>
          <w:p>
            <w:pPr>
              <w:spacing w:after="0"/>
              <w:rPr>
                <w:sz w:val="4"/>
                <w:szCs w:val="4"/>
                <w:color w:val="auto"/>
              </w:rPr>
            </w:pPr>
          </w:p>
        </w:tc>
        <w:tc>
          <w:tcPr>
            <w:tcW w:w="2400" w:type="dxa"/>
            <w:vAlign w:val="bottom"/>
            <w:tcBorders>
              <w:bottom w:val="single" w:sz="8" w:color="auto"/>
              <w:right w:val="single" w:sz="8" w:color="auto"/>
            </w:tcBorders>
          </w:tcPr>
          <w:p>
            <w:pPr>
              <w:spacing w:after="0"/>
              <w:rPr>
                <w:sz w:val="4"/>
                <w:szCs w:val="4"/>
                <w:color w:val="auto"/>
              </w:rPr>
            </w:pPr>
          </w:p>
        </w:tc>
        <w:tc>
          <w:tcPr>
            <w:tcW w:w="2380" w:type="dxa"/>
            <w:vAlign w:val="bottom"/>
            <w:tcBorders>
              <w:bottom w:val="single" w:sz="8" w:color="auto"/>
              <w:right w:val="single" w:sz="8" w:color="auto"/>
            </w:tcBorders>
          </w:tcPr>
          <w:p>
            <w:pPr>
              <w:spacing w:after="0"/>
              <w:rPr>
                <w:sz w:val="4"/>
                <w:szCs w:val="4"/>
                <w:color w:val="auto"/>
              </w:rPr>
            </w:pPr>
          </w:p>
        </w:tc>
      </w:tr>
      <w:tr>
        <w:trPr>
          <w:trHeight w:val="268"/>
        </w:trPr>
        <w:tc>
          <w:tcPr>
            <w:tcW w:w="2420" w:type="dxa"/>
            <w:vAlign w:val="bottom"/>
            <w:tcBorders>
              <w:left w:val="single" w:sz="8" w:color="auto"/>
              <w:right w:val="single" w:sz="8" w:color="auto"/>
            </w:tcBorders>
          </w:tcPr>
          <w:p>
            <w:pPr>
              <w:ind w:left="120"/>
              <w:spacing w:after="0"/>
              <w:rPr>
                <w:sz w:val="20"/>
                <w:szCs w:val="20"/>
                <w:color w:val="auto"/>
              </w:rPr>
            </w:pPr>
            <w:r>
              <w:rPr>
                <w:rFonts w:ascii="Times New Roman" w:cs="Times New Roman" w:eastAsia="Times New Roman" w:hAnsi="Times New Roman"/>
                <w:sz w:val="16"/>
                <w:szCs w:val="16"/>
                <w:color w:val="auto"/>
              </w:rPr>
              <w:t>Longitud tibia (lt)</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-0.540814</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-1.03951</w:t>
            </w:r>
          </w:p>
        </w:tc>
      </w:tr>
      <w:tr>
        <w:trPr>
          <w:trHeight w:val="55"/>
        </w:trPr>
        <w:tc>
          <w:tcPr>
            <w:tcW w:w="2420" w:type="dxa"/>
            <w:vAlign w:val="bottom"/>
            <w:tcBorders>
              <w:left w:val="single" w:sz="8" w:color="auto"/>
              <w:bottom w:val="single" w:sz="8" w:color="auto"/>
              <w:right w:val="single" w:sz="8" w:color="auto"/>
            </w:tcBorders>
          </w:tcPr>
          <w:p>
            <w:pPr>
              <w:spacing w:after="0"/>
              <w:rPr>
                <w:sz w:val="4"/>
                <w:szCs w:val="4"/>
                <w:color w:val="auto"/>
              </w:rPr>
            </w:pPr>
          </w:p>
        </w:tc>
        <w:tc>
          <w:tcPr>
            <w:tcW w:w="2400" w:type="dxa"/>
            <w:vAlign w:val="bottom"/>
            <w:tcBorders>
              <w:bottom w:val="single" w:sz="8" w:color="auto"/>
              <w:right w:val="single" w:sz="8" w:color="auto"/>
            </w:tcBorders>
          </w:tcPr>
          <w:p>
            <w:pPr>
              <w:spacing w:after="0"/>
              <w:rPr>
                <w:sz w:val="4"/>
                <w:szCs w:val="4"/>
                <w:color w:val="auto"/>
              </w:rPr>
            </w:pPr>
          </w:p>
        </w:tc>
        <w:tc>
          <w:tcPr>
            <w:tcW w:w="2380" w:type="dxa"/>
            <w:vAlign w:val="bottom"/>
            <w:tcBorders>
              <w:bottom w:val="single" w:sz="8" w:color="auto"/>
              <w:right w:val="single" w:sz="8" w:color="auto"/>
            </w:tcBorders>
          </w:tcPr>
          <w:p>
            <w:pPr>
              <w:spacing w:after="0"/>
              <w:rPr>
                <w:sz w:val="4"/>
                <w:szCs w:val="4"/>
                <w:color w:val="auto"/>
              </w:rPr>
            </w:pPr>
          </w:p>
        </w:tc>
      </w:tr>
    </w:tbl>
    <w:p>
      <w:pPr>
        <w:spacing w:after="0" w:line="163" w:lineRule="exact"/>
        <w:rPr>
          <w:sz w:val="20"/>
          <w:szCs w:val="20"/>
          <w:color w:val="auto"/>
        </w:rPr>
      </w:pPr>
    </w:p>
    <w:p>
      <w:pPr>
        <w:jc w:val="both"/>
        <w:spacing w:after="0" w:line="299" w:lineRule="auto"/>
        <w:rPr>
          <w:sz w:val="20"/>
          <w:szCs w:val="20"/>
          <w:color w:val="auto"/>
        </w:rPr>
      </w:pPr>
      <w:r>
        <w:rPr>
          <w:rFonts w:ascii="Times New Roman" w:cs="Times New Roman" w:eastAsia="Times New Roman" w:hAnsi="Times New Roman"/>
          <w:sz w:val="16"/>
          <w:szCs w:val="16"/>
          <w:color w:val="auto"/>
        </w:rPr>
        <w:t>Nota: FD1 y FD2 se refieren a la función discriminante 1 y 2 respectivamente; los números marcados con negritas representan los valores de la variable que causa la discriminación entre los grupos. La correlación canónica de FD1 y FD2 fue de 0.86178. (Fuente: Suárez, 2010).</w:t>
      </w:r>
    </w:p>
    <w:p>
      <w:pPr>
        <w:spacing w:after="0" w:line="200" w:lineRule="exact"/>
        <w:rPr>
          <w:sz w:val="20"/>
          <w:szCs w:val="20"/>
          <w:color w:val="auto"/>
        </w:rPr>
      </w:pPr>
    </w:p>
    <w:p>
      <w:pPr>
        <w:spacing w:after="0" w:line="200" w:lineRule="exact"/>
        <w:rPr>
          <w:sz w:val="20"/>
          <w:szCs w:val="20"/>
          <w:color w:val="auto"/>
        </w:rPr>
      </w:pPr>
    </w:p>
    <w:p>
      <w:pPr>
        <w:spacing w:after="0" w:line="25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 xml:space="preserve">La FD1 (lambda de Wilks = 0.0642547, </w:t>
      </w:r>
      <w:r>
        <w:rPr>
          <w:rFonts w:ascii="Times New Roman" w:cs="Times New Roman" w:eastAsia="Times New Roman" w:hAnsi="Times New Roman"/>
          <w:sz w:val="22"/>
          <w:szCs w:val="22"/>
          <w:i w:val="1"/>
          <w:iCs w:val="1"/>
          <w:color w:val="auto"/>
        </w:rPr>
        <w:t>gl</w:t>
      </w:r>
      <w:r>
        <w:rPr>
          <w:rFonts w:ascii="Times New Roman" w:cs="Times New Roman" w:eastAsia="Times New Roman" w:hAnsi="Times New Roman"/>
          <w:sz w:val="22"/>
          <w:szCs w:val="22"/>
          <w:color w:val="auto"/>
        </w:rPr>
        <w:t xml:space="preserve"> = 56, </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2"/>
          <w:szCs w:val="22"/>
          <w:color w:val="auto"/>
        </w:rPr>
        <w:t xml:space="preserve"> = 0.000) separa significativamente dos grupos: el primero conformado por </w:t>
      </w:r>
      <w:r>
        <w:rPr>
          <w:rFonts w:ascii="Times New Roman" w:cs="Times New Roman" w:eastAsia="Times New Roman" w:hAnsi="Times New Roman"/>
          <w:sz w:val="22"/>
          <w:szCs w:val="22"/>
          <w:i w:val="1"/>
          <w:iCs w:val="1"/>
          <w:color w:val="auto"/>
        </w:rPr>
        <w:t>P. orbiculare, S. grammicus, A. costata</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B.</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imbricata; </w:t>
      </w:r>
      <w:r>
        <w:rPr>
          <w:rFonts w:ascii="Times New Roman" w:cs="Times New Roman" w:eastAsia="Times New Roman" w:hAnsi="Times New Roman"/>
          <w:sz w:val="22"/>
          <w:szCs w:val="22"/>
          <w:color w:val="auto"/>
        </w:rPr>
        <w:t>el segundo, por</w:t>
      </w:r>
      <w:r>
        <w:rPr>
          <w:rFonts w:ascii="Times New Roman" w:cs="Times New Roman" w:eastAsia="Times New Roman" w:hAnsi="Times New Roman"/>
          <w:sz w:val="22"/>
          <w:szCs w:val="22"/>
          <w:i w:val="1"/>
          <w:iCs w:val="1"/>
          <w:color w:val="auto"/>
        </w:rPr>
        <w:t xml:space="preserve"> S. bicanthalis, S. aeneus, </w:t>
      </w:r>
      <w:r>
        <w:rPr>
          <w:rFonts w:ascii="Times New Roman" w:cs="Times New Roman" w:eastAsia="Times New Roman" w:hAnsi="Times New Roman"/>
          <w:sz w:val="22"/>
          <w:szCs w:val="22"/>
          <w:color w:val="auto"/>
        </w:rPr>
        <w:t>y</w:t>
      </w:r>
      <w:r>
        <w:rPr>
          <w:rFonts w:ascii="Times New Roman" w:cs="Times New Roman" w:eastAsia="Times New Roman" w:hAnsi="Times New Roman"/>
          <w:sz w:val="22"/>
          <w:szCs w:val="22"/>
          <w:i w:val="1"/>
          <w:iCs w:val="1"/>
          <w:color w:val="auto"/>
        </w:rPr>
        <w:t xml:space="preserve"> S. scalaris</w:t>
      </w:r>
      <w:r>
        <w:rPr>
          <w:rFonts w:ascii="Times New Roman" w:cs="Times New Roman" w:eastAsia="Times New Roman" w:hAnsi="Times New Roman"/>
          <w:sz w:val="22"/>
          <w:szCs w:val="22"/>
          <w:color w:val="auto"/>
        </w:rPr>
        <w:t>. Las variables de mayor</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discriminación entre ambos grupos son la lf, con el valor más positivo, y la lt, con el valor más negativo (figura 3).</w:t>
      </w:r>
    </w:p>
    <w:p>
      <w:pPr>
        <w:spacing w:after="0" w:line="3" w:lineRule="exact"/>
        <w:rPr>
          <w:sz w:val="20"/>
          <w:szCs w:val="20"/>
          <w:color w:val="auto"/>
        </w:rPr>
      </w:pPr>
    </w:p>
    <w:p>
      <w:pPr>
        <w:jc w:val="both"/>
        <w:ind w:firstLine="360"/>
        <w:spacing w:after="0" w:line="346" w:lineRule="auto"/>
        <w:rPr>
          <w:sz w:val="20"/>
          <w:szCs w:val="20"/>
          <w:color w:val="auto"/>
        </w:rPr>
      </w:pPr>
      <w:r>
        <w:rPr>
          <w:rFonts w:ascii="Times New Roman" w:cs="Times New Roman" w:eastAsia="Times New Roman" w:hAnsi="Times New Roman"/>
          <w:sz w:val="20"/>
          <w:szCs w:val="20"/>
          <w:color w:val="auto"/>
        </w:rPr>
        <w:t xml:space="preserve">La FD2 (lambda de Wilks = 0.249706, </w:t>
      </w:r>
      <w:r>
        <w:rPr>
          <w:rFonts w:ascii="Times New Roman" w:cs="Times New Roman" w:eastAsia="Times New Roman" w:hAnsi="Times New Roman"/>
          <w:sz w:val="20"/>
          <w:szCs w:val="20"/>
          <w:i w:val="1"/>
          <w:iCs w:val="1"/>
          <w:color w:val="auto"/>
        </w:rPr>
        <w:t>gl</w:t>
      </w:r>
      <w:r>
        <w:rPr>
          <w:rFonts w:ascii="Times New Roman" w:cs="Times New Roman" w:eastAsia="Times New Roman" w:hAnsi="Times New Roman"/>
          <w:sz w:val="20"/>
          <w:szCs w:val="20"/>
          <w:color w:val="auto"/>
        </w:rPr>
        <w:t xml:space="preserve"> = 42, </w:t>
      </w:r>
      <w:r>
        <w:rPr>
          <w:rFonts w:ascii="Times New Roman" w:cs="Times New Roman" w:eastAsia="Times New Roman" w:hAnsi="Times New Roman"/>
          <w:sz w:val="20"/>
          <w:szCs w:val="20"/>
          <w:i w:val="1"/>
          <w:iCs w:val="1"/>
          <w:color w:val="auto"/>
        </w:rPr>
        <w:t>p</w:t>
      </w:r>
      <w:r>
        <w:rPr>
          <w:rFonts w:ascii="Times New Roman" w:cs="Times New Roman" w:eastAsia="Times New Roman" w:hAnsi="Times New Roman"/>
          <w:sz w:val="20"/>
          <w:szCs w:val="20"/>
          <w:color w:val="auto"/>
        </w:rPr>
        <w:t xml:space="preserve"> = 0.000), por un lado, separa </w:t>
      </w:r>
      <w:r>
        <w:rPr>
          <w:rFonts w:ascii="Times New Roman" w:cs="Times New Roman" w:eastAsia="Times New Roman" w:hAnsi="Times New Roman"/>
          <w:sz w:val="20"/>
          <w:szCs w:val="20"/>
          <w:i w:val="1"/>
          <w:iCs w:val="1"/>
          <w:color w:val="auto"/>
        </w:rPr>
        <w:t xml:space="preserve">A. costata </w:t>
      </w:r>
      <w:r>
        <w:rPr>
          <w:rFonts w:ascii="Times New Roman" w:cs="Times New Roman" w:eastAsia="Times New Roman" w:hAnsi="Times New Roman"/>
          <w:sz w:val="20"/>
          <w:szCs w:val="20"/>
          <w:color w:val="auto"/>
        </w:rPr>
        <w:t>del resto de las especies, causando discriminación en la variable lt; por</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 xml:space="preserve">otro lado, con el valor más negativo, lpm, se agrupan </w:t>
      </w:r>
      <w:r>
        <w:rPr>
          <w:rFonts w:ascii="Times New Roman" w:cs="Times New Roman" w:eastAsia="Times New Roman" w:hAnsi="Times New Roman"/>
          <w:sz w:val="20"/>
          <w:szCs w:val="20"/>
          <w:i w:val="1"/>
          <w:iCs w:val="1"/>
          <w:color w:val="auto"/>
        </w:rPr>
        <w:t>B. imbricata, S. grammicus, S.</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 xml:space="preserve">bicanthalis, S. aeneus, S. scalaris </w:t>
      </w:r>
      <w:r>
        <w:rPr>
          <w:rFonts w:ascii="Times New Roman" w:cs="Times New Roman" w:eastAsia="Times New Roman" w:hAnsi="Times New Roman"/>
          <w:sz w:val="20"/>
          <w:szCs w:val="20"/>
          <w:color w:val="auto"/>
        </w:rPr>
        <w:t>y</w:t>
      </w:r>
      <w:r>
        <w:rPr>
          <w:rFonts w:ascii="Times New Roman" w:cs="Times New Roman" w:eastAsia="Times New Roman" w:hAnsi="Times New Roman"/>
          <w:sz w:val="20"/>
          <w:szCs w:val="20"/>
          <w:i w:val="1"/>
          <w:iCs w:val="1"/>
          <w:color w:val="auto"/>
        </w:rPr>
        <w:t xml:space="preserve"> P. orbiculare</w:t>
      </w:r>
      <w:r>
        <w:rPr>
          <w:rFonts w:ascii="Times New Roman" w:cs="Times New Roman" w:eastAsia="Times New Roman" w:hAnsi="Times New Roman"/>
          <w:sz w:val="20"/>
          <w:szCs w:val="20"/>
          <w:color w:val="auto"/>
        </w:rPr>
        <w:t>. Esta función indica que</w:t>
      </w:r>
      <w:r>
        <w:rPr>
          <w:rFonts w:ascii="Times New Roman" w:cs="Times New Roman" w:eastAsia="Times New Roman" w:hAnsi="Times New Roman"/>
          <w:sz w:val="20"/>
          <w:szCs w:val="20"/>
          <w:i w:val="1"/>
          <w:iCs w:val="1"/>
          <w:color w:val="auto"/>
        </w:rPr>
        <w:t xml:space="preserve"> A. costata </w:t>
      </w:r>
      <w:r>
        <w:rPr>
          <w:rFonts w:ascii="Times New Roman" w:cs="Times New Roman" w:eastAsia="Times New Roman" w:hAnsi="Times New Roman"/>
          <w:sz w:val="20"/>
          <w:szCs w:val="20"/>
          <w:color w:val="auto"/>
        </w:rPr>
        <w:t>es</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la especie que presenta la mayor longitud de las extremidades posteriores (figura 3).</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5"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25" name="Shape 12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25" o:spid="_x0000_s115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26" name="Shape 12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26" o:spid="_x0000_s115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27" name="Shape 12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27" o:spid="_x0000_s115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61" w:name="page62"/>
    <w:bookmarkEnd w:id="61"/>
    <w:tbl>
      <w:tblPr>
        <w:tblLayout w:type="fixed"/>
        <w:tblInd w:w="1080" w:type="dxa"/>
        <w:tblCellMar>
          <w:top w:w="0" w:type="dxa"/>
          <w:left w:w="0" w:type="dxa"/>
          <w:bottom w:w="0" w:type="dxa"/>
          <w:right w:w="0" w:type="dxa"/>
        </w:tblCellMar>
      </w:tblPr>
      <w:tr>
        <w:trPr>
          <w:trHeight w:val="223"/>
        </w:trPr>
        <w:tc>
          <w:tcPr>
            <w:tcW w:w="5500" w:type="dxa"/>
            <w:vAlign w:val="bottom"/>
          </w:tcPr>
          <w:p>
            <w:pPr>
              <w:spacing w:after="0"/>
              <w:rPr>
                <w:sz w:val="20"/>
                <w:szCs w:val="20"/>
                <w:color w:val="auto"/>
              </w:rPr>
            </w:pPr>
            <w:r>
              <w:rPr>
                <w:rFonts w:ascii="Arial Narrow" w:cs="Arial Narrow" w:eastAsia="Arial Narrow" w:hAnsi="Arial Narrow"/>
                <w:sz w:val="11"/>
                <w:szCs w:val="11"/>
                <w:color w:val="auto"/>
              </w:rPr>
              <w:t>morfología corporal y comparación de la velocidad de escape en algunas especies</w:t>
            </w:r>
            <w:r>
              <w:rPr>
                <w:rFonts w:ascii="Arial Narrow" w:cs="Arial Narrow" w:eastAsia="Arial Narrow" w:hAnsi="Arial Narrow"/>
                <w:sz w:val="16"/>
                <w:szCs w:val="16"/>
                <w:color w:val="auto"/>
              </w:rPr>
              <w:t>...</w:t>
            </w:r>
          </w:p>
        </w:tc>
        <w:tc>
          <w:tcPr>
            <w:tcW w:w="620" w:type="dxa"/>
            <w:vAlign w:val="bottom"/>
          </w:tcPr>
          <w:p>
            <w:pPr>
              <w:jc w:val="right"/>
              <w:spacing w:after="0"/>
              <w:rPr>
                <w:sz w:val="20"/>
                <w:szCs w:val="20"/>
                <w:color w:val="auto"/>
              </w:rPr>
            </w:pPr>
            <w:r>
              <w:rPr>
                <w:rFonts w:ascii="Arial Narrow" w:cs="Arial Narrow" w:eastAsia="Arial Narrow" w:hAnsi="Arial Narrow"/>
                <w:sz w:val="16"/>
                <w:szCs w:val="16"/>
                <w:color w:val="auto"/>
              </w:rPr>
              <w:t>61</w:t>
            </w:r>
          </w:p>
        </w:tc>
      </w:tr>
    </w:tbl>
    <w:p>
      <w:pPr>
        <w:spacing w:after="0" w:line="200" w:lineRule="exact"/>
        <w:rPr>
          <w:sz w:val="20"/>
          <w:szCs w:val="20"/>
          <w:color w:val="auto"/>
        </w:rPr>
      </w:pPr>
    </w:p>
    <w:p>
      <w:pPr>
        <w:spacing w:after="0" w:line="317" w:lineRule="exact"/>
        <w:rPr>
          <w:sz w:val="20"/>
          <w:szCs w:val="20"/>
          <w:color w:val="auto"/>
        </w:rPr>
      </w:pPr>
    </w:p>
    <w:tbl>
      <w:tblPr>
        <w:tblLayout w:type="fixed"/>
        <w:tblInd w:w="10" w:type="dxa"/>
        <w:tblCellMar>
          <w:top w:w="0" w:type="dxa"/>
          <w:left w:w="0" w:type="dxa"/>
          <w:bottom w:w="0" w:type="dxa"/>
          <w:right w:w="0" w:type="dxa"/>
        </w:tblCellMar>
      </w:tblPr>
      <w:tr>
        <w:trPr>
          <w:trHeight w:val="226"/>
        </w:trPr>
        <w:tc>
          <w:tcPr>
            <w:tcW w:w="640" w:type="dxa"/>
            <w:vAlign w:val="bottom"/>
          </w:tcPr>
          <w:p>
            <w:pPr>
              <w:spacing w:after="0"/>
              <w:rPr>
                <w:sz w:val="19"/>
                <w:szCs w:val="19"/>
                <w:color w:val="auto"/>
              </w:rPr>
            </w:pPr>
          </w:p>
        </w:tc>
        <w:tc>
          <w:tcPr>
            <w:tcW w:w="740" w:type="dxa"/>
            <w:vAlign w:val="bottom"/>
          </w:tcPr>
          <w:p>
            <w:pPr>
              <w:spacing w:after="0"/>
              <w:rPr>
                <w:sz w:val="19"/>
                <w:szCs w:val="19"/>
                <w:color w:val="auto"/>
              </w:rPr>
            </w:pPr>
          </w:p>
        </w:tc>
        <w:tc>
          <w:tcPr>
            <w:tcW w:w="1260" w:type="dxa"/>
            <w:vAlign w:val="bottom"/>
          </w:tcPr>
          <w:p>
            <w:pPr>
              <w:spacing w:after="0"/>
              <w:rPr>
                <w:sz w:val="19"/>
                <w:szCs w:val="19"/>
                <w:color w:val="auto"/>
              </w:rPr>
            </w:pPr>
          </w:p>
        </w:tc>
        <w:tc>
          <w:tcPr>
            <w:tcW w:w="540" w:type="dxa"/>
            <w:vAlign w:val="bottom"/>
          </w:tcPr>
          <w:p>
            <w:pPr>
              <w:spacing w:after="0"/>
              <w:rPr>
                <w:sz w:val="19"/>
                <w:szCs w:val="19"/>
                <w:color w:val="auto"/>
              </w:rPr>
            </w:pPr>
          </w:p>
        </w:tc>
        <w:tc>
          <w:tcPr>
            <w:tcW w:w="1140" w:type="dxa"/>
            <w:vAlign w:val="bottom"/>
          </w:tcPr>
          <w:p>
            <w:pPr>
              <w:jc w:val="right"/>
              <w:ind w:right="356"/>
              <w:spacing w:after="0"/>
              <w:rPr>
                <w:sz w:val="20"/>
                <w:szCs w:val="20"/>
                <w:color w:val="auto"/>
              </w:rPr>
            </w:pPr>
            <w:r>
              <w:rPr>
                <w:rFonts w:ascii="Times New Roman" w:cs="Times New Roman" w:eastAsia="Times New Roman" w:hAnsi="Times New Roman"/>
                <w:sz w:val="18"/>
                <w:szCs w:val="18"/>
                <w:i w:val="1"/>
                <w:iCs w:val="1"/>
                <w:color w:val="auto"/>
              </w:rPr>
              <w:t>Figura 3</w:t>
            </w:r>
          </w:p>
        </w:tc>
        <w:tc>
          <w:tcPr>
            <w:tcW w:w="1280" w:type="dxa"/>
            <w:vAlign w:val="bottom"/>
          </w:tcPr>
          <w:p>
            <w:pPr>
              <w:spacing w:after="0"/>
              <w:rPr>
                <w:sz w:val="19"/>
                <w:szCs w:val="19"/>
                <w:color w:val="auto"/>
              </w:rPr>
            </w:pPr>
          </w:p>
        </w:tc>
        <w:tc>
          <w:tcPr>
            <w:tcW w:w="160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111"/>
        </w:trPr>
        <w:tc>
          <w:tcPr>
            <w:tcW w:w="640" w:type="dxa"/>
            <w:vAlign w:val="bottom"/>
            <w:tcBorders>
              <w:bottom w:val="single" w:sz="8" w:color="auto"/>
            </w:tcBorders>
          </w:tcPr>
          <w:p>
            <w:pPr>
              <w:spacing w:after="0"/>
              <w:rPr>
                <w:sz w:val="9"/>
                <w:szCs w:val="9"/>
                <w:color w:val="auto"/>
              </w:rPr>
            </w:pPr>
          </w:p>
        </w:tc>
        <w:tc>
          <w:tcPr>
            <w:tcW w:w="740" w:type="dxa"/>
            <w:vAlign w:val="bottom"/>
            <w:tcBorders>
              <w:bottom w:val="single" w:sz="8" w:color="auto"/>
            </w:tcBorders>
          </w:tcPr>
          <w:p>
            <w:pPr>
              <w:spacing w:after="0"/>
              <w:rPr>
                <w:sz w:val="9"/>
                <w:szCs w:val="9"/>
                <w:color w:val="auto"/>
              </w:rPr>
            </w:pPr>
          </w:p>
        </w:tc>
        <w:tc>
          <w:tcPr>
            <w:tcW w:w="1260" w:type="dxa"/>
            <w:vAlign w:val="bottom"/>
            <w:tcBorders>
              <w:bottom w:val="single" w:sz="8" w:color="auto"/>
            </w:tcBorders>
          </w:tcPr>
          <w:p>
            <w:pPr>
              <w:spacing w:after="0"/>
              <w:rPr>
                <w:sz w:val="9"/>
                <w:szCs w:val="9"/>
                <w:color w:val="auto"/>
              </w:rPr>
            </w:pPr>
          </w:p>
        </w:tc>
        <w:tc>
          <w:tcPr>
            <w:tcW w:w="540" w:type="dxa"/>
            <w:vAlign w:val="bottom"/>
            <w:tcBorders>
              <w:bottom w:val="single" w:sz="8" w:color="auto"/>
            </w:tcBorders>
          </w:tcPr>
          <w:p>
            <w:pPr>
              <w:spacing w:after="0"/>
              <w:rPr>
                <w:sz w:val="9"/>
                <w:szCs w:val="9"/>
                <w:color w:val="auto"/>
              </w:rPr>
            </w:pPr>
          </w:p>
        </w:tc>
        <w:tc>
          <w:tcPr>
            <w:tcW w:w="1140" w:type="dxa"/>
            <w:vAlign w:val="bottom"/>
            <w:tcBorders>
              <w:bottom w:val="single" w:sz="8" w:color="auto"/>
            </w:tcBorders>
          </w:tcPr>
          <w:p>
            <w:pPr>
              <w:spacing w:after="0"/>
              <w:rPr>
                <w:sz w:val="9"/>
                <w:szCs w:val="9"/>
                <w:color w:val="auto"/>
              </w:rPr>
            </w:pPr>
          </w:p>
        </w:tc>
        <w:tc>
          <w:tcPr>
            <w:tcW w:w="1280" w:type="dxa"/>
            <w:vAlign w:val="bottom"/>
            <w:tcBorders>
              <w:bottom w:val="single" w:sz="8" w:color="auto"/>
            </w:tcBorders>
          </w:tcPr>
          <w:p>
            <w:pPr>
              <w:spacing w:after="0"/>
              <w:rPr>
                <w:sz w:val="9"/>
                <w:szCs w:val="9"/>
                <w:color w:val="auto"/>
              </w:rPr>
            </w:pPr>
          </w:p>
        </w:tc>
        <w:tc>
          <w:tcPr>
            <w:tcW w:w="1600" w:type="dxa"/>
            <w:vAlign w:val="bottom"/>
            <w:tcBorders>
              <w:bottom w:val="single" w:sz="8" w:color="auto"/>
            </w:tcBorders>
          </w:tcPr>
          <w:p>
            <w:pPr>
              <w:spacing w:after="0"/>
              <w:rPr>
                <w:sz w:val="9"/>
                <w:szCs w:val="9"/>
                <w:color w:val="auto"/>
              </w:rPr>
            </w:pPr>
          </w:p>
        </w:tc>
        <w:tc>
          <w:tcPr>
            <w:tcW w:w="0" w:type="dxa"/>
            <w:vAlign w:val="bottom"/>
          </w:tcPr>
          <w:p>
            <w:pPr>
              <w:spacing w:after="0"/>
              <w:rPr>
                <w:sz w:val="1"/>
                <w:szCs w:val="1"/>
                <w:color w:val="auto"/>
              </w:rPr>
            </w:pPr>
          </w:p>
        </w:tc>
      </w:tr>
      <w:tr>
        <w:trPr>
          <w:trHeight w:val="296"/>
        </w:trPr>
        <w:tc>
          <w:tcPr>
            <w:tcW w:w="640" w:type="dxa"/>
            <w:vAlign w:val="bottom"/>
            <w:tcBorders>
              <w:left w:val="single" w:sz="8" w:color="auto"/>
            </w:tcBorders>
            <w:vMerge w:val="restart"/>
            <w:textDirection w:val="btLr"/>
          </w:tcPr>
          <w:p>
            <w:pPr>
              <w:ind w:left="423"/>
              <w:spacing w:after="0"/>
              <w:rPr>
                <w:sz w:val="20"/>
                <w:szCs w:val="20"/>
                <w:color w:val="auto"/>
              </w:rPr>
            </w:pPr>
            <w:r>
              <w:rPr>
                <w:rFonts w:ascii="Times New Roman" w:cs="Times New Roman" w:eastAsia="Times New Roman" w:hAnsi="Times New Roman"/>
                <w:sz w:val="7"/>
                <w:szCs w:val="7"/>
                <w:color w:val="auto"/>
                <w:w w:val="76"/>
              </w:rPr>
              <w:t>Largo palmaextremidadanterior</w:t>
            </w:r>
          </w:p>
        </w:tc>
        <w:tc>
          <w:tcPr>
            <w:tcW w:w="740" w:type="dxa"/>
            <w:vAlign w:val="bottom"/>
          </w:tcPr>
          <w:p>
            <w:pPr>
              <w:jc w:val="right"/>
              <w:ind w:right="489"/>
              <w:spacing w:after="0"/>
              <w:rPr>
                <w:sz w:val="20"/>
                <w:szCs w:val="20"/>
                <w:color w:val="auto"/>
              </w:rPr>
            </w:pPr>
            <w:r>
              <w:rPr>
                <w:rFonts w:ascii="Times New Roman" w:cs="Times New Roman" w:eastAsia="Times New Roman" w:hAnsi="Times New Roman"/>
                <w:sz w:val="14"/>
                <w:szCs w:val="14"/>
                <w:color w:val="auto"/>
              </w:rPr>
              <w:t>6</w:t>
            </w:r>
          </w:p>
        </w:tc>
        <w:tc>
          <w:tcPr>
            <w:tcW w:w="126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114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1600" w:type="dxa"/>
            <w:vAlign w:val="bottom"/>
            <w:tcBorders>
              <w:right w:val="single" w:sz="8" w:color="auto"/>
            </w:tcBorders>
          </w:tcPr>
          <w:p>
            <w:pPr>
              <w:ind w:left="700"/>
              <w:spacing w:after="0"/>
              <w:rPr>
                <w:sz w:val="20"/>
                <w:szCs w:val="20"/>
                <w:color w:val="auto"/>
              </w:rPr>
            </w:pPr>
            <w:r>
              <w:rPr>
                <w:rFonts w:ascii="Times New Roman" w:cs="Times New Roman" w:eastAsia="Times New Roman" w:hAnsi="Times New Roman"/>
                <w:sz w:val="14"/>
                <w:szCs w:val="14"/>
                <w:b w:val="1"/>
                <w:bCs w:val="1"/>
                <w:color w:val="auto"/>
              </w:rPr>
              <w:t>Especies</w:t>
            </w:r>
          </w:p>
        </w:tc>
        <w:tc>
          <w:tcPr>
            <w:tcW w:w="0" w:type="dxa"/>
            <w:vAlign w:val="bottom"/>
          </w:tcPr>
          <w:p>
            <w:pPr>
              <w:spacing w:after="0"/>
              <w:rPr>
                <w:sz w:val="1"/>
                <w:szCs w:val="1"/>
                <w:color w:val="auto"/>
              </w:rPr>
            </w:pPr>
          </w:p>
        </w:tc>
      </w:tr>
      <w:tr>
        <w:trPr>
          <w:trHeight w:val="395"/>
        </w:trPr>
        <w:tc>
          <w:tcPr>
            <w:tcW w:w="640" w:type="dxa"/>
            <w:vAlign w:val="bottom"/>
            <w:tcBorders>
              <w:left w:val="single" w:sz="8" w:color="auto"/>
            </w:tcBorders>
            <w:vMerge w:val="continue"/>
          </w:tcPr>
          <w:p>
            <w:pPr>
              <w:spacing w:after="0"/>
              <w:rPr>
                <w:sz w:val="24"/>
                <w:szCs w:val="24"/>
                <w:color w:val="auto"/>
              </w:rPr>
            </w:pPr>
          </w:p>
        </w:tc>
        <w:tc>
          <w:tcPr>
            <w:tcW w:w="740" w:type="dxa"/>
            <w:vAlign w:val="bottom"/>
          </w:tcPr>
          <w:p>
            <w:pPr>
              <w:spacing w:after="0"/>
              <w:rPr>
                <w:sz w:val="24"/>
                <w:szCs w:val="24"/>
                <w:color w:val="auto"/>
              </w:rPr>
            </w:pPr>
          </w:p>
        </w:tc>
        <w:tc>
          <w:tcPr>
            <w:tcW w:w="126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114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1600" w:type="dxa"/>
            <w:vAlign w:val="bottom"/>
            <w:tcBorders>
              <w:right w:val="single" w:sz="8" w:color="auto"/>
            </w:tcBorders>
          </w:tcPr>
          <w:p>
            <w:pPr>
              <w:ind w:left="700"/>
              <w:spacing w:after="0"/>
              <w:rPr>
                <w:sz w:val="20"/>
                <w:szCs w:val="20"/>
                <w:color w:val="auto"/>
              </w:rPr>
            </w:pPr>
            <w:r>
              <w:rPr>
                <w:rFonts w:ascii="Times New Roman" w:cs="Times New Roman" w:eastAsia="Times New Roman" w:hAnsi="Times New Roman"/>
                <w:sz w:val="14"/>
                <w:szCs w:val="14"/>
                <w:i w:val="1"/>
                <w:iCs w:val="1"/>
                <w:color w:val="auto"/>
              </w:rPr>
              <w:t>S. grammicus</w:t>
            </w:r>
          </w:p>
        </w:tc>
        <w:tc>
          <w:tcPr>
            <w:tcW w:w="0" w:type="dxa"/>
            <w:vAlign w:val="bottom"/>
          </w:tcPr>
          <w:p>
            <w:pPr>
              <w:spacing w:after="0"/>
              <w:rPr>
                <w:sz w:val="1"/>
                <w:szCs w:val="1"/>
                <w:color w:val="auto"/>
              </w:rPr>
            </w:pPr>
          </w:p>
        </w:tc>
      </w:tr>
      <w:tr>
        <w:trPr>
          <w:trHeight w:val="245"/>
        </w:trPr>
        <w:tc>
          <w:tcPr>
            <w:tcW w:w="640" w:type="dxa"/>
            <w:vAlign w:val="bottom"/>
            <w:tcBorders>
              <w:left w:val="single" w:sz="8" w:color="auto"/>
            </w:tcBorders>
            <w:vMerge w:val="continue"/>
          </w:tcPr>
          <w:p>
            <w:pPr>
              <w:spacing w:after="0"/>
              <w:rPr>
                <w:sz w:val="21"/>
                <w:szCs w:val="21"/>
                <w:color w:val="auto"/>
              </w:rPr>
            </w:pPr>
          </w:p>
        </w:tc>
        <w:tc>
          <w:tcPr>
            <w:tcW w:w="740" w:type="dxa"/>
            <w:vAlign w:val="bottom"/>
          </w:tcPr>
          <w:p>
            <w:pPr>
              <w:jc w:val="right"/>
              <w:ind w:right="489"/>
              <w:spacing w:after="0"/>
              <w:rPr>
                <w:sz w:val="20"/>
                <w:szCs w:val="20"/>
                <w:color w:val="auto"/>
              </w:rPr>
            </w:pPr>
            <w:r>
              <w:rPr>
                <w:rFonts w:ascii="Times New Roman" w:cs="Times New Roman" w:eastAsia="Times New Roman" w:hAnsi="Times New Roman"/>
                <w:sz w:val="14"/>
                <w:szCs w:val="14"/>
                <w:color w:val="auto"/>
              </w:rPr>
              <w:t>4</w:t>
            </w:r>
          </w:p>
        </w:tc>
        <w:tc>
          <w:tcPr>
            <w:tcW w:w="1260" w:type="dxa"/>
            <w:vAlign w:val="bottom"/>
          </w:tcPr>
          <w:p>
            <w:pPr>
              <w:spacing w:after="0"/>
              <w:rPr>
                <w:sz w:val="21"/>
                <w:szCs w:val="21"/>
                <w:color w:val="auto"/>
              </w:rPr>
            </w:pPr>
          </w:p>
        </w:tc>
        <w:tc>
          <w:tcPr>
            <w:tcW w:w="540" w:type="dxa"/>
            <w:vAlign w:val="bottom"/>
          </w:tcPr>
          <w:p>
            <w:pPr>
              <w:spacing w:after="0"/>
              <w:rPr>
                <w:sz w:val="21"/>
                <w:szCs w:val="21"/>
                <w:color w:val="auto"/>
              </w:rPr>
            </w:pPr>
          </w:p>
        </w:tc>
        <w:tc>
          <w:tcPr>
            <w:tcW w:w="1140" w:type="dxa"/>
            <w:vAlign w:val="bottom"/>
          </w:tcPr>
          <w:p>
            <w:pPr>
              <w:spacing w:after="0"/>
              <w:rPr>
                <w:sz w:val="21"/>
                <w:szCs w:val="21"/>
                <w:color w:val="auto"/>
              </w:rPr>
            </w:pPr>
          </w:p>
        </w:tc>
        <w:tc>
          <w:tcPr>
            <w:tcW w:w="1280" w:type="dxa"/>
            <w:vAlign w:val="bottom"/>
          </w:tcPr>
          <w:p>
            <w:pPr>
              <w:spacing w:after="0"/>
              <w:rPr>
                <w:sz w:val="21"/>
                <w:szCs w:val="21"/>
                <w:color w:val="auto"/>
              </w:rPr>
            </w:pPr>
          </w:p>
        </w:tc>
        <w:tc>
          <w:tcPr>
            <w:tcW w:w="1600" w:type="dxa"/>
            <w:vAlign w:val="bottom"/>
            <w:tcBorders>
              <w:right w:val="single" w:sz="8" w:color="auto"/>
            </w:tcBorders>
            <w:vMerge w:val="restart"/>
          </w:tcPr>
          <w:p>
            <w:pPr>
              <w:ind w:left="700"/>
              <w:spacing w:after="0"/>
              <w:rPr>
                <w:sz w:val="20"/>
                <w:szCs w:val="20"/>
                <w:color w:val="auto"/>
              </w:rPr>
            </w:pPr>
            <w:r>
              <w:rPr>
                <w:rFonts w:ascii="Times New Roman" w:cs="Times New Roman" w:eastAsia="Times New Roman" w:hAnsi="Times New Roman"/>
                <w:sz w:val="14"/>
                <w:szCs w:val="14"/>
                <w:i w:val="1"/>
                <w:iCs w:val="1"/>
                <w:color w:val="auto"/>
              </w:rPr>
              <w:t>A. costata</w:t>
            </w:r>
          </w:p>
        </w:tc>
        <w:tc>
          <w:tcPr>
            <w:tcW w:w="0" w:type="dxa"/>
            <w:vAlign w:val="bottom"/>
          </w:tcPr>
          <w:p>
            <w:pPr>
              <w:spacing w:after="0"/>
              <w:rPr>
                <w:sz w:val="1"/>
                <w:szCs w:val="1"/>
                <w:color w:val="auto"/>
              </w:rPr>
            </w:pPr>
          </w:p>
        </w:tc>
      </w:tr>
      <w:tr>
        <w:trPr>
          <w:trHeight w:val="115"/>
        </w:trPr>
        <w:tc>
          <w:tcPr>
            <w:tcW w:w="640" w:type="dxa"/>
            <w:vAlign w:val="bottom"/>
            <w:tcBorders>
              <w:left w:val="single" w:sz="8" w:color="auto"/>
            </w:tcBorders>
          </w:tcPr>
          <w:p>
            <w:pPr>
              <w:spacing w:after="0"/>
              <w:rPr>
                <w:sz w:val="10"/>
                <w:szCs w:val="10"/>
                <w:color w:val="auto"/>
              </w:rPr>
            </w:pPr>
          </w:p>
        </w:tc>
        <w:tc>
          <w:tcPr>
            <w:tcW w:w="740" w:type="dxa"/>
            <w:vAlign w:val="bottom"/>
          </w:tcPr>
          <w:p>
            <w:pPr>
              <w:spacing w:after="0"/>
              <w:rPr>
                <w:sz w:val="10"/>
                <w:szCs w:val="10"/>
                <w:color w:val="auto"/>
              </w:rPr>
            </w:pPr>
          </w:p>
        </w:tc>
        <w:tc>
          <w:tcPr>
            <w:tcW w:w="1260" w:type="dxa"/>
            <w:vAlign w:val="bottom"/>
          </w:tcPr>
          <w:p>
            <w:pPr>
              <w:spacing w:after="0"/>
              <w:rPr>
                <w:sz w:val="10"/>
                <w:szCs w:val="10"/>
                <w:color w:val="auto"/>
              </w:rPr>
            </w:pPr>
          </w:p>
        </w:tc>
        <w:tc>
          <w:tcPr>
            <w:tcW w:w="540" w:type="dxa"/>
            <w:vAlign w:val="bottom"/>
          </w:tcPr>
          <w:p>
            <w:pPr>
              <w:spacing w:after="0"/>
              <w:rPr>
                <w:sz w:val="10"/>
                <w:szCs w:val="10"/>
                <w:color w:val="auto"/>
              </w:rPr>
            </w:pPr>
          </w:p>
        </w:tc>
        <w:tc>
          <w:tcPr>
            <w:tcW w:w="1140" w:type="dxa"/>
            <w:vAlign w:val="bottom"/>
          </w:tcPr>
          <w:p>
            <w:pPr>
              <w:spacing w:after="0"/>
              <w:rPr>
                <w:sz w:val="10"/>
                <w:szCs w:val="10"/>
                <w:color w:val="auto"/>
              </w:rPr>
            </w:pPr>
          </w:p>
        </w:tc>
        <w:tc>
          <w:tcPr>
            <w:tcW w:w="1280" w:type="dxa"/>
            <w:vAlign w:val="bottom"/>
          </w:tcPr>
          <w:p>
            <w:pPr>
              <w:spacing w:after="0"/>
              <w:rPr>
                <w:sz w:val="10"/>
                <w:szCs w:val="10"/>
                <w:color w:val="auto"/>
              </w:rPr>
            </w:pPr>
          </w:p>
        </w:tc>
        <w:tc>
          <w:tcPr>
            <w:tcW w:w="1600" w:type="dxa"/>
            <w:vAlign w:val="bottom"/>
            <w:tcBorders>
              <w:right w:val="single" w:sz="8" w:color="auto"/>
            </w:tcBorders>
            <w:vMerge w:val="continue"/>
          </w:tcPr>
          <w:p>
            <w:pPr>
              <w:spacing w:after="0"/>
              <w:rPr>
                <w:sz w:val="10"/>
                <w:szCs w:val="10"/>
                <w:color w:val="auto"/>
              </w:rPr>
            </w:pPr>
          </w:p>
        </w:tc>
        <w:tc>
          <w:tcPr>
            <w:tcW w:w="0" w:type="dxa"/>
            <w:vAlign w:val="bottom"/>
          </w:tcPr>
          <w:p>
            <w:pPr>
              <w:spacing w:after="0"/>
              <w:rPr>
                <w:sz w:val="1"/>
                <w:szCs w:val="1"/>
                <w:color w:val="auto"/>
              </w:rPr>
            </w:pPr>
          </w:p>
        </w:tc>
      </w:tr>
      <w:tr>
        <w:trPr>
          <w:trHeight w:val="360"/>
        </w:trPr>
        <w:tc>
          <w:tcPr>
            <w:tcW w:w="640" w:type="dxa"/>
            <w:vAlign w:val="bottom"/>
            <w:tcBorders>
              <w:left w:val="single" w:sz="8" w:color="auto"/>
            </w:tcBorders>
          </w:tcPr>
          <w:p>
            <w:pPr>
              <w:spacing w:after="0"/>
              <w:rPr>
                <w:sz w:val="24"/>
                <w:szCs w:val="24"/>
                <w:color w:val="auto"/>
              </w:rPr>
            </w:pPr>
          </w:p>
        </w:tc>
        <w:tc>
          <w:tcPr>
            <w:tcW w:w="740" w:type="dxa"/>
            <w:vAlign w:val="bottom"/>
            <w:vMerge w:val="restart"/>
          </w:tcPr>
          <w:p>
            <w:pPr>
              <w:jc w:val="right"/>
              <w:ind w:right="489"/>
              <w:spacing w:after="0"/>
              <w:rPr>
                <w:sz w:val="20"/>
                <w:szCs w:val="20"/>
                <w:color w:val="auto"/>
              </w:rPr>
            </w:pPr>
            <w:r>
              <w:rPr>
                <w:rFonts w:ascii="Times New Roman" w:cs="Times New Roman" w:eastAsia="Times New Roman" w:hAnsi="Times New Roman"/>
                <w:sz w:val="14"/>
                <w:szCs w:val="14"/>
                <w:color w:val="auto"/>
              </w:rPr>
              <w:t>2</w:t>
            </w:r>
          </w:p>
        </w:tc>
        <w:tc>
          <w:tcPr>
            <w:tcW w:w="126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114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1600" w:type="dxa"/>
            <w:vAlign w:val="bottom"/>
            <w:tcBorders>
              <w:right w:val="single" w:sz="8" w:color="auto"/>
            </w:tcBorders>
          </w:tcPr>
          <w:p>
            <w:pPr>
              <w:ind w:left="700"/>
              <w:spacing w:after="0"/>
              <w:rPr>
                <w:sz w:val="20"/>
                <w:szCs w:val="20"/>
                <w:color w:val="auto"/>
              </w:rPr>
            </w:pPr>
            <w:r>
              <w:rPr>
                <w:rFonts w:ascii="Times New Roman" w:cs="Times New Roman" w:eastAsia="Times New Roman" w:hAnsi="Times New Roman"/>
                <w:sz w:val="14"/>
                <w:szCs w:val="14"/>
                <w:i w:val="1"/>
                <w:iCs w:val="1"/>
                <w:color w:val="auto"/>
              </w:rPr>
              <w:t>B. imbricata</w:t>
            </w:r>
          </w:p>
        </w:tc>
        <w:tc>
          <w:tcPr>
            <w:tcW w:w="0" w:type="dxa"/>
            <w:vAlign w:val="bottom"/>
          </w:tcPr>
          <w:p>
            <w:pPr>
              <w:spacing w:after="0"/>
              <w:rPr>
                <w:sz w:val="1"/>
                <w:szCs w:val="1"/>
                <w:color w:val="auto"/>
              </w:rPr>
            </w:pPr>
          </w:p>
        </w:tc>
      </w:tr>
      <w:tr>
        <w:trPr>
          <w:trHeight w:val="145"/>
        </w:trPr>
        <w:tc>
          <w:tcPr>
            <w:tcW w:w="640" w:type="dxa"/>
            <w:vAlign w:val="bottom"/>
            <w:tcBorders>
              <w:left w:val="single" w:sz="8" w:color="auto"/>
            </w:tcBorders>
          </w:tcPr>
          <w:p>
            <w:pPr>
              <w:spacing w:after="0"/>
              <w:rPr>
                <w:sz w:val="12"/>
                <w:szCs w:val="12"/>
                <w:color w:val="auto"/>
              </w:rPr>
            </w:pPr>
          </w:p>
        </w:tc>
        <w:tc>
          <w:tcPr>
            <w:tcW w:w="740" w:type="dxa"/>
            <w:vAlign w:val="bottom"/>
            <w:vMerge w:val="continue"/>
          </w:tcPr>
          <w:p>
            <w:pPr>
              <w:spacing w:after="0"/>
              <w:rPr>
                <w:sz w:val="12"/>
                <w:szCs w:val="12"/>
                <w:color w:val="auto"/>
              </w:rPr>
            </w:pPr>
          </w:p>
        </w:tc>
        <w:tc>
          <w:tcPr>
            <w:tcW w:w="1260" w:type="dxa"/>
            <w:vAlign w:val="bottom"/>
          </w:tcPr>
          <w:p>
            <w:pPr>
              <w:spacing w:after="0"/>
              <w:rPr>
                <w:sz w:val="12"/>
                <w:szCs w:val="12"/>
                <w:color w:val="auto"/>
              </w:rPr>
            </w:pPr>
          </w:p>
        </w:tc>
        <w:tc>
          <w:tcPr>
            <w:tcW w:w="540" w:type="dxa"/>
            <w:vAlign w:val="bottom"/>
          </w:tcPr>
          <w:p>
            <w:pPr>
              <w:spacing w:after="0"/>
              <w:rPr>
                <w:sz w:val="12"/>
                <w:szCs w:val="12"/>
                <w:color w:val="auto"/>
              </w:rPr>
            </w:pPr>
          </w:p>
        </w:tc>
        <w:tc>
          <w:tcPr>
            <w:tcW w:w="1140" w:type="dxa"/>
            <w:vAlign w:val="bottom"/>
          </w:tcPr>
          <w:p>
            <w:pPr>
              <w:spacing w:after="0"/>
              <w:rPr>
                <w:sz w:val="12"/>
                <w:szCs w:val="12"/>
                <w:color w:val="auto"/>
              </w:rPr>
            </w:pPr>
          </w:p>
        </w:tc>
        <w:tc>
          <w:tcPr>
            <w:tcW w:w="1280" w:type="dxa"/>
            <w:vAlign w:val="bottom"/>
          </w:tcPr>
          <w:p>
            <w:pPr>
              <w:spacing w:after="0"/>
              <w:rPr>
                <w:sz w:val="12"/>
                <w:szCs w:val="12"/>
                <w:color w:val="auto"/>
              </w:rPr>
            </w:pPr>
          </w:p>
        </w:tc>
        <w:tc>
          <w:tcPr>
            <w:tcW w:w="1600" w:type="dxa"/>
            <w:vAlign w:val="bottom"/>
            <w:tcBorders>
              <w:right w:val="single" w:sz="8" w:color="auto"/>
            </w:tcBorders>
          </w:tcPr>
          <w:p>
            <w:pPr>
              <w:spacing w:after="0"/>
              <w:rPr>
                <w:sz w:val="12"/>
                <w:szCs w:val="12"/>
                <w:color w:val="auto"/>
              </w:rPr>
            </w:pPr>
          </w:p>
        </w:tc>
        <w:tc>
          <w:tcPr>
            <w:tcW w:w="0" w:type="dxa"/>
            <w:vAlign w:val="bottom"/>
          </w:tcPr>
          <w:p>
            <w:pPr>
              <w:spacing w:after="0"/>
              <w:rPr>
                <w:sz w:val="1"/>
                <w:szCs w:val="1"/>
                <w:color w:val="auto"/>
              </w:rPr>
            </w:pPr>
          </w:p>
        </w:tc>
      </w:tr>
      <w:tr>
        <w:trPr>
          <w:trHeight w:val="156"/>
        </w:trPr>
        <w:tc>
          <w:tcPr>
            <w:tcW w:w="640" w:type="dxa"/>
            <w:vAlign w:val="bottom"/>
            <w:tcBorders>
              <w:left w:val="single" w:sz="8" w:color="auto"/>
            </w:tcBorders>
            <w:textDirection w:val="btLr"/>
          </w:tcPr>
          <w:p>
            <w:pPr>
              <w:ind w:left="16"/>
              <w:spacing w:after="0"/>
              <w:rPr>
                <w:sz w:val="20"/>
                <w:szCs w:val="20"/>
                <w:color w:val="auto"/>
              </w:rPr>
            </w:pPr>
            <w:r>
              <w:rPr>
                <w:rFonts w:ascii="Times New Roman" w:cs="Times New Roman" w:eastAsia="Times New Roman" w:hAnsi="Times New Roman"/>
                <w:sz w:val="16"/>
                <w:szCs w:val="16"/>
                <w:b w:val="1"/>
                <w:bCs w:val="1"/>
                <w:color w:val="auto"/>
                <w:w w:val="99"/>
              </w:rPr>
              <w:t>2</w:t>
            </w:r>
          </w:p>
        </w:tc>
        <w:tc>
          <w:tcPr>
            <w:tcW w:w="740" w:type="dxa"/>
            <w:vAlign w:val="bottom"/>
          </w:tcPr>
          <w:p>
            <w:pPr>
              <w:spacing w:after="0"/>
              <w:rPr>
                <w:sz w:val="13"/>
                <w:szCs w:val="13"/>
                <w:color w:val="auto"/>
              </w:rPr>
            </w:pPr>
          </w:p>
        </w:tc>
        <w:tc>
          <w:tcPr>
            <w:tcW w:w="1260" w:type="dxa"/>
            <w:vAlign w:val="bottom"/>
          </w:tcPr>
          <w:p>
            <w:pPr>
              <w:spacing w:after="0"/>
              <w:rPr>
                <w:sz w:val="13"/>
                <w:szCs w:val="13"/>
                <w:color w:val="auto"/>
              </w:rPr>
            </w:pPr>
          </w:p>
        </w:tc>
        <w:tc>
          <w:tcPr>
            <w:tcW w:w="540" w:type="dxa"/>
            <w:vAlign w:val="bottom"/>
          </w:tcPr>
          <w:p>
            <w:pPr>
              <w:spacing w:after="0"/>
              <w:rPr>
                <w:sz w:val="13"/>
                <w:szCs w:val="13"/>
                <w:color w:val="auto"/>
              </w:rPr>
            </w:pPr>
          </w:p>
        </w:tc>
        <w:tc>
          <w:tcPr>
            <w:tcW w:w="1140" w:type="dxa"/>
            <w:vAlign w:val="bottom"/>
          </w:tcPr>
          <w:p>
            <w:pPr>
              <w:spacing w:after="0"/>
              <w:rPr>
                <w:sz w:val="13"/>
                <w:szCs w:val="13"/>
                <w:color w:val="auto"/>
              </w:rPr>
            </w:pPr>
          </w:p>
        </w:tc>
        <w:tc>
          <w:tcPr>
            <w:tcW w:w="1280" w:type="dxa"/>
            <w:vAlign w:val="bottom"/>
          </w:tcPr>
          <w:p>
            <w:pPr>
              <w:spacing w:after="0"/>
              <w:rPr>
                <w:sz w:val="13"/>
                <w:szCs w:val="13"/>
                <w:color w:val="auto"/>
              </w:rPr>
            </w:pPr>
          </w:p>
        </w:tc>
        <w:tc>
          <w:tcPr>
            <w:tcW w:w="1600" w:type="dxa"/>
            <w:vAlign w:val="bottom"/>
            <w:tcBorders>
              <w:right w:val="single" w:sz="8" w:color="auto"/>
            </w:tcBorders>
            <w:vMerge w:val="restart"/>
          </w:tcPr>
          <w:p>
            <w:pPr>
              <w:ind w:left="700"/>
              <w:spacing w:after="0"/>
              <w:rPr>
                <w:sz w:val="20"/>
                <w:szCs w:val="20"/>
                <w:color w:val="auto"/>
              </w:rPr>
            </w:pPr>
            <w:r>
              <w:rPr>
                <w:rFonts w:ascii="Times New Roman" w:cs="Times New Roman" w:eastAsia="Times New Roman" w:hAnsi="Times New Roman"/>
                <w:sz w:val="14"/>
                <w:szCs w:val="14"/>
                <w:i w:val="1"/>
                <w:iCs w:val="1"/>
                <w:color w:val="auto"/>
              </w:rPr>
              <w:t>P. orbiculare</w:t>
            </w:r>
          </w:p>
        </w:tc>
        <w:tc>
          <w:tcPr>
            <w:tcW w:w="0" w:type="dxa"/>
            <w:vAlign w:val="bottom"/>
          </w:tcPr>
          <w:p>
            <w:pPr>
              <w:spacing w:after="0"/>
              <w:rPr>
                <w:sz w:val="1"/>
                <w:szCs w:val="1"/>
                <w:color w:val="auto"/>
              </w:rPr>
            </w:pPr>
          </w:p>
        </w:tc>
      </w:tr>
      <w:tr>
        <w:trPr>
          <w:trHeight w:val="60"/>
        </w:trPr>
        <w:tc>
          <w:tcPr>
            <w:tcW w:w="640" w:type="dxa"/>
            <w:vAlign w:val="bottom"/>
            <w:tcBorders>
              <w:left w:val="single" w:sz="8" w:color="auto"/>
            </w:tcBorders>
            <w:vMerge w:val="restart"/>
            <w:textDirection w:val="btLr"/>
          </w:tcPr>
          <w:p>
            <w:pPr>
              <w:ind w:left="16"/>
              <w:spacing w:after="0"/>
              <w:rPr>
                <w:sz w:val="20"/>
                <w:szCs w:val="20"/>
                <w:color w:val="auto"/>
              </w:rPr>
            </w:pPr>
            <w:r>
              <w:rPr>
                <w:rFonts w:ascii="Times New Roman" w:cs="Times New Roman" w:eastAsia="Times New Roman" w:hAnsi="Times New Roman"/>
                <w:sz w:val="16"/>
                <w:szCs w:val="16"/>
                <w:b w:val="1"/>
                <w:bCs w:val="1"/>
                <w:color w:val="auto"/>
                <w:w w:val="93"/>
              </w:rPr>
              <w:t>FD</w:t>
            </w:r>
          </w:p>
        </w:tc>
        <w:tc>
          <w:tcPr>
            <w:tcW w:w="740" w:type="dxa"/>
            <w:vAlign w:val="bottom"/>
          </w:tcPr>
          <w:p>
            <w:pPr>
              <w:spacing w:after="0"/>
              <w:rPr>
                <w:sz w:val="5"/>
                <w:szCs w:val="5"/>
                <w:color w:val="auto"/>
              </w:rPr>
            </w:pPr>
          </w:p>
        </w:tc>
        <w:tc>
          <w:tcPr>
            <w:tcW w:w="1260" w:type="dxa"/>
            <w:vAlign w:val="bottom"/>
          </w:tcPr>
          <w:p>
            <w:pPr>
              <w:spacing w:after="0"/>
              <w:rPr>
                <w:sz w:val="5"/>
                <w:szCs w:val="5"/>
                <w:color w:val="auto"/>
              </w:rPr>
            </w:pPr>
          </w:p>
        </w:tc>
        <w:tc>
          <w:tcPr>
            <w:tcW w:w="540" w:type="dxa"/>
            <w:vAlign w:val="bottom"/>
          </w:tcPr>
          <w:p>
            <w:pPr>
              <w:spacing w:after="0"/>
              <w:rPr>
                <w:sz w:val="5"/>
                <w:szCs w:val="5"/>
                <w:color w:val="auto"/>
              </w:rPr>
            </w:pPr>
          </w:p>
        </w:tc>
        <w:tc>
          <w:tcPr>
            <w:tcW w:w="1140" w:type="dxa"/>
            <w:vAlign w:val="bottom"/>
          </w:tcPr>
          <w:p>
            <w:pPr>
              <w:spacing w:after="0"/>
              <w:rPr>
                <w:sz w:val="5"/>
                <w:szCs w:val="5"/>
                <w:color w:val="auto"/>
              </w:rPr>
            </w:pPr>
          </w:p>
        </w:tc>
        <w:tc>
          <w:tcPr>
            <w:tcW w:w="1280" w:type="dxa"/>
            <w:vAlign w:val="bottom"/>
          </w:tcPr>
          <w:p>
            <w:pPr>
              <w:spacing w:after="0"/>
              <w:rPr>
                <w:sz w:val="5"/>
                <w:szCs w:val="5"/>
                <w:color w:val="auto"/>
              </w:rPr>
            </w:pPr>
          </w:p>
        </w:tc>
        <w:tc>
          <w:tcPr>
            <w:tcW w:w="1600" w:type="dxa"/>
            <w:vAlign w:val="bottom"/>
            <w:tcBorders>
              <w:right w:val="single" w:sz="8" w:color="auto"/>
            </w:tcBorders>
            <w:vMerge w:val="continue"/>
          </w:tcPr>
          <w:p>
            <w:pPr>
              <w:spacing w:after="0"/>
              <w:rPr>
                <w:sz w:val="5"/>
                <w:szCs w:val="5"/>
                <w:color w:val="auto"/>
              </w:rPr>
            </w:pPr>
          </w:p>
        </w:tc>
        <w:tc>
          <w:tcPr>
            <w:tcW w:w="0" w:type="dxa"/>
            <w:vAlign w:val="bottom"/>
          </w:tcPr>
          <w:p>
            <w:pPr>
              <w:spacing w:after="0"/>
              <w:rPr>
                <w:sz w:val="1"/>
                <w:szCs w:val="1"/>
                <w:color w:val="auto"/>
              </w:rPr>
            </w:pPr>
          </w:p>
        </w:tc>
      </w:tr>
      <w:tr>
        <w:trPr>
          <w:trHeight w:val="193"/>
        </w:trPr>
        <w:tc>
          <w:tcPr>
            <w:tcW w:w="640" w:type="dxa"/>
            <w:vAlign w:val="bottom"/>
            <w:tcBorders>
              <w:left w:val="single" w:sz="8" w:color="auto"/>
            </w:tcBorders>
            <w:vMerge w:val="continue"/>
          </w:tcPr>
          <w:p>
            <w:pPr>
              <w:spacing w:after="0"/>
              <w:rPr>
                <w:sz w:val="16"/>
                <w:szCs w:val="16"/>
                <w:color w:val="auto"/>
              </w:rPr>
            </w:pPr>
          </w:p>
        </w:tc>
        <w:tc>
          <w:tcPr>
            <w:tcW w:w="740" w:type="dxa"/>
            <w:vAlign w:val="bottom"/>
          </w:tcPr>
          <w:p>
            <w:pPr>
              <w:spacing w:after="0"/>
              <w:rPr>
                <w:sz w:val="16"/>
                <w:szCs w:val="16"/>
                <w:color w:val="auto"/>
              </w:rPr>
            </w:pPr>
          </w:p>
        </w:tc>
        <w:tc>
          <w:tcPr>
            <w:tcW w:w="1260" w:type="dxa"/>
            <w:vAlign w:val="bottom"/>
          </w:tcPr>
          <w:p>
            <w:pPr>
              <w:spacing w:after="0"/>
              <w:rPr>
                <w:sz w:val="16"/>
                <w:szCs w:val="16"/>
                <w:color w:val="auto"/>
              </w:rPr>
            </w:pPr>
          </w:p>
        </w:tc>
        <w:tc>
          <w:tcPr>
            <w:tcW w:w="540" w:type="dxa"/>
            <w:vAlign w:val="bottom"/>
          </w:tcPr>
          <w:p>
            <w:pPr>
              <w:spacing w:after="0"/>
              <w:rPr>
                <w:sz w:val="16"/>
                <w:szCs w:val="16"/>
                <w:color w:val="auto"/>
              </w:rPr>
            </w:pPr>
          </w:p>
        </w:tc>
        <w:tc>
          <w:tcPr>
            <w:tcW w:w="1140" w:type="dxa"/>
            <w:vAlign w:val="bottom"/>
          </w:tcPr>
          <w:p>
            <w:pPr>
              <w:spacing w:after="0"/>
              <w:rPr>
                <w:sz w:val="16"/>
                <w:szCs w:val="16"/>
                <w:color w:val="auto"/>
              </w:rPr>
            </w:pPr>
          </w:p>
        </w:tc>
        <w:tc>
          <w:tcPr>
            <w:tcW w:w="1280" w:type="dxa"/>
            <w:vAlign w:val="bottom"/>
          </w:tcPr>
          <w:p>
            <w:pPr>
              <w:spacing w:after="0"/>
              <w:rPr>
                <w:sz w:val="16"/>
                <w:szCs w:val="16"/>
                <w:color w:val="auto"/>
              </w:rPr>
            </w:pPr>
          </w:p>
        </w:tc>
        <w:tc>
          <w:tcPr>
            <w:tcW w:w="1600" w:type="dxa"/>
            <w:vAlign w:val="bottom"/>
            <w:tcBorders>
              <w:right w:val="single" w:sz="8" w:color="auto"/>
            </w:tcBorders>
            <w:vMerge w:val="restart"/>
          </w:tcPr>
          <w:p>
            <w:pPr>
              <w:ind w:left="700"/>
              <w:spacing w:after="0"/>
              <w:rPr>
                <w:sz w:val="20"/>
                <w:szCs w:val="20"/>
                <w:color w:val="auto"/>
              </w:rPr>
            </w:pPr>
            <w:r>
              <w:rPr>
                <w:rFonts w:ascii="Times New Roman" w:cs="Times New Roman" w:eastAsia="Times New Roman" w:hAnsi="Times New Roman"/>
                <w:sz w:val="14"/>
                <w:szCs w:val="14"/>
                <w:i w:val="1"/>
                <w:iCs w:val="1"/>
                <w:color w:val="auto"/>
              </w:rPr>
              <w:t>S. bicanthalis</w:t>
            </w:r>
          </w:p>
        </w:tc>
        <w:tc>
          <w:tcPr>
            <w:tcW w:w="0" w:type="dxa"/>
            <w:vAlign w:val="bottom"/>
          </w:tcPr>
          <w:p>
            <w:pPr>
              <w:spacing w:after="0"/>
              <w:rPr>
                <w:sz w:val="1"/>
                <w:szCs w:val="1"/>
                <w:color w:val="auto"/>
              </w:rPr>
            </w:pPr>
          </w:p>
        </w:tc>
      </w:tr>
      <w:tr>
        <w:trPr>
          <w:trHeight w:val="167"/>
        </w:trPr>
        <w:tc>
          <w:tcPr>
            <w:tcW w:w="640" w:type="dxa"/>
            <w:vAlign w:val="bottom"/>
            <w:tcBorders>
              <w:left w:val="single" w:sz="8" w:color="auto"/>
            </w:tcBorders>
          </w:tcPr>
          <w:p>
            <w:pPr>
              <w:spacing w:after="0"/>
              <w:rPr>
                <w:sz w:val="14"/>
                <w:szCs w:val="14"/>
                <w:color w:val="auto"/>
              </w:rPr>
            </w:pPr>
          </w:p>
        </w:tc>
        <w:tc>
          <w:tcPr>
            <w:tcW w:w="740" w:type="dxa"/>
            <w:vAlign w:val="bottom"/>
            <w:vMerge w:val="restart"/>
          </w:tcPr>
          <w:p>
            <w:pPr>
              <w:jc w:val="right"/>
              <w:ind w:right="489"/>
              <w:spacing w:after="0"/>
              <w:rPr>
                <w:sz w:val="20"/>
                <w:szCs w:val="20"/>
                <w:color w:val="auto"/>
              </w:rPr>
            </w:pPr>
            <w:r>
              <w:rPr>
                <w:rFonts w:ascii="Times New Roman" w:cs="Times New Roman" w:eastAsia="Times New Roman" w:hAnsi="Times New Roman"/>
                <w:sz w:val="14"/>
                <w:szCs w:val="14"/>
                <w:color w:val="auto"/>
              </w:rPr>
              <w:t>0</w:t>
            </w:r>
          </w:p>
        </w:tc>
        <w:tc>
          <w:tcPr>
            <w:tcW w:w="1260" w:type="dxa"/>
            <w:vAlign w:val="bottom"/>
          </w:tcPr>
          <w:p>
            <w:pPr>
              <w:spacing w:after="0"/>
              <w:rPr>
                <w:sz w:val="14"/>
                <w:szCs w:val="14"/>
                <w:color w:val="auto"/>
              </w:rPr>
            </w:pPr>
          </w:p>
        </w:tc>
        <w:tc>
          <w:tcPr>
            <w:tcW w:w="540" w:type="dxa"/>
            <w:vAlign w:val="bottom"/>
          </w:tcPr>
          <w:p>
            <w:pPr>
              <w:spacing w:after="0"/>
              <w:rPr>
                <w:sz w:val="14"/>
                <w:szCs w:val="14"/>
                <w:color w:val="auto"/>
              </w:rPr>
            </w:pPr>
          </w:p>
        </w:tc>
        <w:tc>
          <w:tcPr>
            <w:tcW w:w="1140" w:type="dxa"/>
            <w:vAlign w:val="bottom"/>
          </w:tcPr>
          <w:p>
            <w:pPr>
              <w:spacing w:after="0"/>
              <w:rPr>
                <w:sz w:val="14"/>
                <w:szCs w:val="14"/>
                <w:color w:val="auto"/>
              </w:rPr>
            </w:pPr>
          </w:p>
        </w:tc>
        <w:tc>
          <w:tcPr>
            <w:tcW w:w="1280" w:type="dxa"/>
            <w:vAlign w:val="bottom"/>
          </w:tcPr>
          <w:p>
            <w:pPr>
              <w:spacing w:after="0"/>
              <w:rPr>
                <w:sz w:val="14"/>
                <w:szCs w:val="14"/>
                <w:color w:val="auto"/>
              </w:rPr>
            </w:pPr>
          </w:p>
        </w:tc>
        <w:tc>
          <w:tcPr>
            <w:tcW w:w="1600" w:type="dxa"/>
            <w:vAlign w:val="bottom"/>
            <w:tcBorders>
              <w:right w:val="single" w:sz="8" w:color="auto"/>
            </w:tcBorders>
            <w:vMerge w:val="continue"/>
          </w:tcPr>
          <w:p>
            <w:pPr>
              <w:spacing w:after="0"/>
              <w:rPr>
                <w:sz w:val="14"/>
                <w:szCs w:val="14"/>
                <w:color w:val="auto"/>
              </w:rPr>
            </w:pPr>
          </w:p>
        </w:tc>
        <w:tc>
          <w:tcPr>
            <w:tcW w:w="0" w:type="dxa"/>
            <w:vAlign w:val="bottom"/>
          </w:tcPr>
          <w:p>
            <w:pPr>
              <w:spacing w:after="0"/>
              <w:rPr>
                <w:sz w:val="1"/>
                <w:szCs w:val="1"/>
                <w:color w:val="auto"/>
              </w:rPr>
            </w:pPr>
          </w:p>
        </w:tc>
      </w:tr>
      <w:tr>
        <w:trPr>
          <w:trHeight w:val="65"/>
        </w:trPr>
        <w:tc>
          <w:tcPr>
            <w:tcW w:w="640" w:type="dxa"/>
            <w:vAlign w:val="bottom"/>
            <w:tcBorders>
              <w:left w:val="single" w:sz="8" w:color="auto"/>
            </w:tcBorders>
          </w:tcPr>
          <w:p>
            <w:pPr>
              <w:spacing w:after="0"/>
              <w:rPr>
                <w:sz w:val="5"/>
                <w:szCs w:val="5"/>
                <w:color w:val="auto"/>
              </w:rPr>
            </w:pPr>
          </w:p>
        </w:tc>
        <w:tc>
          <w:tcPr>
            <w:tcW w:w="740" w:type="dxa"/>
            <w:vAlign w:val="bottom"/>
            <w:vMerge w:val="continue"/>
          </w:tcPr>
          <w:p>
            <w:pPr>
              <w:spacing w:after="0"/>
              <w:rPr>
                <w:sz w:val="5"/>
                <w:szCs w:val="5"/>
                <w:color w:val="auto"/>
              </w:rPr>
            </w:pPr>
          </w:p>
        </w:tc>
        <w:tc>
          <w:tcPr>
            <w:tcW w:w="1260" w:type="dxa"/>
            <w:vAlign w:val="bottom"/>
          </w:tcPr>
          <w:p>
            <w:pPr>
              <w:spacing w:after="0"/>
              <w:rPr>
                <w:sz w:val="5"/>
                <w:szCs w:val="5"/>
                <w:color w:val="auto"/>
              </w:rPr>
            </w:pPr>
          </w:p>
        </w:tc>
        <w:tc>
          <w:tcPr>
            <w:tcW w:w="540" w:type="dxa"/>
            <w:vAlign w:val="bottom"/>
          </w:tcPr>
          <w:p>
            <w:pPr>
              <w:spacing w:after="0"/>
              <w:rPr>
                <w:sz w:val="5"/>
                <w:szCs w:val="5"/>
                <w:color w:val="auto"/>
              </w:rPr>
            </w:pPr>
          </w:p>
        </w:tc>
        <w:tc>
          <w:tcPr>
            <w:tcW w:w="1140" w:type="dxa"/>
            <w:vAlign w:val="bottom"/>
          </w:tcPr>
          <w:p>
            <w:pPr>
              <w:spacing w:after="0"/>
              <w:rPr>
                <w:sz w:val="5"/>
                <w:szCs w:val="5"/>
                <w:color w:val="auto"/>
              </w:rPr>
            </w:pPr>
          </w:p>
        </w:tc>
        <w:tc>
          <w:tcPr>
            <w:tcW w:w="1280" w:type="dxa"/>
            <w:vAlign w:val="bottom"/>
          </w:tcPr>
          <w:p>
            <w:pPr>
              <w:spacing w:after="0"/>
              <w:rPr>
                <w:sz w:val="5"/>
                <w:szCs w:val="5"/>
                <w:color w:val="auto"/>
              </w:rPr>
            </w:pPr>
          </w:p>
        </w:tc>
        <w:tc>
          <w:tcPr>
            <w:tcW w:w="1600" w:type="dxa"/>
            <w:vAlign w:val="bottom"/>
            <w:tcBorders>
              <w:right w:val="single" w:sz="8" w:color="auto"/>
            </w:tcBorders>
          </w:tcPr>
          <w:p>
            <w:pPr>
              <w:spacing w:after="0"/>
              <w:rPr>
                <w:sz w:val="5"/>
                <w:szCs w:val="5"/>
                <w:color w:val="auto"/>
              </w:rPr>
            </w:pPr>
          </w:p>
        </w:tc>
        <w:tc>
          <w:tcPr>
            <w:tcW w:w="0" w:type="dxa"/>
            <w:vAlign w:val="bottom"/>
          </w:tcPr>
          <w:p>
            <w:pPr>
              <w:spacing w:after="0"/>
              <w:rPr>
                <w:sz w:val="1"/>
                <w:szCs w:val="1"/>
                <w:color w:val="auto"/>
              </w:rPr>
            </w:pPr>
          </w:p>
        </w:tc>
      </w:tr>
      <w:tr>
        <w:trPr>
          <w:trHeight w:val="295"/>
        </w:trPr>
        <w:tc>
          <w:tcPr>
            <w:tcW w:w="640" w:type="dxa"/>
            <w:vAlign w:val="bottom"/>
            <w:tcBorders>
              <w:left w:val="single" w:sz="8" w:color="auto"/>
            </w:tcBorders>
          </w:tcPr>
          <w:p>
            <w:pPr>
              <w:spacing w:after="0"/>
              <w:rPr>
                <w:sz w:val="24"/>
                <w:szCs w:val="24"/>
                <w:color w:val="auto"/>
              </w:rPr>
            </w:pPr>
          </w:p>
        </w:tc>
        <w:tc>
          <w:tcPr>
            <w:tcW w:w="740" w:type="dxa"/>
            <w:vAlign w:val="bottom"/>
          </w:tcPr>
          <w:p>
            <w:pPr>
              <w:spacing w:after="0"/>
              <w:rPr>
                <w:sz w:val="24"/>
                <w:szCs w:val="24"/>
                <w:color w:val="auto"/>
              </w:rPr>
            </w:pPr>
          </w:p>
        </w:tc>
        <w:tc>
          <w:tcPr>
            <w:tcW w:w="126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114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1600" w:type="dxa"/>
            <w:vAlign w:val="bottom"/>
            <w:tcBorders>
              <w:right w:val="single" w:sz="8" w:color="auto"/>
            </w:tcBorders>
          </w:tcPr>
          <w:p>
            <w:pPr>
              <w:ind w:left="700"/>
              <w:spacing w:after="0"/>
              <w:rPr>
                <w:sz w:val="20"/>
                <w:szCs w:val="20"/>
                <w:color w:val="auto"/>
              </w:rPr>
            </w:pPr>
            <w:r>
              <w:rPr>
                <w:rFonts w:ascii="Times New Roman" w:cs="Times New Roman" w:eastAsia="Times New Roman" w:hAnsi="Times New Roman"/>
                <w:sz w:val="14"/>
                <w:szCs w:val="14"/>
                <w:i w:val="1"/>
                <w:iCs w:val="1"/>
                <w:color w:val="auto"/>
              </w:rPr>
              <w:t>S. aeneus</w:t>
            </w:r>
          </w:p>
        </w:tc>
        <w:tc>
          <w:tcPr>
            <w:tcW w:w="0" w:type="dxa"/>
            <w:vAlign w:val="bottom"/>
          </w:tcPr>
          <w:p>
            <w:pPr>
              <w:spacing w:after="0"/>
              <w:rPr>
                <w:sz w:val="1"/>
                <w:szCs w:val="1"/>
                <w:color w:val="auto"/>
              </w:rPr>
            </w:pPr>
          </w:p>
        </w:tc>
      </w:tr>
      <w:tr>
        <w:trPr>
          <w:trHeight w:val="360"/>
        </w:trPr>
        <w:tc>
          <w:tcPr>
            <w:tcW w:w="640" w:type="dxa"/>
            <w:vAlign w:val="bottom"/>
            <w:tcBorders>
              <w:left w:val="single" w:sz="8" w:color="auto"/>
            </w:tcBorders>
            <w:vMerge w:val="restart"/>
            <w:textDirection w:val="btLr"/>
          </w:tcPr>
          <w:p>
            <w:pPr>
              <w:ind w:left="356"/>
              <w:spacing w:after="0"/>
              <w:rPr>
                <w:sz w:val="20"/>
                <w:szCs w:val="20"/>
                <w:color w:val="auto"/>
              </w:rPr>
            </w:pPr>
            <w:r>
              <w:rPr>
                <w:rFonts w:ascii="Times New Roman" w:cs="Times New Roman" w:eastAsia="Times New Roman" w:hAnsi="Times New Roman"/>
                <w:sz w:val="13"/>
                <w:szCs w:val="13"/>
                <w:color w:val="auto"/>
                <w:w w:val="70"/>
              </w:rPr>
              <w:t>Longitudtibia</w:t>
            </w:r>
          </w:p>
        </w:tc>
        <w:tc>
          <w:tcPr>
            <w:tcW w:w="740" w:type="dxa"/>
            <w:vAlign w:val="bottom"/>
          </w:tcPr>
          <w:p>
            <w:pPr>
              <w:jc w:val="right"/>
              <w:ind w:right="489"/>
              <w:spacing w:after="0"/>
              <w:rPr>
                <w:sz w:val="20"/>
                <w:szCs w:val="20"/>
                <w:color w:val="auto"/>
              </w:rPr>
            </w:pPr>
            <w:r>
              <w:rPr>
                <w:rFonts w:ascii="Times New Roman" w:cs="Times New Roman" w:eastAsia="Times New Roman" w:hAnsi="Times New Roman"/>
                <w:sz w:val="14"/>
                <w:szCs w:val="14"/>
                <w:color w:val="auto"/>
              </w:rPr>
              <w:t>-2</w:t>
            </w:r>
          </w:p>
        </w:tc>
        <w:tc>
          <w:tcPr>
            <w:tcW w:w="126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114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1600" w:type="dxa"/>
            <w:vAlign w:val="bottom"/>
            <w:tcBorders>
              <w:right w:val="single" w:sz="8" w:color="auto"/>
            </w:tcBorders>
          </w:tcPr>
          <w:p>
            <w:pPr>
              <w:ind w:left="700"/>
              <w:spacing w:after="0"/>
              <w:rPr>
                <w:sz w:val="20"/>
                <w:szCs w:val="20"/>
                <w:color w:val="auto"/>
              </w:rPr>
            </w:pPr>
            <w:r>
              <w:rPr>
                <w:rFonts w:ascii="Times New Roman" w:cs="Times New Roman" w:eastAsia="Times New Roman" w:hAnsi="Times New Roman"/>
                <w:sz w:val="14"/>
                <w:szCs w:val="14"/>
                <w:i w:val="1"/>
                <w:iCs w:val="1"/>
                <w:color w:val="auto"/>
              </w:rPr>
              <w:t>S. aeneus</w:t>
            </w:r>
          </w:p>
        </w:tc>
        <w:tc>
          <w:tcPr>
            <w:tcW w:w="0" w:type="dxa"/>
            <w:vAlign w:val="bottom"/>
          </w:tcPr>
          <w:p>
            <w:pPr>
              <w:spacing w:after="0"/>
              <w:rPr>
                <w:sz w:val="1"/>
                <w:szCs w:val="1"/>
                <w:color w:val="auto"/>
              </w:rPr>
            </w:pPr>
          </w:p>
        </w:tc>
      </w:tr>
      <w:tr>
        <w:trPr>
          <w:trHeight w:val="360"/>
        </w:trPr>
        <w:tc>
          <w:tcPr>
            <w:tcW w:w="640" w:type="dxa"/>
            <w:vAlign w:val="bottom"/>
            <w:tcBorders>
              <w:left w:val="single" w:sz="8" w:color="auto"/>
            </w:tcBorders>
            <w:vMerge w:val="continue"/>
          </w:tcPr>
          <w:p>
            <w:pPr>
              <w:spacing w:after="0"/>
              <w:rPr>
                <w:sz w:val="24"/>
                <w:szCs w:val="24"/>
                <w:color w:val="auto"/>
              </w:rPr>
            </w:pPr>
          </w:p>
        </w:tc>
        <w:tc>
          <w:tcPr>
            <w:tcW w:w="740" w:type="dxa"/>
            <w:vAlign w:val="bottom"/>
          </w:tcPr>
          <w:p>
            <w:pPr>
              <w:spacing w:after="0"/>
              <w:rPr>
                <w:sz w:val="24"/>
                <w:szCs w:val="24"/>
                <w:color w:val="auto"/>
              </w:rPr>
            </w:pPr>
          </w:p>
        </w:tc>
        <w:tc>
          <w:tcPr>
            <w:tcW w:w="126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114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1600" w:type="dxa"/>
            <w:vAlign w:val="bottom"/>
            <w:tcBorders>
              <w:right w:val="single" w:sz="8" w:color="auto"/>
            </w:tcBorders>
          </w:tcPr>
          <w:p>
            <w:pPr>
              <w:ind w:left="700"/>
              <w:spacing w:after="0"/>
              <w:rPr>
                <w:sz w:val="20"/>
                <w:szCs w:val="20"/>
                <w:color w:val="auto"/>
              </w:rPr>
            </w:pPr>
            <w:r>
              <w:rPr>
                <w:rFonts w:ascii="Times New Roman" w:cs="Times New Roman" w:eastAsia="Times New Roman" w:hAnsi="Times New Roman"/>
                <w:sz w:val="14"/>
                <w:szCs w:val="14"/>
                <w:i w:val="1"/>
                <w:iCs w:val="1"/>
                <w:color w:val="auto"/>
              </w:rPr>
              <w:t>S. scalaris</w:t>
            </w:r>
          </w:p>
        </w:tc>
        <w:tc>
          <w:tcPr>
            <w:tcW w:w="0" w:type="dxa"/>
            <w:vAlign w:val="bottom"/>
          </w:tcPr>
          <w:p>
            <w:pPr>
              <w:spacing w:after="0"/>
              <w:rPr>
                <w:sz w:val="1"/>
                <w:szCs w:val="1"/>
                <w:color w:val="auto"/>
              </w:rPr>
            </w:pPr>
          </w:p>
        </w:tc>
      </w:tr>
      <w:tr>
        <w:trPr>
          <w:trHeight w:val="154"/>
        </w:trPr>
        <w:tc>
          <w:tcPr>
            <w:tcW w:w="640" w:type="dxa"/>
            <w:vAlign w:val="bottom"/>
            <w:tcBorders>
              <w:left w:val="single" w:sz="8" w:color="auto"/>
            </w:tcBorders>
            <w:vMerge w:val="continue"/>
          </w:tcPr>
          <w:p>
            <w:pPr>
              <w:spacing w:after="0"/>
              <w:rPr>
                <w:sz w:val="13"/>
                <w:szCs w:val="13"/>
                <w:color w:val="auto"/>
              </w:rPr>
            </w:pPr>
          </w:p>
        </w:tc>
        <w:tc>
          <w:tcPr>
            <w:tcW w:w="740" w:type="dxa"/>
            <w:vAlign w:val="bottom"/>
            <w:vMerge w:val="restart"/>
          </w:tcPr>
          <w:p>
            <w:pPr>
              <w:jc w:val="right"/>
              <w:ind w:right="489"/>
              <w:spacing w:after="0"/>
              <w:rPr>
                <w:sz w:val="20"/>
                <w:szCs w:val="20"/>
                <w:color w:val="auto"/>
              </w:rPr>
            </w:pPr>
            <w:r>
              <w:rPr>
                <w:rFonts w:ascii="Times New Roman" w:cs="Times New Roman" w:eastAsia="Times New Roman" w:hAnsi="Times New Roman"/>
                <w:sz w:val="14"/>
                <w:szCs w:val="14"/>
                <w:color w:val="auto"/>
              </w:rPr>
              <w:t>-4</w:t>
            </w:r>
          </w:p>
        </w:tc>
        <w:tc>
          <w:tcPr>
            <w:tcW w:w="1260" w:type="dxa"/>
            <w:vAlign w:val="bottom"/>
          </w:tcPr>
          <w:p>
            <w:pPr>
              <w:spacing w:after="0"/>
              <w:rPr>
                <w:sz w:val="13"/>
                <w:szCs w:val="13"/>
                <w:color w:val="auto"/>
              </w:rPr>
            </w:pPr>
          </w:p>
        </w:tc>
        <w:tc>
          <w:tcPr>
            <w:tcW w:w="540" w:type="dxa"/>
            <w:vAlign w:val="bottom"/>
          </w:tcPr>
          <w:p>
            <w:pPr>
              <w:spacing w:after="0"/>
              <w:rPr>
                <w:sz w:val="13"/>
                <w:szCs w:val="13"/>
                <w:color w:val="auto"/>
              </w:rPr>
            </w:pPr>
          </w:p>
        </w:tc>
        <w:tc>
          <w:tcPr>
            <w:tcW w:w="1140" w:type="dxa"/>
            <w:vAlign w:val="bottom"/>
          </w:tcPr>
          <w:p>
            <w:pPr>
              <w:spacing w:after="0"/>
              <w:rPr>
                <w:sz w:val="13"/>
                <w:szCs w:val="13"/>
                <w:color w:val="auto"/>
              </w:rPr>
            </w:pPr>
          </w:p>
        </w:tc>
        <w:tc>
          <w:tcPr>
            <w:tcW w:w="1280" w:type="dxa"/>
            <w:vAlign w:val="bottom"/>
          </w:tcPr>
          <w:p>
            <w:pPr>
              <w:spacing w:after="0"/>
              <w:rPr>
                <w:sz w:val="13"/>
                <w:szCs w:val="13"/>
                <w:color w:val="auto"/>
              </w:rPr>
            </w:pPr>
          </w:p>
        </w:tc>
        <w:tc>
          <w:tcPr>
            <w:tcW w:w="1600" w:type="dxa"/>
            <w:vAlign w:val="bottom"/>
            <w:tcBorders>
              <w:right w:val="single" w:sz="8" w:color="auto"/>
            </w:tcBorders>
          </w:tcPr>
          <w:p>
            <w:pPr>
              <w:spacing w:after="0"/>
              <w:rPr>
                <w:sz w:val="13"/>
                <w:szCs w:val="13"/>
                <w:color w:val="auto"/>
              </w:rPr>
            </w:pPr>
          </w:p>
        </w:tc>
        <w:tc>
          <w:tcPr>
            <w:tcW w:w="0" w:type="dxa"/>
            <w:vAlign w:val="bottom"/>
          </w:tcPr>
          <w:p>
            <w:pPr>
              <w:spacing w:after="0"/>
              <w:rPr>
                <w:sz w:val="1"/>
                <w:szCs w:val="1"/>
                <w:color w:val="auto"/>
              </w:rPr>
            </w:pPr>
          </w:p>
        </w:tc>
      </w:tr>
      <w:tr>
        <w:trPr>
          <w:trHeight w:val="91"/>
        </w:trPr>
        <w:tc>
          <w:tcPr>
            <w:tcW w:w="640" w:type="dxa"/>
            <w:vAlign w:val="bottom"/>
            <w:tcBorders>
              <w:left w:val="single" w:sz="8" w:color="auto"/>
            </w:tcBorders>
          </w:tcPr>
          <w:p>
            <w:pPr>
              <w:spacing w:after="0"/>
              <w:rPr>
                <w:sz w:val="7"/>
                <w:szCs w:val="7"/>
                <w:color w:val="auto"/>
              </w:rPr>
            </w:pPr>
          </w:p>
        </w:tc>
        <w:tc>
          <w:tcPr>
            <w:tcW w:w="740" w:type="dxa"/>
            <w:vAlign w:val="bottom"/>
            <w:vMerge w:val="continue"/>
          </w:tcPr>
          <w:p>
            <w:pPr>
              <w:spacing w:after="0"/>
              <w:rPr>
                <w:sz w:val="7"/>
                <w:szCs w:val="7"/>
                <w:color w:val="auto"/>
              </w:rPr>
            </w:pPr>
          </w:p>
        </w:tc>
        <w:tc>
          <w:tcPr>
            <w:tcW w:w="1260" w:type="dxa"/>
            <w:vAlign w:val="bottom"/>
          </w:tcPr>
          <w:p>
            <w:pPr>
              <w:spacing w:after="0"/>
              <w:rPr>
                <w:sz w:val="7"/>
                <w:szCs w:val="7"/>
                <w:color w:val="auto"/>
              </w:rPr>
            </w:pPr>
          </w:p>
        </w:tc>
        <w:tc>
          <w:tcPr>
            <w:tcW w:w="540" w:type="dxa"/>
            <w:vAlign w:val="bottom"/>
          </w:tcPr>
          <w:p>
            <w:pPr>
              <w:spacing w:after="0"/>
              <w:rPr>
                <w:sz w:val="7"/>
                <w:szCs w:val="7"/>
                <w:color w:val="auto"/>
              </w:rPr>
            </w:pPr>
          </w:p>
        </w:tc>
        <w:tc>
          <w:tcPr>
            <w:tcW w:w="1140" w:type="dxa"/>
            <w:vAlign w:val="bottom"/>
          </w:tcPr>
          <w:p>
            <w:pPr>
              <w:spacing w:after="0"/>
              <w:rPr>
                <w:sz w:val="7"/>
                <w:szCs w:val="7"/>
                <w:color w:val="auto"/>
              </w:rPr>
            </w:pPr>
          </w:p>
        </w:tc>
        <w:tc>
          <w:tcPr>
            <w:tcW w:w="1280" w:type="dxa"/>
            <w:vAlign w:val="bottom"/>
          </w:tcPr>
          <w:p>
            <w:pPr>
              <w:spacing w:after="0"/>
              <w:rPr>
                <w:sz w:val="7"/>
                <w:szCs w:val="7"/>
                <w:color w:val="auto"/>
              </w:rPr>
            </w:pPr>
          </w:p>
        </w:tc>
        <w:tc>
          <w:tcPr>
            <w:tcW w:w="1600" w:type="dxa"/>
            <w:vAlign w:val="bottom"/>
            <w:tcBorders>
              <w:right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268"/>
        </w:trPr>
        <w:tc>
          <w:tcPr>
            <w:tcW w:w="640" w:type="dxa"/>
            <w:vAlign w:val="bottom"/>
            <w:tcBorders>
              <w:left w:val="single" w:sz="8" w:color="auto"/>
            </w:tcBorders>
          </w:tcPr>
          <w:p>
            <w:pPr>
              <w:spacing w:after="0"/>
              <w:rPr>
                <w:sz w:val="23"/>
                <w:szCs w:val="23"/>
                <w:color w:val="auto"/>
              </w:rPr>
            </w:pPr>
          </w:p>
        </w:tc>
        <w:tc>
          <w:tcPr>
            <w:tcW w:w="740" w:type="dxa"/>
            <w:vAlign w:val="bottom"/>
          </w:tcPr>
          <w:p>
            <w:pPr>
              <w:jc w:val="right"/>
              <w:ind w:right="149"/>
              <w:spacing w:after="0"/>
              <w:rPr>
                <w:sz w:val="20"/>
                <w:szCs w:val="20"/>
                <w:color w:val="auto"/>
              </w:rPr>
            </w:pPr>
            <w:r>
              <w:rPr>
                <w:rFonts w:ascii="Times New Roman" w:cs="Times New Roman" w:eastAsia="Times New Roman" w:hAnsi="Times New Roman"/>
                <w:sz w:val="16"/>
                <w:szCs w:val="16"/>
                <w:color w:val="auto"/>
              </w:rPr>
              <w:t>-2.7</w:t>
            </w:r>
          </w:p>
        </w:tc>
        <w:tc>
          <w:tcPr>
            <w:tcW w:w="1260" w:type="dxa"/>
            <w:vAlign w:val="bottom"/>
          </w:tcPr>
          <w:p>
            <w:pPr>
              <w:jc w:val="right"/>
              <w:ind w:right="465"/>
              <w:spacing w:after="0"/>
              <w:rPr>
                <w:sz w:val="20"/>
                <w:szCs w:val="20"/>
                <w:color w:val="auto"/>
              </w:rPr>
            </w:pPr>
            <w:r>
              <w:rPr>
                <w:rFonts w:ascii="Times New Roman" w:cs="Times New Roman" w:eastAsia="Times New Roman" w:hAnsi="Times New Roman"/>
                <w:sz w:val="16"/>
                <w:szCs w:val="16"/>
                <w:color w:val="auto"/>
              </w:rPr>
              <w:t>-0.7</w:t>
            </w:r>
          </w:p>
        </w:tc>
        <w:tc>
          <w:tcPr>
            <w:tcW w:w="540" w:type="dxa"/>
            <w:vAlign w:val="bottom"/>
          </w:tcPr>
          <w:p>
            <w:pPr>
              <w:jc w:val="right"/>
              <w:spacing w:after="0"/>
              <w:rPr>
                <w:sz w:val="20"/>
                <w:szCs w:val="20"/>
                <w:color w:val="auto"/>
              </w:rPr>
            </w:pPr>
            <w:r>
              <w:rPr>
                <w:rFonts w:ascii="Times New Roman" w:cs="Times New Roman" w:eastAsia="Times New Roman" w:hAnsi="Times New Roman"/>
                <w:sz w:val="16"/>
                <w:szCs w:val="16"/>
                <w:color w:val="auto"/>
              </w:rPr>
              <w:t>1.3</w:t>
            </w:r>
          </w:p>
        </w:tc>
        <w:tc>
          <w:tcPr>
            <w:tcW w:w="1140" w:type="dxa"/>
            <w:vAlign w:val="bottom"/>
          </w:tcPr>
          <w:p>
            <w:pPr>
              <w:jc w:val="right"/>
              <w:ind w:right="176"/>
              <w:spacing w:after="0"/>
              <w:rPr>
                <w:sz w:val="20"/>
                <w:szCs w:val="20"/>
                <w:color w:val="auto"/>
              </w:rPr>
            </w:pPr>
            <w:r>
              <w:rPr>
                <w:rFonts w:ascii="Times New Roman" w:cs="Times New Roman" w:eastAsia="Times New Roman" w:hAnsi="Times New Roman"/>
                <w:sz w:val="16"/>
                <w:szCs w:val="16"/>
                <w:color w:val="auto"/>
              </w:rPr>
              <w:t>3.3</w:t>
            </w:r>
          </w:p>
        </w:tc>
        <w:tc>
          <w:tcPr>
            <w:tcW w:w="1280" w:type="dxa"/>
            <w:vAlign w:val="bottom"/>
          </w:tcPr>
          <w:p>
            <w:pPr>
              <w:jc w:val="right"/>
              <w:ind w:right="505"/>
              <w:spacing w:after="0"/>
              <w:rPr>
                <w:sz w:val="20"/>
                <w:szCs w:val="20"/>
                <w:color w:val="auto"/>
              </w:rPr>
            </w:pPr>
            <w:r>
              <w:rPr>
                <w:rFonts w:ascii="Times New Roman" w:cs="Times New Roman" w:eastAsia="Times New Roman" w:hAnsi="Times New Roman"/>
                <w:sz w:val="16"/>
                <w:szCs w:val="16"/>
                <w:color w:val="auto"/>
              </w:rPr>
              <w:t>5.3</w:t>
            </w:r>
          </w:p>
        </w:tc>
        <w:tc>
          <w:tcPr>
            <w:tcW w:w="1600" w:type="dxa"/>
            <w:vAlign w:val="bottom"/>
            <w:tcBorders>
              <w:right w:val="single" w:sz="8" w:color="auto"/>
            </w:tcBorders>
          </w:tcPr>
          <w:p>
            <w:pPr>
              <w:ind w:left="180"/>
              <w:spacing w:after="0"/>
              <w:rPr>
                <w:sz w:val="20"/>
                <w:szCs w:val="20"/>
                <w:color w:val="auto"/>
              </w:rPr>
            </w:pPr>
            <w:r>
              <w:rPr>
                <w:rFonts w:ascii="Times New Roman" w:cs="Times New Roman" w:eastAsia="Times New Roman" w:hAnsi="Times New Roman"/>
                <w:sz w:val="16"/>
                <w:szCs w:val="16"/>
                <w:color w:val="auto"/>
              </w:rPr>
              <w:t>7.3</w:t>
            </w:r>
          </w:p>
        </w:tc>
        <w:tc>
          <w:tcPr>
            <w:tcW w:w="0" w:type="dxa"/>
            <w:vAlign w:val="bottom"/>
          </w:tcPr>
          <w:p>
            <w:pPr>
              <w:spacing w:after="0"/>
              <w:rPr>
                <w:sz w:val="1"/>
                <w:szCs w:val="1"/>
                <w:color w:val="auto"/>
              </w:rPr>
            </w:pPr>
          </w:p>
        </w:tc>
      </w:tr>
      <w:tr>
        <w:trPr>
          <w:trHeight w:val="262"/>
        </w:trPr>
        <w:tc>
          <w:tcPr>
            <w:tcW w:w="640" w:type="dxa"/>
            <w:vAlign w:val="bottom"/>
            <w:tcBorders>
              <w:left w:val="single" w:sz="8" w:color="auto"/>
            </w:tcBorders>
          </w:tcPr>
          <w:p>
            <w:pPr>
              <w:spacing w:after="0"/>
              <w:rPr>
                <w:sz w:val="22"/>
                <w:szCs w:val="22"/>
                <w:color w:val="auto"/>
              </w:rPr>
            </w:pPr>
          </w:p>
        </w:tc>
        <w:tc>
          <w:tcPr>
            <w:tcW w:w="740" w:type="dxa"/>
            <w:vAlign w:val="bottom"/>
          </w:tcPr>
          <w:p>
            <w:pPr>
              <w:spacing w:after="0"/>
              <w:rPr>
                <w:sz w:val="22"/>
                <w:szCs w:val="22"/>
                <w:color w:val="auto"/>
              </w:rPr>
            </w:pPr>
          </w:p>
        </w:tc>
        <w:tc>
          <w:tcPr>
            <w:tcW w:w="1260" w:type="dxa"/>
            <w:vAlign w:val="bottom"/>
          </w:tcPr>
          <w:p>
            <w:pPr>
              <w:jc w:val="center"/>
              <w:spacing w:after="0"/>
              <w:rPr>
                <w:sz w:val="20"/>
                <w:szCs w:val="20"/>
                <w:color w:val="auto"/>
              </w:rPr>
            </w:pPr>
            <w:r>
              <w:rPr>
                <w:rFonts w:ascii="Times New Roman" w:cs="Times New Roman" w:eastAsia="Times New Roman" w:hAnsi="Times New Roman"/>
                <w:sz w:val="14"/>
                <w:szCs w:val="14"/>
                <w:color w:val="auto"/>
                <w:w w:val="97"/>
              </w:rPr>
              <w:t>Longitud tibia</w:t>
            </w:r>
          </w:p>
        </w:tc>
        <w:tc>
          <w:tcPr>
            <w:tcW w:w="540" w:type="dxa"/>
            <w:vAlign w:val="bottom"/>
          </w:tcPr>
          <w:p>
            <w:pPr>
              <w:spacing w:after="0"/>
              <w:rPr>
                <w:sz w:val="22"/>
                <w:szCs w:val="22"/>
                <w:color w:val="auto"/>
              </w:rPr>
            </w:pPr>
          </w:p>
        </w:tc>
        <w:tc>
          <w:tcPr>
            <w:tcW w:w="1140" w:type="dxa"/>
            <w:vAlign w:val="bottom"/>
          </w:tcPr>
          <w:p>
            <w:pPr>
              <w:jc w:val="right"/>
              <w:ind w:right="636"/>
              <w:spacing w:after="0"/>
              <w:rPr>
                <w:sz w:val="20"/>
                <w:szCs w:val="20"/>
                <w:color w:val="auto"/>
              </w:rPr>
            </w:pPr>
            <w:r>
              <w:rPr>
                <w:rFonts w:ascii="Times New Roman" w:cs="Times New Roman" w:eastAsia="Times New Roman" w:hAnsi="Times New Roman"/>
                <w:sz w:val="16"/>
                <w:szCs w:val="16"/>
                <w:b w:val="1"/>
                <w:bCs w:val="1"/>
                <w:color w:val="auto"/>
              </w:rPr>
              <w:t>FD 1</w:t>
            </w:r>
          </w:p>
        </w:tc>
        <w:tc>
          <w:tcPr>
            <w:tcW w:w="1280" w:type="dxa"/>
            <w:vAlign w:val="bottom"/>
          </w:tcPr>
          <w:p>
            <w:pPr>
              <w:jc w:val="right"/>
              <w:ind w:right="105"/>
              <w:spacing w:after="0"/>
              <w:rPr>
                <w:sz w:val="20"/>
                <w:szCs w:val="20"/>
                <w:color w:val="auto"/>
              </w:rPr>
            </w:pPr>
            <w:r>
              <w:rPr>
                <w:rFonts w:ascii="Times New Roman" w:cs="Times New Roman" w:eastAsia="Times New Roman" w:hAnsi="Times New Roman"/>
                <w:sz w:val="14"/>
                <w:szCs w:val="14"/>
                <w:color w:val="auto"/>
              </w:rPr>
              <w:t>Longitud fémur</w:t>
            </w:r>
          </w:p>
        </w:tc>
        <w:tc>
          <w:tcPr>
            <w:tcW w:w="160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152"/>
        </w:trPr>
        <w:tc>
          <w:tcPr>
            <w:tcW w:w="640" w:type="dxa"/>
            <w:vAlign w:val="bottom"/>
            <w:tcBorders>
              <w:left w:val="single" w:sz="8" w:color="auto"/>
              <w:bottom w:val="single" w:sz="8" w:color="auto"/>
            </w:tcBorders>
          </w:tcPr>
          <w:p>
            <w:pPr>
              <w:spacing w:after="0"/>
              <w:rPr>
                <w:sz w:val="13"/>
                <w:szCs w:val="13"/>
                <w:color w:val="auto"/>
              </w:rPr>
            </w:pPr>
          </w:p>
        </w:tc>
        <w:tc>
          <w:tcPr>
            <w:tcW w:w="740" w:type="dxa"/>
            <w:vAlign w:val="bottom"/>
            <w:tcBorders>
              <w:bottom w:val="single" w:sz="8" w:color="auto"/>
            </w:tcBorders>
          </w:tcPr>
          <w:p>
            <w:pPr>
              <w:spacing w:after="0"/>
              <w:rPr>
                <w:sz w:val="13"/>
                <w:szCs w:val="13"/>
                <w:color w:val="auto"/>
              </w:rPr>
            </w:pPr>
          </w:p>
        </w:tc>
        <w:tc>
          <w:tcPr>
            <w:tcW w:w="1260" w:type="dxa"/>
            <w:vAlign w:val="bottom"/>
            <w:tcBorders>
              <w:bottom w:val="single" w:sz="8" w:color="auto"/>
            </w:tcBorders>
          </w:tcPr>
          <w:p>
            <w:pPr>
              <w:spacing w:after="0"/>
              <w:rPr>
                <w:sz w:val="13"/>
                <w:szCs w:val="13"/>
                <w:color w:val="auto"/>
              </w:rPr>
            </w:pPr>
          </w:p>
        </w:tc>
        <w:tc>
          <w:tcPr>
            <w:tcW w:w="540" w:type="dxa"/>
            <w:vAlign w:val="bottom"/>
            <w:tcBorders>
              <w:bottom w:val="single" w:sz="8" w:color="auto"/>
            </w:tcBorders>
          </w:tcPr>
          <w:p>
            <w:pPr>
              <w:spacing w:after="0"/>
              <w:rPr>
                <w:sz w:val="13"/>
                <w:szCs w:val="13"/>
                <w:color w:val="auto"/>
              </w:rPr>
            </w:pPr>
          </w:p>
        </w:tc>
        <w:tc>
          <w:tcPr>
            <w:tcW w:w="1140" w:type="dxa"/>
            <w:vAlign w:val="bottom"/>
            <w:tcBorders>
              <w:bottom w:val="single" w:sz="8" w:color="auto"/>
            </w:tcBorders>
          </w:tcPr>
          <w:p>
            <w:pPr>
              <w:spacing w:after="0"/>
              <w:rPr>
                <w:sz w:val="13"/>
                <w:szCs w:val="13"/>
                <w:color w:val="auto"/>
              </w:rPr>
            </w:pPr>
          </w:p>
        </w:tc>
        <w:tc>
          <w:tcPr>
            <w:tcW w:w="1280" w:type="dxa"/>
            <w:vAlign w:val="bottom"/>
            <w:tcBorders>
              <w:bottom w:val="single" w:sz="8" w:color="auto"/>
            </w:tcBorders>
          </w:tcPr>
          <w:p>
            <w:pPr>
              <w:spacing w:after="0"/>
              <w:rPr>
                <w:sz w:val="13"/>
                <w:szCs w:val="13"/>
                <w:color w:val="auto"/>
              </w:rPr>
            </w:pPr>
          </w:p>
        </w:tc>
        <w:tc>
          <w:tcPr>
            <w:tcW w:w="1600" w:type="dxa"/>
            <w:vAlign w:val="bottom"/>
            <w:tcBorders>
              <w:bottom w:val="single" w:sz="8" w:color="auto"/>
              <w:right w:val="single" w:sz="8" w:color="auto"/>
            </w:tcBorders>
          </w:tcPr>
          <w:p>
            <w:pPr>
              <w:spacing w:after="0"/>
              <w:rPr>
                <w:sz w:val="13"/>
                <w:szCs w:val="13"/>
                <w:color w:val="auto"/>
              </w:rPr>
            </w:pPr>
          </w:p>
        </w:tc>
        <w:tc>
          <w:tcPr>
            <w:tcW w:w="0" w:type="dxa"/>
            <w:vAlign w:val="bottom"/>
          </w:tcPr>
          <w:p>
            <w:pPr>
              <w:spacing w:after="0"/>
              <w:rPr>
                <w:sz w:val="1"/>
                <w:szCs w:val="1"/>
                <w:color w:val="auto"/>
              </w:rPr>
            </w:pPr>
          </w:p>
        </w:tc>
      </w:tr>
    </w:tbl>
    <w:p>
      <w:pPr>
        <w:spacing w:after="0" w:line="153"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7620</wp:posOffset>
            </wp:positionH>
            <wp:positionV relativeFrom="paragraph">
              <wp:posOffset>-2643505</wp:posOffset>
            </wp:positionV>
            <wp:extent cx="4090035" cy="2640965"/>
            <wp:wrapNone/>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37">
                      <a:extLst>
                        <a:ext uri="{28A0092B-C50C-407E-A947-70E740481C1C}"/>
                      </a:extLst>
                    </a:blip>
                    <a:srcRect/>
                    <a:stretch>
                      <a:fillRect/>
                    </a:stretch>
                  </pic:blipFill>
                  <pic:spPr bwMode="auto">
                    <a:xfrm>
                      <a:off x="0" y="0"/>
                      <a:ext cx="4090035" cy="2640965"/>
                    </a:xfrm>
                    <a:prstGeom prst="rect">
                      <a:avLst/>
                    </a:prstGeom>
                    <a:noFill/>
                  </pic:spPr>
                </pic:pic>
              </a:graphicData>
            </a:graphic>
          </wp:anchor>
        </w:drawing>
      </w:r>
    </w:p>
    <w:p>
      <w:pPr>
        <w:jc w:val="both"/>
        <w:spacing w:after="0" w:line="311" w:lineRule="auto"/>
        <w:rPr>
          <w:sz w:val="20"/>
          <w:szCs w:val="20"/>
          <w:color w:val="auto"/>
        </w:rPr>
      </w:pPr>
      <w:r>
        <w:rPr>
          <w:rFonts w:ascii="Times New Roman" w:cs="Times New Roman" w:eastAsia="Times New Roman" w:hAnsi="Times New Roman"/>
          <w:sz w:val="16"/>
          <w:szCs w:val="16"/>
          <w:color w:val="auto"/>
        </w:rPr>
        <w:t>FD1 contra FD2 de las siete especies de estudio, donde se incluyen los ocho residuales de las variables morfométricas (Fuente: Suárez, 2010).</w:t>
      </w:r>
    </w:p>
    <w:p>
      <w:pPr>
        <w:spacing w:after="0" w:line="200" w:lineRule="exact"/>
        <w:rPr>
          <w:sz w:val="20"/>
          <w:szCs w:val="20"/>
          <w:color w:val="auto"/>
        </w:rPr>
      </w:pPr>
    </w:p>
    <w:p>
      <w:pPr>
        <w:spacing w:after="0" w:line="200" w:lineRule="exact"/>
        <w:rPr>
          <w:sz w:val="20"/>
          <w:szCs w:val="20"/>
          <w:color w:val="auto"/>
        </w:rPr>
      </w:pPr>
    </w:p>
    <w:p>
      <w:pPr>
        <w:spacing w:after="0" w:line="241" w:lineRule="exact"/>
        <w:rPr>
          <w:sz w:val="20"/>
          <w:szCs w:val="20"/>
          <w:color w:val="auto"/>
        </w:rPr>
      </w:pPr>
    </w:p>
    <w:p>
      <w:pPr>
        <w:jc w:val="both"/>
        <w:spacing w:after="0" w:line="318" w:lineRule="auto"/>
        <w:rPr>
          <w:sz w:val="20"/>
          <w:szCs w:val="20"/>
          <w:color w:val="auto"/>
        </w:rPr>
      </w:pPr>
      <w:r>
        <w:rPr>
          <w:rFonts w:ascii="Times New Roman" w:cs="Times New Roman" w:eastAsia="Times New Roman" w:hAnsi="Times New Roman"/>
          <w:sz w:val="21"/>
          <w:szCs w:val="21"/>
          <w:color w:val="auto"/>
        </w:rPr>
        <w:t xml:space="preserve">Para los casos de </w:t>
      </w:r>
      <w:r>
        <w:rPr>
          <w:rFonts w:ascii="Times New Roman" w:cs="Times New Roman" w:eastAsia="Times New Roman" w:hAnsi="Times New Roman"/>
          <w:sz w:val="21"/>
          <w:szCs w:val="21"/>
          <w:i w:val="1"/>
          <w:iCs w:val="1"/>
          <w:color w:val="auto"/>
        </w:rPr>
        <w:t>B. imbricata,</w:t>
      </w:r>
      <w:r>
        <w:rPr>
          <w:rFonts w:ascii="Times New Roman" w:cs="Times New Roman" w:eastAsia="Times New Roman" w:hAnsi="Times New Roman"/>
          <w:sz w:val="21"/>
          <w:szCs w:val="21"/>
          <w:color w:val="auto"/>
        </w:rPr>
        <w:t xml:space="preserve"> se realizó el afd por separado entre las tres poblaciones; sin embargo, no se encontraron diferencias significativas en ninguna de las funciones: FD1 (lambda de Wilks = 0.268019, </w:t>
      </w:r>
      <w:r>
        <w:rPr>
          <w:rFonts w:ascii="Times New Roman" w:cs="Times New Roman" w:eastAsia="Times New Roman" w:hAnsi="Times New Roman"/>
          <w:sz w:val="21"/>
          <w:szCs w:val="21"/>
          <w:i w:val="1"/>
          <w:iCs w:val="1"/>
          <w:color w:val="auto"/>
        </w:rPr>
        <w:t>gl</w:t>
      </w:r>
      <w:r>
        <w:rPr>
          <w:rFonts w:ascii="Times New Roman" w:cs="Times New Roman" w:eastAsia="Times New Roman" w:hAnsi="Times New Roman"/>
          <w:sz w:val="21"/>
          <w:szCs w:val="21"/>
          <w:color w:val="auto"/>
        </w:rPr>
        <w:t xml:space="preserve"> = 16,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 0.5143) y FD2 (lambda de Wilks = 0.611951, </w:t>
      </w:r>
      <w:r>
        <w:rPr>
          <w:rFonts w:ascii="Times New Roman" w:cs="Times New Roman" w:eastAsia="Times New Roman" w:hAnsi="Times New Roman"/>
          <w:sz w:val="21"/>
          <w:szCs w:val="21"/>
          <w:i w:val="1"/>
          <w:iCs w:val="1"/>
          <w:color w:val="auto"/>
        </w:rPr>
        <w:t>gl</w:t>
      </w:r>
      <w:r>
        <w:rPr>
          <w:rFonts w:ascii="Times New Roman" w:cs="Times New Roman" w:eastAsia="Times New Roman" w:hAnsi="Times New Roman"/>
          <w:sz w:val="21"/>
          <w:szCs w:val="21"/>
          <w:color w:val="auto"/>
        </w:rPr>
        <w:t xml:space="preserve"> = 7,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 0.5814). De igual manera, con respecto a la velocidad, el Ancova no mostró diferencias estadísticamente significativas (</w:t>
      </w: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1"/>
          <w:szCs w:val="21"/>
          <w:color w:val="auto"/>
        </w:rPr>
        <w:t xml:space="preserve"> = 0.67, </w:t>
      </w:r>
      <w:r>
        <w:rPr>
          <w:rFonts w:ascii="Times New Roman" w:cs="Times New Roman" w:eastAsia="Times New Roman" w:hAnsi="Times New Roman"/>
          <w:sz w:val="21"/>
          <w:szCs w:val="21"/>
          <w:i w:val="1"/>
          <w:iCs w:val="1"/>
          <w:color w:val="auto"/>
        </w:rPr>
        <w:t>gl</w:t>
      </w:r>
      <w:r>
        <w:rPr>
          <w:rFonts w:ascii="Times New Roman" w:cs="Times New Roman" w:eastAsia="Times New Roman" w:hAnsi="Times New Roman"/>
          <w:sz w:val="21"/>
          <w:szCs w:val="21"/>
          <w:color w:val="auto"/>
        </w:rPr>
        <w:t xml:space="preserve"> = 2,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 0.5262). Con base en estos resultados, se considera a </w:t>
      </w:r>
      <w:r>
        <w:rPr>
          <w:rFonts w:ascii="Times New Roman" w:cs="Times New Roman" w:eastAsia="Times New Roman" w:hAnsi="Times New Roman"/>
          <w:sz w:val="21"/>
          <w:szCs w:val="21"/>
          <w:i w:val="1"/>
          <w:iCs w:val="1"/>
          <w:color w:val="auto"/>
        </w:rPr>
        <w:t>B. imbricata</w:t>
      </w:r>
      <w:r>
        <w:rPr>
          <w:rFonts w:ascii="Times New Roman" w:cs="Times New Roman" w:eastAsia="Times New Roman" w:hAnsi="Times New Roman"/>
          <w:sz w:val="21"/>
          <w:szCs w:val="21"/>
          <w:color w:val="auto"/>
        </w:rPr>
        <w:t xml:space="preserve"> como una sola población, sin importar que se hayan analizado lagartijas de tres localidades.</w:t>
      </w: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 xml:space="preserve">En el caso de </w:t>
      </w:r>
      <w:r>
        <w:rPr>
          <w:rFonts w:ascii="Times New Roman" w:cs="Times New Roman" w:eastAsia="Times New Roman" w:hAnsi="Times New Roman"/>
          <w:sz w:val="21"/>
          <w:szCs w:val="21"/>
          <w:i w:val="1"/>
          <w:iCs w:val="1"/>
          <w:color w:val="auto"/>
        </w:rPr>
        <w:t>S. aeneus,</w:t>
      </w:r>
      <w:r>
        <w:rPr>
          <w:rFonts w:ascii="Times New Roman" w:cs="Times New Roman" w:eastAsia="Times New Roman" w:hAnsi="Times New Roman"/>
          <w:sz w:val="21"/>
          <w:szCs w:val="21"/>
          <w:color w:val="auto"/>
        </w:rPr>
        <w:t xml:space="preserve"> se tomaron en cuenta las dos poblaciones por separado, debido a que el Ancova reveló que ambas difieren significativamente tanto en velocidad (</w:t>
      </w: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1"/>
          <w:szCs w:val="21"/>
          <w:color w:val="auto"/>
        </w:rPr>
        <w:t xml:space="preserve"> = 10.28, </w:t>
      </w:r>
      <w:r>
        <w:rPr>
          <w:rFonts w:ascii="Times New Roman" w:cs="Times New Roman" w:eastAsia="Times New Roman" w:hAnsi="Times New Roman"/>
          <w:sz w:val="21"/>
          <w:szCs w:val="21"/>
          <w:i w:val="1"/>
          <w:iCs w:val="1"/>
          <w:color w:val="auto"/>
        </w:rPr>
        <w:t>gl</w:t>
      </w:r>
      <w:r>
        <w:rPr>
          <w:rFonts w:ascii="Times New Roman" w:cs="Times New Roman" w:eastAsia="Times New Roman" w:hAnsi="Times New Roman"/>
          <w:sz w:val="21"/>
          <w:szCs w:val="21"/>
          <w:color w:val="auto"/>
        </w:rPr>
        <w:t xml:space="preserve"> = 1,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 0.0084) como en lhc (</w:t>
      </w: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1"/>
          <w:szCs w:val="21"/>
          <w:color w:val="auto"/>
        </w:rPr>
        <w:t xml:space="preserve"> = 5.32, </w:t>
      </w:r>
      <w:r>
        <w:rPr>
          <w:rFonts w:ascii="Times New Roman" w:cs="Times New Roman" w:eastAsia="Times New Roman" w:hAnsi="Times New Roman"/>
          <w:sz w:val="21"/>
          <w:szCs w:val="21"/>
          <w:i w:val="1"/>
          <w:iCs w:val="1"/>
          <w:color w:val="auto"/>
        </w:rPr>
        <w:t>gl</w:t>
      </w:r>
      <w:r>
        <w:rPr>
          <w:rFonts w:ascii="Times New Roman" w:cs="Times New Roman" w:eastAsia="Times New Roman" w:hAnsi="Times New Roman"/>
          <w:sz w:val="21"/>
          <w:szCs w:val="21"/>
          <w:color w:val="auto"/>
        </w:rPr>
        <w:t xml:space="preserve"> = 1,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 0.0415).</w:t>
      </w:r>
    </w:p>
    <w:p>
      <w:pPr>
        <w:jc w:val="both"/>
        <w:ind w:firstLine="360"/>
        <w:spacing w:after="0" w:line="315" w:lineRule="auto"/>
        <w:rPr>
          <w:sz w:val="20"/>
          <w:szCs w:val="20"/>
          <w:color w:val="auto"/>
        </w:rPr>
      </w:pPr>
      <w:r>
        <w:rPr>
          <w:rFonts w:ascii="Times New Roman" w:cs="Times New Roman" w:eastAsia="Times New Roman" w:hAnsi="Times New Roman"/>
          <w:sz w:val="22"/>
          <w:szCs w:val="22"/>
          <w:color w:val="auto"/>
        </w:rPr>
        <w:t>El afd mostró el mismo patrón de diferenciación al realizar la comparación morfológica de las especies por sexos. Tales resultados indican que las especies no muestran diferencias entre machos y hembras respecto a la morfología de las</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324"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62" w:name="page63"/>
    <w:bookmarkEnd w:id="62"/>
    <w:p>
      <w:pPr>
        <w:spacing w:after="0"/>
        <w:tabs>
          <w:tab w:leader="none" w:pos="1960" w:val="left"/>
          <w:tab w:leader="none" w:pos="3100" w:val="left"/>
          <w:tab w:leader="none" w:pos="4260" w:val="left"/>
        </w:tabs>
        <w:rPr>
          <w:sz w:val="20"/>
          <w:szCs w:val="20"/>
          <w:color w:val="auto"/>
        </w:rPr>
      </w:pPr>
      <w:r>
        <w:rPr>
          <w:rFonts w:ascii="Arial Narrow" w:cs="Arial Narrow" w:eastAsia="Arial Narrow" w:hAnsi="Arial Narrow"/>
          <w:sz w:val="16"/>
          <w:szCs w:val="16"/>
          <w:color w:val="auto"/>
        </w:rPr>
        <w:t>62</w:t>
      </w:r>
      <w:r>
        <w:rPr>
          <w:sz w:val="20"/>
          <w:szCs w:val="20"/>
          <w:color w:val="auto"/>
        </w:rPr>
        <w:tab/>
      </w: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1945640</wp:posOffset>
                </wp:positionH>
                <wp:positionV relativeFrom="paragraph">
                  <wp:posOffset>-76835</wp:posOffset>
                </wp:positionV>
                <wp:extent cx="0" cy="88900"/>
                <wp:wrapNone/>
                <wp:docPr id="129" name="Shape 12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29" o:spid="_x0000_s115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3.2pt,-6.0499pt" to="153.2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2689225</wp:posOffset>
                </wp:positionH>
                <wp:positionV relativeFrom="paragraph">
                  <wp:posOffset>-76835</wp:posOffset>
                </wp:positionV>
                <wp:extent cx="0" cy="88900"/>
                <wp:wrapNone/>
                <wp:docPr id="130" name="Shape 13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30" o:spid="_x0000_s115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1.75pt,-6.0499pt" to="211.75pt,0.95pt" o:allowincell="f" strokecolor="#000000" strokeweight="0.4pt"/>
            </w:pict>
          </mc:Fallback>
        </mc:AlternateContent>
      </w:r>
    </w:p>
    <w:p>
      <w:pPr>
        <w:spacing w:after="0" w:line="347" w:lineRule="exact"/>
        <w:rPr>
          <w:sz w:val="20"/>
          <w:szCs w:val="20"/>
          <w:color w:val="auto"/>
        </w:rPr>
      </w:pPr>
    </w:p>
    <w:p>
      <w:pPr>
        <w:jc w:val="both"/>
        <w:spacing w:after="0" w:line="323" w:lineRule="auto"/>
        <w:rPr>
          <w:sz w:val="20"/>
          <w:szCs w:val="20"/>
          <w:color w:val="auto"/>
        </w:rPr>
      </w:pPr>
      <w:r>
        <w:rPr>
          <w:rFonts w:ascii="Times New Roman" w:cs="Times New Roman" w:eastAsia="Times New Roman" w:hAnsi="Times New Roman"/>
          <w:sz w:val="21"/>
          <w:szCs w:val="21"/>
          <w:color w:val="auto"/>
        </w:rPr>
        <w:t xml:space="preserve">extremidades entre cada especie. La FD1 (lambda de Wilks = 0.0400568, </w:t>
      </w:r>
      <w:r>
        <w:rPr>
          <w:rFonts w:ascii="Times New Roman" w:cs="Times New Roman" w:eastAsia="Times New Roman" w:hAnsi="Times New Roman"/>
          <w:sz w:val="21"/>
          <w:szCs w:val="21"/>
          <w:i w:val="1"/>
          <w:iCs w:val="1"/>
          <w:color w:val="auto"/>
        </w:rPr>
        <w:t>gl</w:t>
      </w:r>
      <w:r>
        <w:rPr>
          <w:rFonts w:ascii="Times New Roman" w:cs="Times New Roman" w:eastAsia="Times New Roman" w:hAnsi="Times New Roman"/>
          <w:sz w:val="21"/>
          <w:szCs w:val="21"/>
          <w:color w:val="auto"/>
        </w:rPr>
        <w:t xml:space="preserve"> = 104, </w:t>
      </w:r>
      <w:r>
        <w:rPr>
          <w:rFonts w:ascii="Times New Roman" w:cs="Times New Roman" w:eastAsia="Times New Roman" w:hAnsi="Times New Roman"/>
          <w:sz w:val="21"/>
          <w:szCs w:val="21"/>
          <w:i w:val="1"/>
          <w:iCs w:val="1"/>
          <w:color w:val="auto"/>
        </w:rPr>
        <w:t xml:space="preserve">p </w:t>
      </w:r>
      <w:r>
        <w:rPr>
          <w:rFonts w:ascii="Times New Roman" w:cs="Times New Roman" w:eastAsia="Times New Roman" w:hAnsi="Times New Roman"/>
          <w:sz w:val="21"/>
          <w:szCs w:val="21"/>
          <w:color w:val="auto"/>
        </w:rPr>
        <w:t>= 0.000) separa, por una parte, al grupo conformado por</w:t>
      </w:r>
      <w:r>
        <w:rPr>
          <w:rFonts w:ascii="Times New Roman" w:cs="Times New Roman" w:eastAsia="Times New Roman" w:hAnsi="Times New Roman"/>
          <w:sz w:val="21"/>
          <w:szCs w:val="21"/>
          <w:i w:val="1"/>
          <w:iCs w:val="1"/>
          <w:color w:val="auto"/>
        </w:rPr>
        <w:t xml:space="preserve"> P. orbiculare, S. grammicus, A. costata </w:t>
      </w:r>
      <w:r>
        <w:rPr>
          <w:rFonts w:ascii="Times New Roman" w:cs="Times New Roman" w:eastAsia="Times New Roman" w:hAnsi="Times New Roman"/>
          <w:sz w:val="21"/>
          <w:szCs w:val="21"/>
          <w:color w:val="auto"/>
        </w:rPr>
        <w:t>y</w:t>
      </w:r>
      <w:r>
        <w:rPr>
          <w:rFonts w:ascii="Times New Roman" w:cs="Times New Roman" w:eastAsia="Times New Roman" w:hAnsi="Times New Roman"/>
          <w:sz w:val="21"/>
          <w:szCs w:val="21"/>
          <w:i w:val="1"/>
          <w:iCs w:val="1"/>
          <w:color w:val="auto"/>
        </w:rPr>
        <w:t xml:space="preserve"> B. imbricata, </w:t>
      </w:r>
      <w:r>
        <w:rPr>
          <w:rFonts w:ascii="Times New Roman" w:cs="Times New Roman" w:eastAsia="Times New Roman" w:hAnsi="Times New Roman"/>
          <w:sz w:val="21"/>
          <w:szCs w:val="21"/>
          <w:color w:val="auto"/>
        </w:rPr>
        <w:t>causando discriminación en la variable lf con el valor más</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 xml:space="preserve">positivo, y, por otra parte, al grupo formado por </w:t>
      </w:r>
      <w:r>
        <w:rPr>
          <w:rFonts w:ascii="Times New Roman" w:cs="Times New Roman" w:eastAsia="Times New Roman" w:hAnsi="Times New Roman"/>
          <w:sz w:val="21"/>
          <w:szCs w:val="21"/>
          <w:i w:val="1"/>
          <w:iCs w:val="1"/>
          <w:color w:val="auto"/>
        </w:rPr>
        <w:t>S. bicanthalis, S. aeneus, y S. scalaris</w:t>
      </w:r>
      <w:r>
        <w:rPr>
          <w:rFonts w:ascii="Times New Roman" w:cs="Times New Roman" w:eastAsia="Times New Roman" w:hAnsi="Times New Roman"/>
          <w:sz w:val="21"/>
          <w:szCs w:val="21"/>
          <w:color w:val="auto"/>
        </w:rPr>
        <w:t xml:space="preserve"> con la variable lt con los valores más negativos. La FD2 (lambda de Wilks = 0.164183, </w:t>
      </w:r>
      <w:r>
        <w:rPr>
          <w:rFonts w:ascii="Times New Roman" w:cs="Times New Roman" w:eastAsia="Times New Roman" w:hAnsi="Times New Roman"/>
          <w:sz w:val="21"/>
          <w:szCs w:val="21"/>
          <w:i w:val="1"/>
          <w:iCs w:val="1"/>
          <w:color w:val="auto"/>
        </w:rPr>
        <w:t xml:space="preserve">gl </w:t>
      </w:r>
      <w:r>
        <w:rPr>
          <w:rFonts w:ascii="Times New Roman" w:cs="Times New Roman" w:eastAsia="Times New Roman" w:hAnsi="Times New Roman"/>
          <w:sz w:val="21"/>
          <w:szCs w:val="21"/>
          <w:color w:val="auto"/>
        </w:rPr>
        <w:t>= 84,</w:t>
      </w:r>
      <w:r>
        <w:rPr>
          <w:rFonts w:ascii="Times New Roman" w:cs="Times New Roman" w:eastAsia="Times New Roman" w:hAnsi="Times New Roman"/>
          <w:sz w:val="21"/>
          <w:szCs w:val="21"/>
          <w:i w:val="1"/>
          <w:iCs w:val="1"/>
          <w:color w:val="auto"/>
        </w:rPr>
        <w:t xml:space="preserve"> p </w:t>
      </w:r>
      <w:r>
        <w:rPr>
          <w:rFonts w:ascii="Times New Roman" w:cs="Times New Roman" w:eastAsia="Times New Roman" w:hAnsi="Times New Roman"/>
          <w:sz w:val="21"/>
          <w:szCs w:val="21"/>
          <w:color w:val="auto"/>
        </w:rPr>
        <w:t>= 0.0001) separó a la especie</w:t>
      </w:r>
      <w:r>
        <w:rPr>
          <w:rFonts w:ascii="Times New Roman" w:cs="Times New Roman" w:eastAsia="Times New Roman" w:hAnsi="Times New Roman"/>
          <w:sz w:val="21"/>
          <w:szCs w:val="21"/>
          <w:i w:val="1"/>
          <w:iCs w:val="1"/>
          <w:color w:val="auto"/>
        </w:rPr>
        <w:t xml:space="preserve"> A. costata </w:t>
      </w:r>
      <w:r>
        <w:rPr>
          <w:rFonts w:ascii="Times New Roman" w:cs="Times New Roman" w:eastAsia="Times New Roman" w:hAnsi="Times New Roman"/>
          <w:sz w:val="21"/>
          <w:szCs w:val="21"/>
          <w:color w:val="auto"/>
        </w:rPr>
        <w:t>con los valores más positivos en la</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 xml:space="preserve">variable lt y a </w:t>
      </w:r>
      <w:r>
        <w:rPr>
          <w:rFonts w:ascii="Times New Roman" w:cs="Times New Roman" w:eastAsia="Times New Roman" w:hAnsi="Times New Roman"/>
          <w:sz w:val="21"/>
          <w:szCs w:val="21"/>
          <w:i w:val="1"/>
          <w:iCs w:val="1"/>
          <w:color w:val="auto"/>
        </w:rPr>
        <w:t>B. imbricata, S. grammicus, S. bicanthalis, S. aeneus, S. scalaris</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orbiculare </w:t>
      </w:r>
      <w:r>
        <w:rPr>
          <w:rFonts w:ascii="Times New Roman" w:cs="Times New Roman" w:eastAsia="Times New Roman" w:hAnsi="Times New Roman"/>
          <w:sz w:val="21"/>
          <w:szCs w:val="21"/>
          <w:color w:val="auto"/>
        </w:rPr>
        <w:t>con los valores más negativos en lpm (figura 4).</w:t>
      </w:r>
    </w:p>
    <w:p>
      <w:pPr>
        <w:spacing w:after="0" w:line="284" w:lineRule="exact"/>
        <w:rPr>
          <w:sz w:val="20"/>
          <w:szCs w:val="20"/>
          <w:color w:val="auto"/>
        </w:rPr>
      </w:pPr>
    </w:p>
    <w:p>
      <w:pPr>
        <w:ind w:left="3320"/>
        <w:spacing w:after="0"/>
        <w:rPr>
          <w:sz w:val="20"/>
          <w:szCs w:val="20"/>
          <w:color w:val="auto"/>
        </w:rPr>
      </w:pPr>
      <w:r>
        <w:rPr>
          <w:rFonts w:ascii="Times New Roman" w:cs="Times New Roman" w:eastAsia="Times New Roman" w:hAnsi="Times New Roman"/>
          <w:sz w:val="18"/>
          <w:szCs w:val="18"/>
          <w:i w:val="1"/>
          <w:iCs w:val="1"/>
          <w:color w:val="auto"/>
        </w:rPr>
        <w:t>Figura 4</w:t>
      </w:r>
    </w:p>
    <w:p>
      <w:pPr>
        <w:spacing w:after="0" w:line="223"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-2540</wp:posOffset>
            </wp:positionH>
            <wp:positionV relativeFrom="paragraph">
              <wp:posOffset>81280</wp:posOffset>
            </wp:positionV>
            <wp:extent cx="4575175" cy="2680335"/>
            <wp:wrapNone/>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38">
                      <a:extLst>
                        <a:ext uri="{28A0092B-C50C-407E-A947-70E740481C1C}"/>
                      </a:extLst>
                    </a:blip>
                    <a:srcRect/>
                    <a:stretch>
                      <a:fillRect/>
                    </a:stretch>
                  </pic:blipFill>
                  <pic:spPr bwMode="auto">
                    <a:xfrm>
                      <a:off x="0" y="0"/>
                      <a:ext cx="4575175" cy="2680335"/>
                    </a:xfrm>
                    <a:prstGeom prst="rect">
                      <a:avLst/>
                    </a:prstGeom>
                    <a:noFill/>
                  </pic:spPr>
                </pic:pic>
              </a:graphicData>
            </a:graphic>
          </wp:anchor>
        </w:drawing>
      </w:r>
    </w:p>
    <w:tbl>
      <w:tblPr>
        <w:tblLayout w:type="fixed"/>
        <w:tblInd w:w="80" w:type="dxa"/>
        <w:tblCellMar>
          <w:top w:w="0" w:type="dxa"/>
          <w:left w:w="0" w:type="dxa"/>
          <w:bottom w:w="0" w:type="dxa"/>
          <w:right w:w="0" w:type="dxa"/>
        </w:tblCellMar>
      </w:tblPr>
      <w:tr>
        <w:trPr>
          <w:trHeight w:val="161"/>
        </w:trPr>
        <w:tc>
          <w:tcPr>
            <w:tcW w:w="140" w:type="dxa"/>
            <w:vAlign w:val="bottom"/>
            <w:vMerge w:val="restart"/>
            <w:textDirection w:val="btLr"/>
          </w:tcPr>
          <w:p>
            <w:pPr>
              <w:ind w:left="25"/>
              <w:spacing w:after="0"/>
              <w:rPr>
                <w:sz w:val="20"/>
                <w:szCs w:val="20"/>
                <w:color w:val="auto"/>
              </w:rPr>
            </w:pPr>
            <w:r>
              <w:rPr>
                <w:rFonts w:ascii="Times New Roman" w:cs="Times New Roman" w:eastAsia="Times New Roman" w:hAnsi="Times New Roman"/>
                <w:sz w:val="10"/>
                <w:szCs w:val="10"/>
                <w:color w:val="auto"/>
                <w:w w:val="70"/>
              </w:rPr>
              <w:t>Largopalma</w:t>
            </w:r>
          </w:p>
        </w:tc>
        <w:tc>
          <w:tcPr>
            <w:tcW w:w="1020" w:type="dxa"/>
            <w:vAlign w:val="bottom"/>
          </w:tcPr>
          <w:p>
            <w:pPr>
              <w:jc w:val="right"/>
              <w:ind w:right="393"/>
              <w:spacing w:after="0"/>
              <w:rPr>
                <w:sz w:val="20"/>
                <w:szCs w:val="20"/>
                <w:color w:val="auto"/>
              </w:rPr>
            </w:pPr>
            <w:r>
              <w:rPr>
                <w:rFonts w:ascii="Times New Roman" w:cs="Times New Roman" w:eastAsia="Times New Roman" w:hAnsi="Times New Roman"/>
                <w:sz w:val="14"/>
                <w:szCs w:val="14"/>
                <w:color w:val="auto"/>
              </w:rPr>
              <w:t>6.1</w:t>
            </w:r>
          </w:p>
        </w:tc>
        <w:tc>
          <w:tcPr>
            <w:tcW w:w="1400" w:type="dxa"/>
            <w:vAlign w:val="bottom"/>
          </w:tcPr>
          <w:p>
            <w:pPr>
              <w:spacing w:after="0"/>
              <w:rPr>
                <w:sz w:val="13"/>
                <w:szCs w:val="13"/>
                <w:color w:val="auto"/>
              </w:rPr>
            </w:pPr>
          </w:p>
        </w:tc>
        <w:tc>
          <w:tcPr>
            <w:tcW w:w="1200" w:type="dxa"/>
            <w:vAlign w:val="bottom"/>
          </w:tcPr>
          <w:p>
            <w:pPr>
              <w:spacing w:after="0"/>
              <w:rPr>
                <w:sz w:val="13"/>
                <w:szCs w:val="13"/>
                <w:color w:val="auto"/>
              </w:rPr>
            </w:pPr>
          </w:p>
        </w:tc>
        <w:tc>
          <w:tcPr>
            <w:tcW w:w="1420" w:type="dxa"/>
            <w:vAlign w:val="bottom"/>
          </w:tcPr>
          <w:p>
            <w:pPr>
              <w:spacing w:after="0"/>
              <w:rPr>
                <w:sz w:val="13"/>
                <w:szCs w:val="13"/>
                <w:color w:val="auto"/>
              </w:rPr>
            </w:pPr>
          </w:p>
        </w:tc>
        <w:tc>
          <w:tcPr>
            <w:tcW w:w="1560" w:type="dxa"/>
            <w:vAlign w:val="bottom"/>
            <w:gridSpan w:val="2"/>
          </w:tcPr>
          <w:p>
            <w:pPr>
              <w:ind w:left="680"/>
              <w:spacing w:after="0"/>
              <w:rPr>
                <w:sz w:val="20"/>
                <w:szCs w:val="20"/>
                <w:color w:val="auto"/>
              </w:rPr>
            </w:pPr>
            <w:r>
              <w:rPr>
                <w:rFonts w:ascii="Times New Roman" w:cs="Times New Roman" w:eastAsia="Times New Roman" w:hAnsi="Times New Roman"/>
                <w:sz w:val="14"/>
                <w:szCs w:val="14"/>
                <w:b w:val="1"/>
                <w:bCs w:val="1"/>
                <w:color w:val="auto"/>
              </w:rPr>
              <w:t>Sexo/especies</w:t>
            </w:r>
          </w:p>
        </w:tc>
        <w:tc>
          <w:tcPr>
            <w:tcW w:w="0" w:type="dxa"/>
            <w:vAlign w:val="bottom"/>
          </w:tcPr>
          <w:p>
            <w:pPr>
              <w:spacing w:after="0"/>
              <w:rPr>
                <w:sz w:val="1"/>
                <w:szCs w:val="1"/>
                <w:color w:val="auto"/>
              </w:rPr>
            </w:pPr>
          </w:p>
        </w:tc>
      </w:tr>
      <w:tr>
        <w:trPr>
          <w:trHeight w:val="240"/>
        </w:trPr>
        <w:tc>
          <w:tcPr>
            <w:tcW w:w="140" w:type="dxa"/>
            <w:vAlign w:val="bottom"/>
            <w:vMerge w:val="continue"/>
          </w:tcPr>
          <w:p>
            <w:pPr>
              <w:spacing w:after="0"/>
              <w:rPr>
                <w:sz w:val="20"/>
                <w:szCs w:val="20"/>
                <w:color w:val="auto"/>
              </w:rPr>
            </w:pPr>
          </w:p>
        </w:tc>
        <w:tc>
          <w:tcPr>
            <w:tcW w:w="1020" w:type="dxa"/>
            <w:vAlign w:val="bottom"/>
            <w:textDirection w:val="btLr"/>
          </w:tcPr>
          <w:p>
            <w:pPr>
              <w:ind w:right="604"/>
              <w:spacing w:after="0"/>
              <w:rPr>
                <w:sz w:val="20"/>
                <w:szCs w:val="20"/>
                <w:color w:val="auto"/>
              </w:rPr>
            </w:pPr>
            <w:r>
              <w:rPr>
                <w:rFonts w:ascii="Times New Roman" w:cs="Times New Roman" w:eastAsia="Times New Roman" w:hAnsi="Times New Roman"/>
                <w:sz w:val="4"/>
                <w:szCs w:val="4"/>
                <w:color w:val="auto"/>
                <w:w w:val="78"/>
              </w:rPr>
              <w:t>extremidadanterior</w:t>
            </w:r>
          </w:p>
        </w:tc>
        <w:tc>
          <w:tcPr>
            <w:tcW w:w="1400" w:type="dxa"/>
            <w:vAlign w:val="bottom"/>
          </w:tcPr>
          <w:p>
            <w:pPr>
              <w:spacing w:after="0"/>
              <w:rPr>
                <w:sz w:val="20"/>
                <w:szCs w:val="20"/>
                <w:color w:val="auto"/>
              </w:rPr>
            </w:pPr>
          </w:p>
        </w:tc>
        <w:tc>
          <w:tcPr>
            <w:tcW w:w="1200" w:type="dxa"/>
            <w:vAlign w:val="bottom"/>
          </w:tcPr>
          <w:p>
            <w:pPr>
              <w:spacing w:after="0"/>
              <w:rPr>
                <w:sz w:val="20"/>
                <w:szCs w:val="20"/>
                <w:color w:val="auto"/>
              </w:rPr>
            </w:pPr>
          </w:p>
        </w:tc>
        <w:tc>
          <w:tcPr>
            <w:tcW w:w="1420" w:type="dxa"/>
            <w:vAlign w:val="bottom"/>
          </w:tcPr>
          <w:p>
            <w:pPr>
              <w:spacing w:after="0"/>
              <w:rPr>
                <w:sz w:val="20"/>
                <w:szCs w:val="20"/>
                <w:color w:val="auto"/>
              </w:rPr>
            </w:pPr>
          </w:p>
        </w:tc>
        <w:tc>
          <w:tcPr>
            <w:tcW w:w="780" w:type="dxa"/>
            <w:vAlign w:val="bottom"/>
            <w:vMerge w:val="restart"/>
          </w:tcPr>
          <w:p>
            <w:pPr>
              <w:ind w:left="680"/>
              <w:spacing w:after="0"/>
              <w:rPr>
                <w:sz w:val="20"/>
                <w:szCs w:val="20"/>
                <w:color w:val="auto"/>
              </w:rPr>
            </w:pPr>
            <w:r>
              <w:rPr>
                <w:rFonts w:ascii="Times New Roman" w:cs="Times New Roman" w:eastAsia="Times New Roman" w:hAnsi="Times New Roman"/>
                <w:sz w:val="14"/>
                <w:szCs w:val="14"/>
                <w:i w:val="1"/>
                <w:iCs w:val="1"/>
                <w:color w:val="auto"/>
              </w:rPr>
              <w:t>1</w:t>
            </w:r>
          </w:p>
        </w:tc>
        <w:tc>
          <w:tcPr>
            <w:tcW w:w="780" w:type="dxa"/>
            <w:vAlign w:val="bottom"/>
            <w:vMerge w:val="restart"/>
          </w:tcPr>
          <w:p>
            <w:pPr>
              <w:spacing w:after="0"/>
              <w:rPr>
                <w:sz w:val="20"/>
                <w:szCs w:val="20"/>
                <w:color w:val="auto"/>
              </w:rPr>
            </w:pPr>
            <w:r>
              <w:rPr>
                <w:rFonts w:ascii="Times New Roman" w:cs="Times New Roman" w:eastAsia="Times New Roman" w:hAnsi="Times New Roman"/>
                <w:sz w:val="14"/>
                <w:szCs w:val="14"/>
                <w:i w:val="1"/>
                <w:iCs w:val="1"/>
                <w:color w:val="auto"/>
                <w:w w:val="99"/>
              </w:rPr>
              <w:t>S. grammicus</w:t>
            </w:r>
          </w:p>
        </w:tc>
        <w:tc>
          <w:tcPr>
            <w:tcW w:w="0" w:type="dxa"/>
            <w:vAlign w:val="bottom"/>
          </w:tcPr>
          <w:p>
            <w:pPr>
              <w:spacing w:after="0"/>
              <w:rPr>
                <w:sz w:val="1"/>
                <w:szCs w:val="1"/>
                <w:color w:val="auto"/>
              </w:rPr>
            </w:pPr>
          </w:p>
        </w:tc>
      </w:tr>
      <w:tr>
        <w:trPr>
          <w:trHeight w:val="46"/>
        </w:trPr>
        <w:tc>
          <w:tcPr>
            <w:tcW w:w="140" w:type="dxa"/>
            <w:vAlign w:val="bottom"/>
          </w:tcPr>
          <w:p>
            <w:pPr>
              <w:spacing w:after="0"/>
              <w:rPr>
                <w:sz w:val="4"/>
                <w:szCs w:val="4"/>
                <w:color w:val="auto"/>
              </w:rPr>
            </w:pPr>
          </w:p>
        </w:tc>
        <w:tc>
          <w:tcPr>
            <w:tcW w:w="1020" w:type="dxa"/>
            <w:vAlign w:val="bottom"/>
          </w:tcPr>
          <w:p>
            <w:pPr>
              <w:spacing w:after="0"/>
              <w:rPr>
                <w:sz w:val="4"/>
                <w:szCs w:val="4"/>
                <w:color w:val="auto"/>
              </w:rPr>
            </w:pPr>
          </w:p>
        </w:tc>
        <w:tc>
          <w:tcPr>
            <w:tcW w:w="1400" w:type="dxa"/>
            <w:vAlign w:val="bottom"/>
          </w:tcPr>
          <w:p>
            <w:pPr>
              <w:spacing w:after="0"/>
              <w:rPr>
                <w:sz w:val="4"/>
                <w:szCs w:val="4"/>
                <w:color w:val="auto"/>
              </w:rPr>
            </w:pPr>
          </w:p>
        </w:tc>
        <w:tc>
          <w:tcPr>
            <w:tcW w:w="1200" w:type="dxa"/>
            <w:vAlign w:val="bottom"/>
          </w:tcPr>
          <w:p>
            <w:pPr>
              <w:spacing w:after="0"/>
              <w:rPr>
                <w:sz w:val="4"/>
                <w:szCs w:val="4"/>
                <w:color w:val="auto"/>
              </w:rPr>
            </w:pPr>
          </w:p>
        </w:tc>
        <w:tc>
          <w:tcPr>
            <w:tcW w:w="1420" w:type="dxa"/>
            <w:vAlign w:val="bottom"/>
          </w:tcPr>
          <w:p>
            <w:pPr>
              <w:spacing w:after="0"/>
              <w:rPr>
                <w:sz w:val="4"/>
                <w:szCs w:val="4"/>
                <w:color w:val="auto"/>
              </w:rPr>
            </w:pPr>
          </w:p>
        </w:tc>
        <w:tc>
          <w:tcPr>
            <w:tcW w:w="780" w:type="dxa"/>
            <w:vAlign w:val="bottom"/>
            <w:vMerge w:val="continue"/>
          </w:tcPr>
          <w:p>
            <w:pPr>
              <w:spacing w:after="0"/>
              <w:rPr>
                <w:sz w:val="4"/>
                <w:szCs w:val="4"/>
                <w:color w:val="auto"/>
              </w:rPr>
            </w:pPr>
          </w:p>
        </w:tc>
        <w:tc>
          <w:tcPr>
            <w:tcW w:w="7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240"/>
        </w:trPr>
        <w:tc>
          <w:tcPr>
            <w:tcW w:w="140" w:type="dxa"/>
            <w:vAlign w:val="bottom"/>
          </w:tcPr>
          <w:p>
            <w:pPr>
              <w:spacing w:after="0"/>
              <w:rPr>
                <w:sz w:val="20"/>
                <w:szCs w:val="20"/>
                <w:color w:val="auto"/>
              </w:rPr>
            </w:pPr>
          </w:p>
        </w:tc>
        <w:tc>
          <w:tcPr>
            <w:tcW w:w="1020" w:type="dxa"/>
            <w:vAlign w:val="bottom"/>
          </w:tcPr>
          <w:p>
            <w:pPr>
              <w:spacing w:after="0"/>
              <w:rPr>
                <w:sz w:val="20"/>
                <w:szCs w:val="20"/>
                <w:color w:val="auto"/>
              </w:rPr>
            </w:pPr>
          </w:p>
        </w:tc>
        <w:tc>
          <w:tcPr>
            <w:tcW w:w="1400" w:type="dxa"/>
            <w:vAlign w:val="bottom"/>
          </w:tcPr>
          <w:p>
            <w:pPr>
              <w:spacing w:after="0"/>
              <w:rPr>
                <w:sz w:val="20"/>
                <w:szCs w:val="20"/>
                <w:color w:val="auto"/>
              </w:rPr>
            </w:pPr>
          </w:p>
        </w:tc>
        <w:tc>
          <w:tcPr>
            <w:tcW w:w="1200" w:type="dxa"/>
            <w:vAlign w:val="bottom"/>
          </w:tcPr>
          <w:p>
            <w:pPr>
              <w:spacing w:after="0"/>
              <w:rPr>
                <w:sz w:val="20"/>
                <w:szCs w:val="20"/>
                <w:color w:val="auto"/>
              </w:rPr>
            </w:pPr>
          </w:p>
        </w:tc>
        <w:tc>
          <w:tcPr>
            <w:tcW w:w="1420" w:type="dxa"/>
            <w:vAlign w:val="bottom"/>
          </w:tcPr>
          <w:p>
            <w:pPr>
              <w:spacing w:after="0"/>
              <w:rPr>
                <w:sz w:val="20"/>
                <w:szCs w:val="20"/>
                <w:color w:val="auto"/>
              </w:rPr>
            </w:pPr>
          </w:p>
        </w:tc>
        <w:tc>
          <w:tcPr>
            <w:tcW w:w="780" w:type="dxa"/>
            <w:vAlign w:val="bottom"/>
          </w:tcPr>
          <w:p>
            <w:pPr>
              <w:ind w:left="680"/>
              <w:spacing w:after="0"/>
              <w:rPr>
                <w:sz w:val="20"/>
                <w:szCs w:val="20"/>
                <w:color w:val="auto"/>
              </w:rPr>
            </w:pPr>
            <w:r>
              <w:rPr>
                <w:rFonts w:ascii="Times New Roman" w:cs="Times New Roman" w:eastAsia="Times New Roman" w:hAnsi="Times New Roman"/>
                <w:sz w:val="14"/>
                <w:szCs w:val="14"/>
                <w:i w:val="1"/>
                <w:iCs w:val="1"/>
                <w:color w:val="auto"/>
              </w:rPr>
              <w:t>2</w:t>
            </w:r>
          </w:p>
        </w:tc>
        <w:tc>
          <w:tcPr>
            <w:tcW w:w="780" w:type="dxa"/>
            <w:vAlign w:val="bottom"/>
          </w:tcPr>
          <w:p>
            <w:pPr>
              <w:spacing w:after="0"/>
              <w:rPr>
                <w:sz w:val="20"/>
                <w:szCs w:val="20"/>
                <w:color w:val="auto"/>
              </w:rPr>
            </w:pPr>
            <w:r>
              <w:rPr>
                <w:rFonts w:ascii="Times New Roman" w:cs="Times New Roman" w:eastAsia="Times New Roman" w:hAnsi="Times New Roman"/>
                <w:sz w:val="14"/>
                <w:szCs w:val="14"/>
                <w:i w:val="1"/>
                <w:iCs w:val="1"/>
                <w:color w:val="auto"/>
                <w:w w:val="99"/>
              </w:rPr>
              <w:t>S. grammicus</w:t>
            </w:r>
          </w:p>
        </w:tc>
        <w:tc>
          <w:tcPr>
            <w:tcW w:w="0" w:type="dxa"/>
            <w:vAlign w:val="bottom"/>
          </w:tcPr>
          <w:p>
            <w:pPr>
              <w:spacing w:after="0"/>
              <w:rPr>
                <w:sz w:val="1"/>
                <w:szCs w:val="1"/>
                <w:color w:val="auto"/>
              </w:rPr>
            </w:pPr>
          </w:p>
        </w:tc>
      </w:tr>
      <w:tr>
        <w:trPr>
          <w:trHeight w:val="194"/>
        </w:trPr>
        <w:tc>
          <w:tcPr>
            <w:tcW w:w="140" w:type="dxa"/>
            <w:vAlign w:val="bottom"/>
          </w:tcPr>
          <w:p>
            <w:pPr>
              <w:spacing w:after="0"/>
              <w:rPr>
                <w:sz w:val="16"/>
                <w:szCs w:val="16"/>
                <w:color w:val="auto"/>
              </w:rPr>
            </w:pPr>
          </w:p>
        </w:tc>
        <w:tc>
          <w:tcPr>
            <w:tcW w:w="1020" w:type="dxa"/>
            <w:vAlign w:val="bottom"/>
          </w:tcPr>
          <w:p>
            <w:pPr>
              <w:jc w:val="right"/>
              <w:ind w:right="393"/>
              <w:spacing w:after="0"/>
              <w:rPr>
                <w:sz w:val="20"/>
                <w:szCs w:val="20"/>
                <w:color w:val="auto"/>
              </w:rPr>
            </w:pPr>
            <w:r>
              <w:rPr>
                <w:rFonts w:ascii="Times New Roman" w:cs="Times New Roman" w:eastAsia="Times New Roman" w:hAnsi="Times New Roman"/>
                <w:sz w:val="14"/>
                <w:szCs w:val="14"/>
                <w:color w:val="auto"/>
              </w:rPr>
              <w:t>4.1</w:t>
            </w:r>
          </w:p>
        </w:tc>
        <w:tc>
          <w:tcPr>
            <w:tcW w:w="1400" w:type="dxa"/>
            <w:vAlign w:val="bottom"/>
          </w:tcPr>
          <w:p>
            <w:pPr>
              <w:spacing w:after="0"/>
              <w:rPr>
                <w:sz w:val="16"/>
                <w:szCs w:val="16"/>
                <w:color w:val="auto"/>
              </w:rPr>
            </w:pPr>
          </w:p>
        </w:tc>
        <w:tc>
          <w:tcPr>
            <w:tcW w:w="1200" w:type="dxa"/>
            <w:vAlign w:val="bottom"/>
          </w:tcPr>
          <w:p>
            <w:pPr>
              <w:spacing w:after="0"/>
              <w:rPr>
                <w:sz w:val="16"/>
                <w:szCs w:val="16"/>
                <w:color w:val="auto"/>
              </w:rPr>
            </w:pPr>
          </w:p>
        </w:tc>
        <w:tc>
          <w:tcPr>
            <w:tcW w:w="1420" w:type="dxa"/>
            <w:vAlign w:val="bottom"/>
          </w:tcPr>
          <w:p>
            <w:pPr>
              <w:spacing w:after="0"/>
              <w:rPr>
                <w:sz w:val="16"/>
                <w:szCs w:val="16"/>
                <w:color w:val="auto"/>
              </w:rPr>
            </w:pPr>
          </w:p>
        </w:tc>
        <w:tc>
          <w:tcPr>
            <w:tcW w:w="780" w:type="dxa"/>
            <w:vAlign w:val="bottom"/>
            <w:vMerge w:val="restart"/>
          </w:tcPr>
          <w:p>
            <w:pPr>
              <w:ind w:left="680"/>
              <w:spacing w:after="0"/>
              <w:rPr>
                <w:sz w:val="20"/>
                <w:szCs w:val="20"/>
                <w:color w:val="auto"/>
              </w:rPr>
            </w:pPr>
            <w:r>
              <w:rPr>
                <w:rFonts w:ascii="Times New Roman" w:cs="Times New Roman" w:eastAsia="Times New Roman" w:hAnsi="Times New Roman"/>
                <w:sz w:val="14"/>
                <w:szCs w:val="14"/>
                <w:i w:val="1"/>
                <w:iCs w:val="1"/>
                <w:color w:val="auto"/>
              </w:rPr>
              <w:t>3</w:t>
            </w:r>
          </w:p>
        </w:tc>
        <w:tc>
          <w:tcPr>
            <w:tcW w:w="780" w:type="dxa"/>
            <w:vAlign w:val="bottom"/>
            <w:vMerge w:val="restart"/>
          </w:tcPr>
          <w:p>
            <w:pPr>
              <w:spacing w:after="0"/>
              <w:rPr>
                <w:sz w:val="20"/>
                <w:szCs w:val="20"/>
                <w:color w:val="auto"/>
              </w:rPr>
            </w:pPr>
            <w:r>
              <w:rPr>
                <w:rFonts w:ascii="Times New Roman" w:cs="Times New Roman" w:eastAsia="Times New Roman" w:hAnsi="Times New Roman"/>
                <w:sz w:val="14"/>
                <w:szCs w:val="14"/>
                <w:i w:val="1"/>
                <w:iCs w:val="1"/>
                <w:color w:val="auto"/>
              </w:rPr>
              <w:t>A. costata</w:t>
            </w:r>
          </w:p>
        </w:tc>
        <w:tc>
          <w:tcPr>
            <w:tcW w:w="0" w:type="dxa"/>
            <w:vAlign w:val="bottom"/>
          </w:tcPr>
          <w:p>
            <w:pPr>
              <w:spacing w:after="0"/>
              <w:rPr>
                <w:sz w:val="1"/>
                <w:szCs w:val="1"/>
                <w:color w:val="auto"/>
              </w:rPr>
            </w:pPr>
          </w:p>
        </w:tc>
      </w:tr>
      <w:tr>
        <w:trPr>
          <w:trHeight w:val="46"/>
        </w:trPr>
        <w:tc>
          <w:tcPr>
            <w:tcW w:w="140" w:type="dxa"/>
            <w:vAlign w:val="bottom"/>
          </w:tcPr>
          <w:p>
            <w:pPr>
              <w:spacing w:after="0"/>
              <w:rPr>
                <w:sz w:val="4"/>
                <w:szCs w:val="4"/>
                <w:color w:val="auto"/>
              </w:rPr>
            </w:pPr>
          </w:p>
        </w:tc>
        <w:tc>
          <w:tcPr>
            <w:tcW w:w="1020" w:type="dxa"/>
            <w:vAlign w:val="bottom"/>
          </w:tcPr>
          <w:p>
            <w:pPr>
              <w:spacing w:after="0"/>
              <w:rPr>
                <w:sz w:val="4"/>
                <w:szCs w:val="4"/>
                <w:color w:val="auto"/>
              </w:rPr>
            </w:pPr>
          </w:p>
        </w:tc>
        <w:tc>
          <w:tcPr>
            <w:tcW w:w="1400" w:type="dxa"/>
            <w:vAlign w:val="bottom"/>
          </w:tcPr>
          <w:p>
            <w:pPr>
              <w:spacing w:after="0"/>
              <w:rPr>
                <w:sz w:val="4"/>
                <w:szCs w:val="4"/>
                <w:color w:val="auto"/>
              </w:rPr>
            </w:pPr>
          </w:p>
        </w:tc>
        <w:tc>
          <w:tcPr>
            <w:tcW w:w="1200" w:type="dxa"/>
            <w:vAlign w:val="bottom"/>
          </w:tcPr>
          <w:p>
            <w:pPr>
              <w:spacing w:after="0"/>
              <w:rPr>
                <w:sz w:val="4"/>
                <w:szCs w:val="4"/>
                <w:color w:val="auto"/>
              </w:rPr>
            </w:pPr>
          </w:p>
        </w:tc>
        <w:tc>
          <w:tcPr>
            <w:tcW w:w="1420" w:type="dxa"/>
            <w:vAlign w:val="bottom"/>
          </w:tcPr>
          <w:p>
            <w:pPr>
              <w:spacing w:after="0"/>
              <w:rPr>
                <w:sz w:val="4"/>
                <w:szCs w:val="4"/>
                <w:color w:val="auto"/>
              </w:rPr>
            </w:pPr>
          </w:p>
        </w:tc>
        <w:tc>
          <w:tcPr>
            <w:tcW w:w="780" w:type="dxa"/>
            <w:vAlign w:val="bottom"/>
            <w:vMerge w:val="continue"/>
          </w:tcPr>
          <w:p>
            <w:pPr>
              <w:spacing w:after="0"/>
              <w:rPr>
                <w:sz w:val="4"/>
                <w:szCs w:val="4"/>
                <w:color w:val="auto"/>
              </w:rPr>
            </w:pPr>
          </w:p>
        </w:tc>
        <w:tc>
          <w:tcPr>
            <w:tcW w:w="7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240"/>
        </w:trPr>
        <w:tc>
          <w:tcPr>
            <w:tcW w:w="140" w:type="dxa"/>
            <w:vAlign w:val="bottom"/>
          </w:tcPr>
          <w:p>
            <w:pPr>
              <w:spacing w:after="0"/>
              <w:rPr>
                <w:sz w:val="20"/>
                <w:szCs w:val="20"/>
                <w:color w:val="auto"/>
              </w:rPr>
            </w:pPr>
          </w:p>
        </w:tc>
        <w:tc>
          <w:tcPr>
            <w:tcW w:w="1020" w:type="dxa"/>
            <w:vAlign w:val="bottom"/>
          </w:tcPr>
          <w:p>
            <w:pPr>
              <w:spacing w:after="0"/>
              <w:rPr>
                <w:sz w:val="20"/>
                <w:szCs w:val="20"/>
                <w:color w:val="auto"/>
              </w:rPr>
            </w:pPr>
          </w:p>
        </w:tc>
        <w:tc>
          <w:tcPr>
            <w:tcW w:w="1400" w:type="dxa"/>
            <w:vAlign w:val="bottom"/>
          </w:tcPr>
          <w:p>
            <w:pPr>
              <w:spacing w:after="0"/>
              <w:rPr>
                <w:sz w:val="20"/>
                <w:szCs w:val="20"/>
                <w:color w:val="auto"/>
              </w:rPr>
            </w:pPr>
          </w:p>
        </w:tc>
        <w:tc>
          <w:tcPr>
            <w:tcW w:w="1200" w:type="dxa"/>
            <w:vAlign w:val="bottom"/>
          </w:tcPr>
          <w:p>
            <w:pPr>
              <w:spacing w:after="0"/>
              <w:rPr>
                <w:sz w:val="20"/>
                <w:szCs w:val="20"/>
                <w:color w:val="auto"/>
              </w:rPr>
            </w:pPr>
          </w:p>
        </w:tc>
        <w:tc>
          <w:tcPr>
            <w:tcW w:w="1420" w:type="dxa"/>
            <w:vAlign w:val="bottom"/>
          </w:tcPr>
          <w:p>
            <w:pPr>
              <w:spacing w:after="0"/>
              <w:rPr>
                <w:sz w:val="20"/>
                <w:szCs w:val="20"/>
                <w:color w:val="auto"/>
              </w:rPr>
            </w:pPr>
          </w:p>
        </w:tc>
        <w:tc>
          <w:tcPr>
            <w:tcW w:w="780" w:type="dxa"/>
            <w:vAlign w:val="bottom"/>
          </w:tcPr>
          <w:p>
            <w:pPr>
              <w:ind w:left="680"/>
              <w:spacing w:after="0"/>
              <w:rPr>
                <w:sz w:val="20"/>
                <w:szCs w:val="20"/>
                <w:color w:val="auto"/>
              </w:rPr>
            </w:pPr>
            <w:r>
              <w:rPr>
                <w:rFonts w:ascii="Times New Roman" w:cs="Times New Roman" w:eastAsia="Times New Roman" w:hAnsi="Times New Roman"/>
                <w:sz w:val="14"/>
                <w:szCs w:val="14"/>
                <w:i w:val="1"/>
                <w:iCs w:val="1"/>
                <w:color w:val="auto"/>
              </w:rPr>
              <w:t>4</w:t>
            </w:r>
          </w:p>
        </w:tc>
        <w:tc>
          <w:tcPr>
            <w:tcW w:w="780" w:type="dxa"/>
            <w:vAlign w:val="bottom"/>
          </w:tcPr>
          <w:p>
            <w:pPr>
              <w:spacing w:after="0"/>
              <w:rPr>
                <w:sz w:val="20"/>
                <w:szCs w:val="20"/>
                <w:color w:val="auto"/>
              </w:rPr>
            </w:pPr>
            <w:r>
              <w:rPr>
                <w:rFonts w:ascii="Times New Roman" w:cs="Times New Roman" w:eastAsia="Times New Roman" w:hAnsi="Times New Roman"/>
                <w:sz w:val="14"/>
                <w:szCs w:val="14"/>
                <w:i w:val="1"/>
                <w:iCs w:val="1"/>
                <w:color w:val="auto"/>
              </w:rPr>
              <w:t>A. costata</w:t>
            </w:r>
          </w:p>
        </w:tc>
        <w:tc>
          <w:tcPr>
            <w:tcW w:w="0" w:type="dxa"/>
            <w:vAlign w:val="bottom"/>
          </w:tcPr>
          <w:p>
            <w:pPr>
              <w:spacing w:after="0"/>
              <w:rPr>
                <w:sz w:val="1"/>
                <w:szCs w:val="1"/>
                <w:color w:val="auto"/>
              </w:rPr>
            </w:pPr>
          </w:p>
        </w:tc>
      </w:tr>
      <w:tr>
        <w:trPr>
          <w:trHeight w:val="240"/>
        </w:trPr>
        <w:tc>
          <w:tcPr>
            <w:tcW w:w="140" w:type="dxa"/>
            <w:vAlign w:val="bottom"/>
          </w:tcPr>
          <w:p>
            <w:pPr>
              <w:spacing w:after="0"/>
              <w:rPr>
                <w:sz w:val="20"/>
                <w:szCs w:val="20"/>
                <w:color w:val="auto"/>
              </w:rPr>
            </w:pPr>
          </w:p>
        </w:tc>
        <w:tc>
          <w:tcPr>
            <w:tcW w:w="1020" w:type="dxa"/>
            <w:vAlign w:val="bottom"/>
            <w:vMerge w:val="restart"/>
          </w:tcPr>
          <w:p>
            <w:pPr>
              <w:jc w:val="right"/>
              <w:ind w:right="393"/>
              <w:spacing w:after="0"/>
              <w:rPr>
                <w:sz w:val="20"/>
                <w:szCs w:val="20"/>
                <w:color w:val="auto"/>
              </w:rPr>
            </w:pPr>
            <w:r>
              <w:rPr>
                <w:rFonts w:ascii="Times New Roman" w:cs="Times New Roman" w:eastAsia="Times New Roman" w:hAnsi="Times New Roman"/>
                <w:sz w:val="14"/>
                <w:szCs w:val="14"/>
                <w:color w:val="auto"/>
              </w:rPr>
              <w:t>2.1</w:t>
            </w:r>
          </w:p>
        </w:tc>
        <w:tc>
          <w:tcPr>
            <w:tcW w:w="1400" w:type="dxa"/>
            <w:vAlign w:val="bottom"/>
          </w:tcPr>
          <w:p>
            <w:pPr>
              <w:spacing w:after="0"/>
              <w:rPr>
                <w:sz w:val="20"/>
                <w:szCs w:val="20"/>
                <w:color w:val="auto"/>
              </w:rPr>
            </w:pPr>
          </w:p>
        </w:tc>
        <w:tc>
          <w:tcPr>
            <w:tcW w:w="1200" w:type="dxa"/>
            <w:vAlign w:val="bottom"/>
          </w:tcPr>
          <w:p>
            <w:pPr>
              <w:spacing w:after="0"/>
              <w:rPr>
                <w:sz w:val="20"/>
                <w:szCs w:val="20"/>
                <w:color w:val="auto"/>
              </w:rPr>
            </w:pPr>
          </w:p>
        </w:tc>
        <w:tc>
          <w:tcPr>
            <w:tcW w:w="1420" w:type="dxa"/>
            <w:vAlign w:val="bottom"/>
          </w:tcPr>
          <w:p>
            <w:pPr>
              <w:spacing w:after="0"/>
              <w:rPr>
                <w:sz w:val="20"/>
                <w:szCs w:val="20"/>
                <w:color w:val="auto"/>
              </w:rPr>
            </w:pPr>
          </w:p>
        </w:tc>
        <w:tc>
          <w:tcPr>
            <w:tcW w:w="780" w:type="dxa"/>
            <w:vAlign w:val="bottom"/>
          </w:tcPr>
          <w:p>
            <w:pPr>
              <w:ind w:left="680"/>
              <w:spacing w:after="0"/>
              <w:rPr>
                <w:sz w:val="20"/>
                <w:szCs w:val="20"/>
                <w:color w:val="auto"/>
              </w:rPr>
            </w:pPr>
            <w:r>
              <w:rPr>
                <w:rFonts w:ascii="Times New Roman" w:cs="Times New Roman" w:eastAsia="Times New Roman" w:hAnsi="Times New Roman"/>
                <w:sz w:val="14"/>
                <w:szCs w:val="14"/>
                <w:i w:val="1"/>
                <w:iCs w:val="1"/>
                <w:color w:val="auto"/>
              </w:rPr>
              <w:t>5</w:t>
            </w:r>
          </w:p>
        </w:tc>
        <w:tc>
          <w:tcPr>
            <w:tcW w:w="780" w:type="dxa"/>
            <w:vAlign w:val="bottom"/>
          </w:tcPr>
          <w:p>
            <w:pPr>
              <w:spacing w:after="0"/>
              <w:rPr>
                <w:sz w:val="20"/>
                <w:szCs w:val="20"/>
                <w:color w:val="auto"/>
              </w:rPr>
            </w:pPr>
            <w:r>
              <w:rPr>
                <w:rFonts w:ascii="Times New Roman" w:cs="Times New Roman" w:eastAsia="Times New Roman" w:hAnsi="Times New Roman"/>
                <w:sz w:val="14"/>
                <w:szCs w:val="14"/>
                <w:i w:val="1"/>
                <w:iCs w:val="1"/>
                <w:color w:val="auto"/>
              </w:rPr>
              <w:t>B. imbricata</w:t>
            </w:r>
          </w:p>
        </w:tc>
        <w:tc>
          <w:tcPr>
            <w:tcW w:w="0" w:type="dxa"/>
            <w:vAlign w:val="bottom"/>
          </w:tcPr>
          <w:p>
            <w:pPr>
              <w:spacing w:after="0"/>
              <w:rPr>
                <w:sz w:val="1"/>
                <w:szCs w:val="1"/>
                <w:color w:val="auto"/>
              </w:rPr>
            </w:pPr>
          </w:p>
        </w:tc>
      </w:tr>
      <w:tr>
        <w:trPr>
          <w:trHeight w:val="116"/>
        </w:trPr>
        <w:tc>
          <w:tcPr>
            <w:tcW w:w="140" w:type="dxa"/>
            <w:vAlign w:val="bottom"/>
          </w:tcPr>
          <w:p>
            <w:pPr>
              <w:spacing w:after="0"/>
              <w:rPr>
                <w:sz w:val="10"/>
                <w:szCs w:val="10"/>
                <w:color w:val="auto"/>
              </w:rPr>
            </w:pPr>
          </w:p>
        </w:tc>
        <w:tc>
          <w:tcPr>
            <w:tcW w:w="1020" w:type="dxa"/>
            <w:vAlign w:val="bottom"/>
            <w:vMerge w:val="continue"/>
          </w:tcPr>
          <w:p>
            <w:pPr>
              <w:spacing w:after="0"/>
              <w:rPr>
                <w:sz w:val="10"/>
                <w:szCs w:val="10"/>
                <w:color w:val="auto"/>
              </w:rPr>
            </w:pPr>
          </w:p>
        </w:tc>
        <w:tc>
          <w:tcPr>
            <w:tcW w:w="1400" w:type="dxa"/>
            <w:vAlign w:val="bottom"/>
          </w:tcPr>
          <w:p>
            <w:pPr>
              <w:spacing w:after="0"/>
              <w:rPr>
                <w:sz w:val="10"/>
                <w:szCs w:val="10"/>
                <w:color w:val="auto"/>
              </w:rPr>
            </w:pPr>
          </w:p>
        </w:tc>
        <w:tc>
          <w:tcPr>
            <w:tcW w:w="1200" w:type="dxa"/>
            <w:vAlign w:val="bottom"/>
          </w:tcPr>
          <w:p>
            <w:pPr>
              <w:spacing w:after="0"/>
              <w:rPr>
                <w:sz w:val="10"/>
                <w:szCs w:val="10"/>
                <w:color w:val="auto"/>
              </w:rPr>
            </w:pPr>
          </w:p>
        </w:tc>
        <w:tc>
          <w:tcPr>
            <w:tcW w:w="1420" w:type="dxa"/>
            <w:vAlign w:val="bottom"/>
          </w:tcPr>
          <w:p>
            <w:pPr>
              <w:spacing w:after="0"/>
              <w:rPr>
                <w:sz w:val="10"/>
                <w:szCs w:val="10"/>
                <w:color w:val="auto"/>
              </w:rPr>
            </w:pPr>
          </w:p>
        </w:tc>
        <w:tc>
          <w:tcPr>
            <w:tcW w:w="780" w:type="dxa"/>
            <w:vAlign w:val="bottom"/>
            <w:vMerge w:val="restart"/>
          </w:tcPr>
          <w:p>
            <w:pPr>
              <w:ind w:left="680"/>
              <w:spacing w:after="0"/>
              <w:rPr>
                <w:sz w:val="20"/>
                <w:szCs w:val="20"/>
                <w:color w:val="auto"/>
              </w:rPr>
            </w:pPr>
            <w:r>
              <w:rPr>
                <w:rFonts w:ascii="Times New Roman" w:cs="Times New Roman" w:eastAsia="Times New Roman" w:hAnsi="Times New Roman"/>
                <w:sz w:val="14"/>
                <w:szCs w:val="14"/>
                <w:i w:val="1"/>
                <w:iCs w:val="1"/>
                <w:color w:val="auto"/>
              </w:rPr>
              <w:t>6</w:t>
            </w:r>
          </w:p>
        </w:tc>
        <w:tc>
          <w:tcPr>
            <w:tcW w:w="780" w:type="dxa"/>
            <w:vAlign w:val="bottom"/>
            <w:vMerge w:val="restart"/>
          </w:tcPr>
          <w:p>
            <w:pPr>
              <w:spacing w:after="0"/>
              <w:rPr>
                <w:sz w:val="20"/>
                <w:szCs w:val="20"/>
                <w:color w:val="auto"/>
              </w:rPr>
            </w:pPr>
            <w:r>
              <w:rPr>
                <w:rFonts w:ascii="Times New Roman" w:cs="Times New Roman" w:eastAsia="Times New Roman" w:hAnsi="Times New Roman"/>
                <w:sz w:val="14"/>
                <w:szCs w:val="14"/>
                <w:i w:val="1"/>
                <w:iCs w:val="1"/>
                <w:color w:val="auto"/>
              </w:rPr>
              <w:t>B. imbricata</w:t>
            </w:r>
          </w:p>
        </w:tc>
        <w:tc>
          <w:tcPr>
            <w:tcW w:w="0" w:type="dxa"/>
            <w:vAlign w:val="bottom"/>
          </w:tcPr>
          <w:p>
            <w:pPr>
              <w:spacing w:after="0"/>
              <w:rPr>
                <w:sz w:val="1"/>
                <w:szCs w:val="1"/>
                <w:color w:val="auto"/>
              </w:rPr>
            </w:pPr>
          </w:p>
        </w:tc>
      </w:tr>
      <w:tr>
        <w:trPr>
          <w:trHeight w:val="124"/>
        </w:trPr>
        <w:tc>
          <w:tcPr>
            <w:tcW w:w="140" w:type="dxa"/>
            <w:vAlign w:val="bottom"/>
          </w:tcPr>
          <w:p>
            <w:pPr>
              <w:spacing w:after="0"/>
              <w:rPr>
                <w:sz w:val="10"/>
                <w:szCs w:val="10"/>
                <w:color w:val="auto"/>
              </w:rPr>
            </w:pPr>
          </w:p>
        </w:tc>
        <w:tc>
          <w:tcPr>
            <w:tcW w:w="1020" w:type="dxa"/>
            <w:vAlign w:val="bottom"/>
            <w:vMerge w:val="restart"/>
            <w:textDirection w:val="btLr"/>
          </w:tcPr>
          <w:p>
            <w:pPr>
              <w:ind w:right="728"/>
              <w:spacing w:after="0"/>
              <w:rPr>
                <w:sz w:val="20"/>
                <w:szCs w:val="20"/>
                <w:color w:val="auto"/>
              </w:rPr>
            </w:pPr>
            <w:r>
              <w:rPr>
                <w:rFonts w:ascii="Times New Roman" w:cs="Times New Roman" w:eastAsia="Times New Roman" w:hAnsi="Times New Roman"/>
                <w:sz w:val="16"/>
                <w:szCs w:val="16"/>
                <w:b w:val="1"/>
                <w:bCs w:val="1"/>
                <w:color w:val="auto"/>
                <w:w w:val="99"/>
              </w:rPr>
              <w:t>2</w:t>
            </w:r>
          </w:p>
        </w:tc>
        <w:tc>
          <w:tcPr>
            <w:tcW w:w="1400" w:type="dxa"/>
            <w:vAlign w:val="bottom"/>
          </w:tcPr>
          <w:p>
            <w:pPr>
              <w:spacing w:after="0"/>
              <w:rPr>
                <w:sz w:val="10"/>
                <w:szCs w:val="10"/>
                <w:color w:val="auto"/>
              </w:rPr>
            </w:pPr>
          </w:p>
        </w:tc>
        <w:tc>
          <w:tcPr>
            <w:tcW w:w="1200" w:type="dxa"/>
            <w:vAlign w:val="bottom"/>
          </w:tcPr>
          <w:p>
            <w:pPr>
              <w:spacing w:after="0"/>
              <w:rPr>
                <w:sz w:val="10"/>
                <w:szCs w:val="10"/>
                <w:color w:val="auto"/>
              </w:rPr>
            </w:pPr>
          </w:p>
        </w:tc>
        <w:tc>
          <w:tcPr>
            <w:tcW w:w="1420" w:type="dxa"/>
            <w:vAlign w:val="bottom"/>
          </w:tcPr>
          <w:p>
            <w:pPr>
              <w:spacing w:after="0"/>
              <w:rPr>
                <w:sz w:val="10"/>
                <w:szCs w:val="10"/>
                <w:color w:val="auto"/>
              </w:rPr>
            </w:pPr>
          </w:p>
        </w:tc>
        <w:tc>
          <w:tcPr>
            <w:tcW w:w="780" w:type="dxa"/>
            <w:vAlign w:val="bottom"/>
            <w:vMerge w:val="continue"/>
          </w:tcPr>
          <w:p>
            <w:pPr>
              <w:spacing w:after="0"/>
              <w:rPr>
                <w:sz w:val="10"/>
                <w:szCs w:val="10"/>
                <w:color w:val="auto"/>
              </w:rPr>
            </w:pPr>
          </w:p>
        </w:tc>
        <w:tc>
          <w:tcPr>
            <w:tcW w:w="780" w:type="dxa"/>
            <w:vAlign w:val="bottom"/>
            <w:vMerge w:val="continue"/>
          </w:tcPr>
          <w:p>
            <w:pPr>
              <w:spacing w:after="0"/>
              <w:rPr>
                <w:sz w:val="10"/>
                <w:szCs w:val="10"/>
                <w:color w:val="auto"/>
              </w:rPr>
            </w:pPr>
          </w:p>
        </w:tc>
        <w:tc>
          <w:tcPr>
            <w:tcW w:w="0" w:type="dxa"/>
            <w:vAlign w:val="bottom"/>
          </w:tcPr>
          <w:p>
            <w:pPr>
              <w:spacing w:after="0"/>
              <w:rPr>
                <w:sz w:val="1"/>
                <w:szCs w:val="1"/>
                <w:color w:val="auto"/>
              </w:rPr>
            </w:pPr>
          </w:p>
        </w:tc>
      </w:tr>
      <w:tr>
        <w:trPr>
          <w:trHeight w:val="34"/>
        </w:trPr>
        <w:tc>
          <w:tcPr>
            <w:tcW w:w="140" w:type="dxa"/>
            <w:vAlign w:val="bottom"/>
          </w:tcPr>
          <w:p>
            <w:pPr>
              <w:spacing w:after="0"/>
              <w:rPr>
                <w:sz w:val="2"/>
                <w:szCs w:val="2"/>
                <w:color w:val="auto"/>
              </w:rPr>
            </w:pPr>
          </w:p>
        </w:tc>
        <w:tc>
          <w:tcPr>
            <w:tcW w:w="1020" w:type="dxa"/>
            <w:vAlign w:val="bottom"/>
            <w:vMerge w:val="continue"/>
          </w:tcPr>
          <w:p>
            <w:pPr>
              <w:spacing w:after="0"/>
              <w:rPr>
                <w:sz w:val="2"/>
                <w:szCs w:val="2"/>
                <w:color w:val="auto"/>
              </w:rPr>
            </w:pPr>
          </w:p>
        </w:tc>
        <w:tc>
          <w:tcPr>
            <w:tcW w:w="1400" w:type="dxa"/>
            <w:vAlign w:val="bottom"/>
          </w:tcPr>
          <w:p>
            <w:pPr>
              <w:spacing w:after="0"/>
              <w:rPr>
                <w:sz w:val="2"/>
                <w:szCs w:val="2"/>
                <w:color w:val="auto"/>
              </w:rPr>
            </w:pPr>
          </w:p>
        </w:tc>
        <w:tc>
          <w:tcPr>
            <w:tcW w:w="1200" w:type="dxa"/>
            <w:vAlign w:val="bottom"/>
          </w:tcPr>
          <w:p>
            <w:pPr>
              <w:spacing w:after="0"/>
              <w:rPr>
                <w:sz w:val="2"/>
                <w:szCs w:val="2"/>
                <w:color w:val="auto"/>
              </w:rPr>
            </w:pPr>
          </w:p>
        </w:tc>
        <w:tc>
          <w:tcPr>
            <w:tcW w:w="1420" w:type="dxa"/>
            <w:vAlign w:val="bottom"/>
          </w:tcPr>
          <w:p>
            <w:pPr>
              <w:spacing w:after="0"/>
              <w:rPr>
                <w:sz w:val="2"/>
                <w:szCs w:val="2"/>
                <w:color w:val="auto"/>
              </w:rPr>
            </w:pPr>
          </w:p>
        </w:tc>
        <w:tc>
          <w:tcPr>
            <w:tcW w:w="780" w:type="dxa"/>
            <w:vAlign w:val="bottom"/>
          </w:tcPr>
          <w:p>
            <w:pPr>
              <w:spacing w:after="0"/>
              <w:rPr>
                <w:sz w:val="2"/>
                <w:szCs w:val="2"/>
                <w:color w:val="auto"/>
              </w:rPr>
            </w:pPr>
          </w:p>
        </w:tc>
        <w:tc>
          <w:tcPr>
            <w:tcW w:w="780" w:type="dxa"/>
            <w:vAlign w:val="bottom"/>
          </w:tcPr>
          <w:p>
            <w:pPr>
              <w:spacing w:after="0"/>
              <w:rPr>
                <w:sz w:val="2"/>
                <w:szCs w:val="2"/>
                <w:color w:val="auto"/>
              </w:rPr>
            </w:pPr>
          </w:p>
        </w:tc>
        <w:tc>
          <w:tcPr>
            <w:tcW w:w="0" w:type="dxa"/>
            <w:vAlign w:val="bottom"/>
          </w:tcPr>
          <w:p>
            <w:pPr>
              <w:spacing w:after="0" w:line="20" w:lineRule="exact"/>
              <w:rPr>
                <w:sz w:val="1"/>
                <w:szCs w:val="1"/>
                <w:color w:val="auto"/>
              </w:rPr>
            </w:pPr>
          </w:p>
        </w:tc>
      </w:tr>
      <w:tr>
        <w:trPr>
          <w:trHeight w:val="196"/>
        </w:trPr>
        <w:tc>
          <w:tcPr>
            <w:tcW w:w="140" w:type="dxa"/>
            <w:vAlign w:val="bottom"/>
          </w:tcPr>
          <w:p>
            <w:pPr>
              <w:spacing w:after="0"/>
              <w:rPr>
                <w:sz w:val="17"/>
                <w:szCs w:val="17"/>
                <w:color w:val="auto"/>
              </w:rPr>
            </w:pPr>
          </w:p>
        </w:tc>
        <w:tc>
          <w:tcPr>
            <w:tcW w:w="1020" w:type="dxa"/>
            <w:vAlign w:val="bottom"/>
            <w:vMerge w:val="restart"/>
            <w:textDirection w:val="btLr"/>
          </w:tcPr>
          <w:p>
            <w:pPr>
              <w:ind w:right="728"/>
              <w:spacing w:after="0"/>
              <w:rPr>
                <w:sz w:val="20"/>
                <w:szCs w:val="20"/>
                <w:color w:val="auto"/>
              </w:rPr>
            </w:pPr>
            <w:r>
              <w:rPr>
                <w:rFonts w:ascii="Times New Roman" w:cs="Times New Roman" w:eastAsia="Times New Roman" w:hAnsi="Times New Roman"/>
                <w:sz w:val="16"/>
                <w:szCs w:val="16"/>
                <w:b w:val="1"/>
                <w:bCs w:val="1"/>
                <w:color w:val="auto"/>
                <w:w w:val="93"/>
              </w:rPr>
              <w:t>FD</w:t>
            </w:r>
          </w:p>
        </w:tc>
        <w:tc>
          <w:tcPr>
            <w:tcW w:w="1400" w:type="dxa"/>
            <w:vAlign w:val="bottom"/>
          </w:tcPr>
          <w:p>
            <w:pPr>
              <w:spacing w:after="0"/>
              <w:rPr>
                <w:sz w:val="17"/>
                <w:szCs w:val="17"/>
                <w:color w:val="auto"/>
              </w:rPr>
            </w:pPr>
          </w:p>
        </w:tc>
        <w:tc>
          <w:tcPr>
            <w:tcW w:w="1200" w:type="dxa"/>
            <w:vAlign w:val="bottom"/>
          </w:tcPr>
          <w:p>
            <w:pPr>
              <w:spacing w:after="0"/>
              <w:rPr>
                <w:sz w:val="17"/>
                <w:szCs w:val="17"/>
                <w:color w:val="auto"/>
              </w:rPr>
            </w:pPr>
          </w:p>
        </w:tc>
        <w:tc>
          <w:tcPr>
            <w:tcW w:w="1420" w:type="dxa"/>
            <w:vAlign w:val="bottom"/>
          </w:tcPr>
          <w:p>
            <w:pPr>
              <w:spacing w:after="0"/>
              <w:rPr>
                <w:sz w:val="17"/>
                <w:szCs w:val="17"/>
                <w:color w:val="auto"/>
              </w:rPr>
            </w:pPr>
          </w:p>
        </w:tc>
        <w:tc>
          <w:tcPr>
            <w:tcW w:w="780" w:type="dxa"/>
            <w:vAlign w:val="bottom"/>
          </w:tcPr>
          <w:p>
            <w:pPr>
              <w:ind w:left="680"/>
              <w:spacing w:after="0"/>
              <w:rPr>
                <w:sz w:val="20"/>
                <w:szCs w:val="20"/>
                <w:color w:val="auto"/>
              </w:rPr>
            </w:pPr>
            <w:r>
              <w:rPr>
                <w:rFonts w:ascii="Times New Roman" w:cs="Times New Roman" w:eastAsia="Times New Roman" w:hAnsi="Times New Roman"/>
                <w:sz w:val="14"/>
                <w:szCs w:val="14"/>
                <w:i w:val="1"/>
                <w:iCs w:val="1"/>
                <w:color w:val="auto"/>
              </w:rPr>
              <w:t>7</w:t>
            </w:r>
          </w:p>
        </w:tc>
        <w:tc>
          <w:tcPr>
            <w:tcW w:w="780" w:type="dxa"/>
            <w:vAlign w:val="bottom"/>
          </w:tcPr>
          <w:p>
            <w:pPr>
              <w:spacing w:after="0"/>
              <w:rPr>
                <w:sz w:val="20"/>
                <w:szCs w:val="20"/>
                <w:color w:val="auto"/>
              </w:rPr>
            </w:pPr>
            <w:r>
              <w:rPr>
                <w:rFonts w:ascii="Times New Roman" w:cs="Times New Roman" w:eastAsia="Times New Roman" w:hAnsi="Times New Roman"/>
                <w:sz w:val="14"/>
                <w:szCs w:val="14"/>
                <w:i w:val="1"/>
                <w:iCs w:val="1"/>
                <w:color w:val="auto"/>
              </w:rPr>
              <w:t>P. orbiculare</w:t>
            </w:r>
          </w:p>
        </w:tc>
        <w:tc>
          <w:tcPr>
            <w:tcW w:w="0" w:type="dxa"/>
            <w:vAlign w:val="bottom"/>
          </w:tcPr>
          <w:p>
            <w:pPr>
              <w:spacing w:after="0"/>
              <w:rPr>
                <w:sz w:val="1"/>
                <w:szCs w:val="1"/>
                <w:color w:val="auto"/>
              </w:rPr>
            </w:pPr>
          </w:p>
        </w:tc>
      </w:tr>
      <w:tr>
        <w:trPr>
          <w:trHeight w:val="57"/>
        </w:trPr>
        <w:tc>
          <w:tcPr>
            <w:tcW w:w="140" w:type="dxa"/>
            <w:vAlign w:val="bottom"/>
          </w:tcPr>
          <w:p>
            <w:pPr>
              <w:spacing w:after="0"/>
              <w:rPr>
                <w:sz w:val="4"/>
                <w:szCs w:val="4"/>
                <w:color w:val="auto"/>
              </w:rPr>
            </w:pPr>
          </w:p>
        </w:tc>
        <w:tc>
          <w:tcPr>
            <w:tcW w:w="1020" w:type="dxa"/>
            <w:vAlign w:val="bottom"/>
            <w:vMerge w:val="continue"/>
          </w:tcPr>
          <w:p>
            <w:pPr>
              <w:spacing w:after="0"/>
              <w:rPr>
                <w:sz w:val="4"/>
                <w:szCs w:val="4"/>
                <w:color w:val="auto"/>
              </w:rPr>
            </w:pPr>
          </w:p>
        </w:tc>
        <w:tc>
          <w:tcPr>
            <w:tcW w:w="1400" w:type="dxa"/>
            <w:vAlign w:val="bottom"/>
          </w:tcPr>
          <w:p>
            <w:pPr>
              <w:spacing w:after="0"/>
              <w:rPr>
                <w:sz w:val="4"/>
                <w:szCs w:val="4"/>
                <w:color w:val="auto"/>
              </w:rPr>
            </w:pPr>
          </w:p>
        </w:tc>
        <w:tc>
          <w:tcPr>
            <w:tcW w:w="1200" w:type="dxa"/>
            <w:vAlign w:val="bottom"/>
          </w:tcPr>
          <w:p>
            <w:pPr>
              <w:spacing w:after="0"/>
              <w:rPr>
                <w:sz w:val="4"/>
                <w:szCs w:val="4"/>
                <w:color w:val="auto"/>
              </w:rPr>
            </w:pPr>
          </w:p>
        </w:tc>
        <w:tc>
          <w:tcPr>
            <w:tcW w:w="1420" w:type="dxa"/>
            <w:vAlign w:val="bottom"/>
          </w:tcPr>
          <w:p>
            <w:pPr>
              <w:spacing w:after="0"/>
              <w:rPr>
                <w:sz w:val="4"/>
                <w:szCs w:val="4"/>
                <w:color w:val="auto"/>
              </w:rPr>
            </w:pPr>
          </w:p>
        </w:tc>
        <w:tc>
          <w:tcPr>
            <w:tcW w:w="780" w:type="dxa"/>
            <w:vAlign w:val="bottom"/>
            <w:vMerge w:val="restart"/>
          </w:tcPr>
          <w:p>
            <w:pPr>
              <w:ind w:left="680"/>
              <w:spacing w:after="0"/>
              <w:rPr>
                <w:sz w:val="20"/>
                <w:szCs w:val="20"/>
                <w:color w:val="auto"/>
              </w:rPr>
            </w:pPr>
            <w:r>
              <w:rPr>
                <w:rFonts w:ascii="Times New Roman" w:cs="Times New Roman" w:eastAsia="Times New Roman" w:hAnsi="Times New Roman"/>
                <w:sz w:val="14"/>
                <w:szCs w:val="14"/>
                <w:i w:val="1"/>
                <w:iCs w:val="1"/>
                <w:color w:val="auto"/>
              </w:rPr>
              <w:t>8</w:t>
            </w:r>
          </w:p>
        </w:tc>
        <w:tc>
          <w:tcPr>
            <w:tcW w:w="780" w:type="dxa"/>
            <w:vAlign w:val="bottom"/>
            <w:vMerge w:val="restart"/>
          </w:tcPr>
          <w:p>
            <w:pPr>
              <w:spacing w:after="0"/>
              <w:rPr>
                <w:sz w:val="20"/>
                <w:szCs w:val="20"/>
                <w:color w:val="auto"/>
              </w:rPr>
            </w:pPr>
            <w:r>
              <w:rPr>
                <w:rFonts w:ascii="Times New Roman" w:cs="Times New Roman" w:eastAsia="Times New Roman" w:hAnsi="Times New Roman"/>
                <w:sz w:val="14"/>
                <w:szCs w:val="14"/>
                <w:i w:val="1"/>
                <w:iCs w:val="1"/>
                <w:color w:val="auto"/>
              </w:rPr>
              <w:t>P. orbiculare</w:t>
            </w:r>
          </w:p>
        </w:tc>
        <w:tc>
          <w:tcPr>
            <w:tcW w:w="0" w:type="dxa"/>
            <w:vAlign w:val="bottom"/>
          </w:tcPr>
          <w:p>
            <w:pPr>
              <w:spacing w:after="0"/>
              <w:rPr>
                <w:sz w:val="1"/>
                <w:szCs w:val="1"/>
                <w:color w:val="auto"/>
              </w:rPr>
            </w:pPr>
          </w:p>
        </w:tc>
      </w:tr>
      <w:tr>
        <w:trPr>
          <w:trHeight w:val="173"/>
        </w:trPr>
        <w:tc>
          <w:tcPr>
            <w:tcW w:w="140" w:type="dxa"/>
            <w:vAlign w:val="bottom"/>
          </w:tcPr>
          <w:p>
            <w:pPr>
              <w:spacing w:after="0"/>
              <w:rPr>
                <w:sz w:val="15"/>
                <w:szCs w:val="15"/>
                <w:color w:val="auto"/>
              </w:rPr>
            </w:pPr>
          </w:p>
        </w:tc>
        <w:tc>
          <w:tcPr>
            <w:tcW w:w="1020" w:type="dxa"/>
            <w:vAlign w:val="bottom"/>
            <w:vMerge w:val="restart"/>
          </w:tcPr>
          <w:p>
            <w:pPr>
              <w:jc w:val="right"/>
              <w:ind w:right="393"/>
              <w:spacing w:after="0"/>
              <w:rPr>
                <w:sz w:val="20"/>
                <w:szCs w:val="20"/>
                <w:color w:val="auto"/>
              </w:rPr>
            </w:pPr>
            <w:r>
              <w:rPr>
                <w:rFonts w:ascii="Times New Roman" w:cs="Times New Roman" w:eastAsia="Times New Roman" w:hAnsi="Times New Roman"/>
                <w:sz w:val="14"/>
                <w:szCs w:val="14"/>
                <w:color w:val="auto"/>
              </w:rPr>
              <w:t>0.1</w:t>
            </w:r>
          </w:p>
        </w:tc>
        <w:tc>
          <w:tcPr>
            <w:tcW w:w="1400" w:type="dxa"/>
            <w:vAlign w:val="bottom"/>
          </w:tcPr>
          <w:p>
            <w:pPr>
              <w:spacing w:after="0"/>
              <w:rPr>
                <w:sz w:val="15"/>
                <w:szCs w:val="15"/>
                <w:color w:val="auto"/>
              </w:rPr>
            </w:pPr>
          </w:p>
        </w:tc>
        <w:tc>
          <w:tcPr>
            <w:tcW w:w="1200" w:type="dxa"/>
            <w:vAlign w:val="bottom"/>
          </w:tcPr>
          <w:p>
            <w:pPr>
              <w:spacing w:after="0"/>
              <w:rPr>
                <w:sz w:val="15"/>
                <w:szCs w:val="15"/>
                <w:color w:val="auto"/>
              </w:rPr>
            </w:pPr>
          </w:p>
        </w:tc>
        <w:tc>
          <w:tcPr>
            <w:tcW w:w="1420" w:type="dxa"/>
            <w:vAlign w:val="bottom"/>
          </w:tcPr>
          <w:p>
            <w:pPr>
              <w:spacing w:after="0"/>
              <w:rPr>
                <w:sz w:val="15"/>
                <w:szCs w:val="15"/>
                <w:color w:val="auto"/>
              </w:rPr>
            </w:pPr>
          </w:p>
        </w:tc>
        <w:tc>
          <w:tcPr>
            <w:tcW w:w="780" w:type="dxa"/>
            <w:vAlign w:val="bottom"/>
            <w:vMerge w:val="continue"/>
          </w:tcPr>
          <w:p>
            <w:pPr>
              <w:spacing w:after="0"/>
              <w:rPr>
                <w:sz w:val="15"/>
                <w:szCs w:val="15"/>
                <w:color w:val="auto"/>
              </w:rPr>
            </w:pPr>
          </w:p>
        </w:tc>
        <w:tc>
          <w:tcPr>
            <w:tcW w:w="780" w:type="dxa"/>
            <w:vAlign w:val="bottom"/>
            <w:vMerge w:val="continue"/>
          </w:tcPr>
          <w:p>
            <w:pPr>
              <w:spacing w:after="0"/>
              <w:rPr>
                <w:sz w:val="15"/>
                <w:szCs w:val="15"/>
                <w:color w:val="auto"/>
              </w:rPr>
            </w:pPr>
          </w:p>
        </w:tc>
        <w:tc>
          <w:tcPr>
            <w:tcW w:w="0" w:type="dxa"/>
            <w:vAlign w:val="bottom"/>
          </w:tcPr>
          <w:p>
            <w:pPr>
              <w:spacing w:after="0"/>
              <w:rPr>
                <w:sz w:val="1"/>
                <w:szCs w:val="1"/>
                <w:color w:val="auto"/>
              </w:rPr>
            </w:pPr>
          </w:p>
        </w:tc>
      </w:tr>
      <w:tr>
        <w:trPr>
          <w:trHeight w:val="56"/>
        </w:trPr>
        <w:tc>
          <w:tcPr>
            <w:tcW w:w="140" w:type="dxa"/>
            <w:vAlign w:val="bottom"/>
          </w:tcPr>
          <w:p>
            <w:pPr>
              <w:spacing w:after="0"/>
              <w:rPr>
                <w:sz w:val="4"/>
                <w:szCs w:val="4"/>
                <w:color w:val="auto"/>
              </w:rPr>
            </w:pPr>
          </w:p>
        </w:tc>
        <w:tc>
          <w:tcPr>
            <w:tcW w:w="1020" w:type="dxa"/>
            <w:vAlign w:val="bottom"/>
            <w:vMerge w:val="continue"/>
          </w:tcPr>
          <w:p>
            <w:pPr>
              <w:spacing w:after="0"/>
              <w:rPr>
                <w:sz w:val="4"/>
                <w:szCs w:val="4"/>
                <w:color w:val="auto"/>
              </w:rPr>
            </w:pPr>
          </w:p>
        </w:tc>
        <w:tc>
          <w:tcPr>
            <w:tcW w:w="1400" w:type="dxa"/>
            <w:vAlign w:val="bottom"/>
          </w:tcPr>
          <w:p>
            <w:pPr>
              <w:spacing w:after="0"/>
              <w:rPr>
                <w:sz w:val="4"/>
                <w:szCs w:val="4"/>
                <w:color w:val="auto"/>
              </w:rPr>
            </w:pPr>
          </w:p>
        </w:tc>
        <w:tc>
          <w:tcPr>
            <w:tcW w:w="1200" w:type="dxa"/>
            <w:vAlign w:val="bottom"/>
          </w:tcPr>
          <w:p>
            <w:pPr>
              <w:spacing w:after="0"/>
              <w:rPr>
                <w:sz w:val="4"/>
                <w:szCs w:val="4"/>
                <w:color w:val="auto"/>
              </w:rPr>
            </w:pPr>
          </w:p>
        </w:tc>
        <w:tc>
          <w:tcPr>
            <w:tcW w:w="1420" w:type="dxa"/>
            <w:vAlign w:val="bottom"/>
          </w:tcPr>
          <w:p>
            <w:pPr>
              <w:spacing w:after="0"/>
              <w:rPr>
                <w:sz w:val="4"/>
                <w:szCs w:val="4"/>
                <w:color w:val="auto"/>
              </w:rPr>
            </w:pPr>
          </w:p>
        </w:tc>
        <w:tc>
          <w:tcPr>
            <w:tcW w:w="780" w:type="dxa"/>
            <w:vAlign w:val="bottom"/>
            <w:vMerge w:val="restart"/>
          </w:tcPr>
          <w:p>
            <w:pPr>
              <w:ind w:left="680"/>
              <w:spacing w:after="0"/>
              <w:rPr>
                <w:sz w:val="20"/>
                <w:szCs w:val="20"/>
                <w:color w:val="auto"/>
              </w:rPr>
            </w:pPr>
            <w:r>
              <w:rPr>
                <w:rFonts w:ascii="Times New Roman" w:cs="Times New Roman" w:eastAsia="Times New Roman" w:hAnsi="Times New Roman"/>
                <w:sz w:val="14"/>
                <w:szCs w:val="14"/>
                <w:i w:val="1"/>
                <w:iCs w:val="1"/>
                <w:color w:val="auto"/>
              </w:rPr>
              <w:t>9</w:t>
            </w:r>
          </w:p>
        </w:tc>
        <w:tc>
          <w:tcPr>
            <w:tcW w:w="780" w:type="dxa"/>
            <w:vAlign w:val="bottom"/>
            <w:vMerge w:val="restart"/>
          </w:tcPr>
          <w:p>
            <w:pPr>
              <w:spacing w:after="0"/>
              <w:rPr>
                <w:sz w:val="20"/>
                <w:szCs w:val="20"/>
                <w:color w:val="auto"/>
              </w:rPr>
            </w:pPr>
            <w:r>
              <w:rPr>
                <w:rFonts w:ascii="Times New Roman" w:cs="Times New Roman" w:eastAsia="Times New Roman" w:hAnsi="Times New Roman"/>
                <w:sz w:val="14"/>
                <w:szCs w:val="14"/>
                <w:i w:val="1"/>
                <w:iCs w:val="1"/>
                <w:color w:val="auto"/>
                <w:w w:val="99"/>
              </w:rPr>
              <w:t>S. bicanthalis</w:t>
            </w:r>
          </w:p>
        </w:tc>
        <w:tc>
          <w:tcPr>
            <w:tcW w:w="0" w:type="dxa"/>
            <w:vAlign w:val="bottom"/>
          </w:tcPr>
          <w:p>
            <w:pPr>
              <w:spacing w:after="0"/>
              <w:rPr>
                <w:sz w:val="1"/>
                <w:szCs w:val="1"/>
                <w:color w:val="auto"/>
              </w:rPr>
            </w:pPr>
          </w:p>
        </w:tc>
      </w:tr>
      <w:tr>
        <w:trPr>
          <w:trHeight w:val="174"/>
        </w:trPr>
        <w:tc>
          <w:tcPr>
            <w:tcW w:w="140" w:type="dxa"/>
            <w:vAlign w:val="bottom"/>
          </w:tcPr>
          <w:p>
            <w:pPr>
              <w:spacing w:after="0"/>
              <w:rPr>
                <w:sz w:val="15"/>
                <w:szCs w:val="15"/>
                <w:color w:val="auto"/>
              </w:rPr>
            </w:pPr>
          </w:p>
        </w:tc>
        <w:tc>
          <w:tcPr>
            <w:tcW w:w="1020" w:type="dxa"/>
            <w:vAlign w:val="bottom"/>
          </w:tcPr>
          <w:p>
            <w:pPr>
              <w:spacing w:after="0"/>
              <w:rPr>
                <w:sz w:val="15"/>
                <w:szCs w:val="15"/>
                <w:color w:val="auto"/>
              </w:rPr>
            </w:pPr>
          </w:p>
        </w:tc>
        <w:tc>
          <w:tcPr>
            <w:tcW w:w="1400" w:type="dxa"/>
            <w:vAlign w:val="bottom"/>
          </w:tcPr>
          <w:p>
            <w:pPr>
              <w:spacing w:after="0"/>
              <w:rPr>
                <w:sz w:val="15"/>
                <w:szCs w:val="15"/>
                <w:color w:val="auto"/>
              </w:rPr>
            </w:pPr>
          </w:p>
        </w:tc>
        <w:tc>
          <w:tcPr>
            <w:tcW w:w="1200" w:type="dxa"/>
            <w:vAlign w:val="bottom"/>
          </w:tcPr>
          <w:p>
            <w:pPr>
              <w:spacing w:after="0"/>
              <w:rPr>
                <w:sz w:val="15"/>
                <w:szCs w:val="15"/>
                <w:color w:val="auto"/>
              </w:rPr>
            </w:pPr>
          </w:p>
        </w:tc>
        <w:tc>
          <w:tcPr>
            <w:tcW w:w="1420" w:type="dxa"/>
            <w:vAlign w:val="bottom"/>
          </w:tcPr>
          <w:p>
            <w:pPr>
              <w:spacing w:after="0"/>
              <w:rPr>
                <w:sz w:val="15"/>
                <w:szCs w:val="15"/>
                <w:color w:val="auto"/>
              </w:rPr>
            </w:pPr>
          </w:p>
        </w:tc>
        <w:tc>
          <w:tcPr>
            <w:tcW w:w="780" w:type="dxa"/>
            <w:vAlign w:val="bottom"/>
            <w:vMerge w:val="continue"/>
          </w:tcPr>
          <w:p>
            <w:pPr>
              <w:spacing w:after="0"/>
              <w:rPr>
                <w:sz w:val="15"/>
                <w:szCs w:val="15"/>
                <w:color w:val="auto"/>
              </w:rPr>
            </w:pPr>
          </w:p>
        </w:tc>
        <w:tc>
          <w:tcPr>
            <w:tcW w:w="780" w:type="dxa"/>
            <w:vAlign w:val="bottom"/>
            <w:vMerge w:val="continue"/>
          </w:tcPr>
          <w:p>
            <w:pPr>
              <w:spacing w:after="0"/>
              <w:rPr>
                <w:sz w:val="15"/>
                <w:szCs w:val="15"/>
                <w:color w:val="auto"/>
              </w:rPr>
            </w:pPr>
          </w:p>
        </w:tc>
        <w:tc>
          <w:tcPr>
            <w:tcW w:w="0" w:type="dxa"/>
            <w:vAlign w:val="bottom"/>
          </w:tcPr>
          <w:p>
            <w:pPr>
              <w:spacing w:after="0"/>
              <w:rPr>
                <w:sz w:val="1"/>
                <w:szCs w:val="1"/>
                <w:color w:val="auto"/>
              </w:rPr>
            </w:pPr>
          </w:p>
        </w:tc>
      </w:tr>
      <w:tr>
        <w:trPr>
          <w:trHeight w:val="230"/>
        </w:trPr>
        <w:tc>
          <w:tcPr>
            <w:tcW w:w="140" w:type="dxa"/>
            <w:vAlign w:val="bottom"/>
          </w:tcPr>
          <w:p>
            <w:pPr>
              <w:spacing w:after="0"/>
              <w:rPr>
                <w:sz w:val="20"/>
                <w:szCs w:val="20"/>
                <w:color w:val="auto"/>
              </w:rPr>
            </w:pPr>
          </w:p>
        </w:tc>
        <w:tc>
          <w:tcPr>
            <w:tcW w:w="1020" w:type="dxa"/>
            <w:vAlign w:val="bottom"/>
          </w:tcPr>
          <w:p>
            <w:pPr>
              <w:spacing w:after="0"/>
              <w:rPr>
                <w:sz w:val="20"/>
                <w:szCs w:val="20"/>
                <w:color w:val="auto"/>
              </w:rPr>
            </w:pPr>
          </w:p>
        </w:tc>
        <w:tc>
          <w:tcPr>
            <w:tcW w:w="1400" w:type="dxa"/>
            <w:vAlign w:val="bottom"/>
          </w:tcPr>
          <w:p>
            <w:pPr>
              <w:spacing w:after="0"/>
              <w:rPr>
                <w:sz w:val="20"/>
                <w:szCs w:val="20"/>
                <w:color w:val="auto"/>
              </w:rPr>
            </w:pPr>
          </w:p>
        </w:tc>
        <w:tc>
          <w:tcPr>
            <w:tcW w:w="1200" w:type="dxa"/>
            <w:vAlign w:val="bottom"/>
          </w:tcPr>
          <w:p>
            <w:pPr>
              <w:spacing w:after="0"/>
              <w:rPr>
                <w:sz w:val="20"/>
                <w:szCs w:val="20"/>
                <w:color w:val="auto"/>
              </w:rPr>
            </w:pPr>
          </w:p>
        </w:tc>
        <w:tc>
          <w:tcPr>
            <w:tcW w:w="1420" w:type="dxa"/>
            <w:vAlign w:val="bottom"/>
          </w:tcPr>
          <w:p>
            <w:pPr>
              <w:spacing w:after="0"/>
              <w:rPr>
                <w:sz w:val="20"/>
                <w:szCs w:val="20"/>
                <w:color w:val="auto"/>
              </w:rPr>
            </w:pPr>
          </w:p>
        </w:tc>
        <w:tc>
          <w:tcPr>
            <w:tcW w:w="1560" w:type="dxa"/>
            <w:vAlign w:val="bottom"/>
            <w:gridSpan w:val="2"/>
          </w:tcPr>
          <w:p>
            <w:pPr>
              <w:ind w:left="680"/>
              <w:spacing w:after="0"/>
              <w:rPr>
                <w:sz w:val="20"/>
                <w:szCs w:val="20"/>
                <w:color w:val="auto"/>
              </w:rPr>
            </w:pPr>
            <w:r>
              <w:rPr>
                <w:rFonts w:ascii="Times New Roman" w:cs="Times New Roman" w:eastAsia="Times New Roman" w:hAnsi="Times New Roman"/>
                <w:sz w:val="14"/>
                <w:szCs w:val="14"/>
                <w:i w:val="1"/>
                <w:iCs w:val="1"/>
                <w:color w:val="auto"/>
                <w:w w:val="91"/>
              </w:rPr>
              <w:t>10 S. bicanthalis</w:t>
            </w:r>
          </w:p>
        </w:tc>
        <w:tc>
          <w:tcPr>
            <w:tcW w:w="0" w:type="dxa"/>
            <w:vAlign w:val="bottom"/>
          </w:tcPr>
          <w:p>
            <w:pPr>
              <w:spacing w:after="0"/>
              <w:rPr>
                <w:sz w:val="1"/>
                <w:szCs w:val="1"/>
                <w:color w:val="auto"/>
              </w:rPr>
            </w:pPr>
          </w:p>
        </w:tc>
      </w:tr>
      <w:tr>
        <w:trPr>
          <w:trHeight w:val="188"/>
        </w:trPr>
        <w:tc>
          <w:tcPr>
            <w:tcW w:w="140" w:type="dxa"/>
            <w:vAlign w:val="bottom"/>
          </w:tcPr>
          <w:p>
            <w:pPr>
              <w:spacing w:after="0"/>
              <w:rPr>
                <w:sz w:val="16"/>
                <w:szCs w:val="16"/>
                <w:color w:val="auto"/>
              </w:rPr>
            </w:pPr>
          </w:p>
        </w:tc>
        <w:tc>
          <w:tcPr>
            <w:tcW w:w="1020" w:type="dxa"/>
            <w:vAlign w:val="bottom"/>
          </w:tcPr>
          <w:p>
            <w:pPr>
              <w:jc w:val="right"/>
              <w:ind w:right="393"/>
              <w:spacing w:after="0"/>
              <w:rPr>
                <w:sz w:val="20"/>
                <w:szCs w:val="20"/>
                <w:color w:val="auto"/>
              </w:rPr>
            </w:pPr>
            <w:r>
              <w:rPr>
                <w:rFonts w:ascii="Times New Roman" w:cs="Times New Roman" w:eastAsia="Times New Roman" w:hAnsi="Times New Roman"/>
                <w:sz w:val="14"/>
                <w:szCs w:val="14"/>
                <w:color w:val="auto"/>
              </w:rPr>
              <w:t>-1.9</w:t>
            </w:r>
          </w:p>
        </w:tc>
        <w:tc>
          <w:tcPr>
            <w:tcW w:w="1400" w:type="dxa"/>
            <w:vAlign w:val="bottom"/>
          </w:tcPr>
          <w:p>
            <w:pPr>
              <w:spacing w:after="0"/>
              <w:rPr>
                <w:sz w:val="16"/>
                <w:szCs w:val="16"/>
                <w:color w:val="auto"/>
              </w:rPr>
            </w:pPr>
          </w:p>
        </w:tc>
        <w:tc>
          <w:tcPr>
            <w:tcW w:w="1200" w:type="dxa"/>
            <w:vAlign w:val="bottom"/>
          </w:tcPr>
          <w:p>
            <w:pPr>
              <w:spacing w:after="0"/>
              <w:rPr>
                <w:sz w:val="16"/>
                <w:szCs w:val="16"/>
                <w:color w:val="auto"/>
              </w:rPr>
            </w:pPr>
          </w:p>
        </w:tc>
        <w:tc>
          <w:tcPr>
            <w:tcW w:w="1420" w:type="dxa"/>
            <w:vAlign w:val="bottom"/>
          </w:tcPr>
          <w:p>
            <w:pPr>
              <w:spacing w:after="0"/>
              <w:rPr>
                <w:sz w:val="16"/>
                <w:szCs w:val="16"/>
                <w:color w:val="auto"/>
              </w:rPr>
            </w:pPr>
          </w:p>
        </w:tc>
        <w:tc>
          <w:tcPr>
            <w:tcW w:w="1560" w:type="dxa"/>
            <w:vAlign w:val="bottom"/>
            <w:gridSpan w:val="2"/>
          </w:tcPr>
          <w:p>
            <w:pPr>
              <w:ind w:left="680"/>
              <w:spacing w:after="0"/>
              <w:rPr>
                <w:sz w:val="20"/>
                <w:szCs w:val="20"/>
                <w:color w:val="auto"/>
              </w:rPr>
            </w:pPr>
            <w:r>
              <w:rPr>
                <w:rFonts w:ascii="Times New Roman" w:cs="Times New Roman" w:eastAsia="Times New Roman" w:hAnsi="Times New Roman"/>
                <w:sz w:val="14"/>
                <w:szCs w:val="14"/>
                <w:i w:val="1"/>
                <w:iCs w:val="1"/>
                <w:color w:val="auto"/>
              </w:rPr>
              <w:t>11 S. aeneus</w:t>
            </w:r>
          </w:p>
        </w:tc>
        <w:tc>
          <w:tcPr>
            <w:tcW w:w="0" w:type="dxa"/>
            <w:vAlign w:val="bottom"/>
          </w:tcPr>
          <w:p>
            <w:pPr>
              <w:spacing w:after="0"/>
              <w:rPr>
                <w:sz w:val="1"/>
                <w:szCs w:val="1"/>
                <w:color w:val="auto"/>
              </w:rPr>
            </w:pPr>
          </w:p>
        </w:tc>
      </w:tr>
      <w:tr>
        <w:trPr>
          <w:trHeight w:val="226"/>
        </w:trPr>
        <w:tc>
          <w:tcPr>
            <w:tcW w:w="1160" w:type="dxa"/>
            <w:vAlign w:val="bottom"/>
            <w:gridSpan w:val="2"/>
            <w:textDirection w:val="btLr"/>
          </w:tcPr>
          <w:p>
            <w:pPr>
              <w:ind w:right="660"/>
              <w:spacing w:after="0"/>
              <w:rPr>
                <w:sz w:val="20"/>
                <w:szCs w:val="20"/>
                <w:color w:val="auto"/>
              </w:rPr>
            </w:pPr>
            <w:r>
              <w:rPr>
                <w:rFonts w:ascii="Times New Roman" w:cs="Times New Roman" w:eastAsia="Times New Roman" w:hAnsi="Times New Roman"/>
                <w:sz w:val="6"/>
                <w:szCs w:val="6"/>
                <w:color w:val="auto"/>
                <w:w w:val="73"/>
              </w:rPr>
              <w:t>Longitudtibia</w:t>
            </w:r>
          </w:p>
        </w:tc>
        <w:tc>
          <w:tcPr>
            <w:tcW w:w="1400" w:type="dxa"/>
            <w:vAlign w:val="bottom"/>
          </w:tcPr>
          <w:p>
            <w:pPr>
              <w:spacing w:after="0"/>
              <w:rPr>
                <w:sz w:val="19"/>
                <w:szCs w:val="19"/>
                <w:color w:val="auto"/>
              </w:rPr>
            </w:pPr>
          </w:p>
        </w:tc>
        <w:tc>
          <w:tcPr>
            <w:tcW w:w="1200" w:type="dxa"/>
            <w:vAlign w:val="bottom"/>
          </w:tcPr>
          <w:p>
            <w:pPr>
              <w:spacing w:after="0"/>
              <w:rPr>
                <w:sz w:val="19"/>
                <w:szCs w:val="19"/>
                <w:color w:val="auto"/>
              </w:rPr>
            </w:pPr>
          </w:p>
        </w:tc>
        <w:tc>
          <w:tcPr>
            <w:tcW w:w="1420" w:type="dxa"/>
            <w:vAlign w:val="bottom"/>
          </w:tcPr>
          <w:p>
            <w:pPr>
              <w:spacing w:after="0"/>
              <w:rPr>
                <w:sz w:val="19"/>
                <w:szCs w:val="19"/>
                <w:color w:val="auto"/>
              </w:rPr>
            </w:pPr>
          </w:p>
        </w:tc>
        <w:tc>
          <w:tcPr>
            <w:tcW w:w="1560" w:type="dxa"/>
            <w:vAlign w:val="bottom"/>
            <w:gridSpan w:val="2"/>
            <w:vMerge w:val="restart"/>
          </w:tcPr>
          <w:p>
            <w:pPr>
              <w:ind w:left="680"/>
              <w:spacing w:after="0"/>
              <w:rPr>
                <w:sz w:val="20"/>
                <w:szCs w:val="20"/>
                <w:color w:val="auto"/>
              </w:rPr>
            </w:pPr>
            <w:r>
              <w:rPr>
                <w:rFonts w:ascii="Times New Roman" w:cs="Times New Roman" w:eastAsia="Times New Roman" w:hAnsi="Times New Roman"/>
                <w:sz w:val="14"/>
                <w:szCs w:val="14"/>
                <w:i w:val="1"/>
                <w:iCs w:val="1"/>
                <w:color w:val="auto"/>
              </w:rPr>
              <w:t>12 S. aeneus</w:t>
            </w:r>
          </w:p>
        </w:tc>
        <w:tc>
          <w:tcPr>
            <w:tcW w:w="0" w:type="dxa"/>
            <w:vAlign w:val="bottom"/>
          </w:tcPr>
          <w:p>
            <w:pPr>
              <w:spacing w:after="0"/>
              <w:rPr>
                <w:sz w:val="1"/>
                <w:szCs w:val="1"/>
                <w:color w:val="auto"/>
              </w:rPr>
            </w:pPr>
          </w:p>
        </w:tc>
      </w:tr>
      <w:tr>
        <w:trPr>
          <w:trHeight w:val="46"/>
        </w:trPr>
        <w:tc>
          <w:tcPr>
            <w:tcW w:w="140" w:type="dxa"/>
            <w:vAlign w:val="bottom"/>
          </w:tcPr>
          <w:p>
            <w:pPr>
              <w:spacing w:after="0"/>
              <w:rPr>
                <w:sz w:val="4"/>
                <w:szCs w:val="4"/>
                <w:color w:val="auto"/>
              </w:rPr>
            </w:pPr>
          </w:p>
        </w:tc>
        <w:tc>
          <w:tcPr>
            <w:tcW w:w="1020" w:type="dxa"/>
            <w:vAlign w:val="bottom"/>
          </w:tcPr>
          <w:p>
            <w:pPr>
              <w:spacing w:after="0"/>
              <w:rPr>
                <w:sz w:val="4"/>
                <w:szCs w:val="4"/>
                <w:color w:val="auto"/>
              </w:rPr>
            </w:pPr>
          </w:p>
        </w:tc>
        <w:tc>
          <w:tcPr>
            <w:tcW w:w="1400" w:type="dxa"/>
            <w:vAlign w:val="bottom"/>
          </w:tcPr>
          <w:p>
            <w:pPr>
              <w:spacing w:after="0"/>
              <w:rPr>
                <w:sz w:val="4"/>
                <w:szCs w:val="4"/>
                <w:color w:val="auto"/>
              </w:rPr>
            </w:pPr>
          </w:p>
        </w:tc>
        <w:tc>
          <w:tcPr>
            <w:tcW w:w="1200" w:type="dxa"/>
            <w:vAlign w:val="bottom"/>
          </w:tcPr>
          <w:p>
            <w:pPr>
              <w:spacing w:after="0"/>
              <w:rPr>
                <w:sz w:val="4"/>
                <w:szCs w:val="4"/>
                <w:color w:val="auto"/>
              </w:rPr>
            </w:pPr>
          </w:p>
        </w:tc>
        <w:tc>
          <w:tcPr>
            <w:tcW w:w="1420" w:type="dxa"/>
            <w:vAlign w:val="bottom"/>
          </w:tcPr>
          <w:p>
            <w:pPr>
              <w:spacing w:after="0"/>
              <w:rPr>
                <w:sz w:val="4"/>
                <w:szCs w:val="4"/>
                <w:color w:val="auto"/>
              </w:rPr>
            </w:pPr>
          </w:p>
        </w:tc>
        <w:tc>
          <w:tcPr>
            <w:tcW w:w="1560" w:type="dxa"/>
            <w:vAlign w:val="bottom"/>
            <w:gridSpan w:val="2"/>
            <w:vMerge w:val="continue"/>
          </w:tcPr>
          <w:p>
            <w:pPr>
              <w:spacing w:after="0"/>
              <w:rPr>
                <w:sz w:val="4"/>
                <w:szCs w:val="4"/>
                <w:color w:val="auto"/>
              </w:rPr>
            </w:pPr>
          </w:p>
        </w:tc>
        <w:tc>
          <w:tcPr>
            <w:tcW w:w="0" w:type="dxa"/>
            <w:vAlign w:val="bottom"/>
          </w:tcPr>
          <w:p>
            <w:pPr>
              <w:spacing w:after="0"/>
              <w:rPr>
                <w:sz w:val="1"/>
                <w:szCs w:val="1"/>
                <w:color w:val="auto"/>
              </w:rPr>
            </w:pPr>
          </w:p>
        </w:tc>
      </w:tr>
      <w:tr>
        <w:trPr>
          <w:trHeight w:val="230"/>
        </w:trPr>
        <w:tc>
          <w:tcPr>
            <w:tcW w:w="140" w:type="dxa"/>
            <w:vAlign w:val="bottom"/>
          </w:tcPr>
          <w:p>
            <w:pPr>
              <w:spacing w:after="0"/>
              <w:rPr>
                <w:sz w:val="20"/>
                <w:szCs w:val="20"/>
                <w:color w:val="auto"/>
              </w:rPr>
            </w:pPr>
          </w:p>
        </w:tc>
        <w:tc>
          <w:tcPr>
            <w:tcW w:w="1020" w:type="dxa"/>
            <w:vAlign w:val="bottom"/>
          </w:tcPr>
          <w:p>
            <w:pPr>
              <w:spacing w:after="0"/>
              <w:rPr>
                <w:sz w:val="20"/>
                <w:szCs w:val="20"/>
                <w:color w:val="auto"/>
              </w:rPr>
            </w:pPr>
          </w:p>
        </w:tc>
        <w:tc>
          <w:tcPr>
            <w:tcW w:w="1400" w:type="dxa"/>
            <w:vAlign w:val="bottom"/>
          </w:tcPr>
          <w:p>
            <w:pPr>
              <w:spacing w:after="0"/>
              <w:rPr>
                <w:sz w:val="20"/>
                <w:szCs w:val="20"/>
                <w:color w:val="auto"/>
              </w:rPr>
            </w:pPr>
          </w:p>
        </w:tc>
        <w:tc>
          <w:tcPr>
            <w:tcW w:w="1200" w:type="dxa"/>
            <w:vAlign w:val="bottom"/>
          </w:tcPr>
          <w:p>
            <w:pPr>
              <w:spacing w:after="0"/>
              <w:rPr>
                <w:sz w:val="20"/>
                <w:szCs w:val="20"/>
                <w:color w:val="auto"/>
              </w:rPr>
            </w:pPr>
          </w:p>
        </w:tc>
        <w:tc>
          <w:tcPr>
            <w:tcW w:w="1420" w:type="dxa"/>
            <w:vAlign w:val="bottom"/>
          </w:tcPr>
          <w:p>
            <w:pPr>
              <w:spacing w:after="0"/>
              <w:rPr>
                <w:sz w:val="20"/>
                <w:szCs w:val="20"/>
                <w:color w:val="auto"/>
              </w:rPr>
            </w:pPr>
          </w:p>
        </w:tc>
        <w:tc>
          <w:tcPr>
            <w:tcW w:w="1560" w:type="dxa"/>
            <w:vAlign w:val="bottom"/>
            <w:gridSpan w:val="2"/>
          </w:tcPr>
          <w:p>
            <w:pPr>
              <w:ind w:left="680"/>
              <w:spacing w:after="0"/>
              <w:rPr>
                <w:sz w:val="20"/>
                <w:szCs w:val="20"/>
                <w:color w:val="auto"/>
              </w:rPr>
            </w:pPr>
            <w:r>
              <w:rPr>
                <w:rFonts w:ascii="Times New Roman" w:cs="Times New Roman" w:eastAsia="Times New Roman" w:hAnsi="Times New Roman"/>
                <w:sz w:val="14"/>
                <w:szCs w:val="14"/>
                <w:i w:val="1"/>
                <w:iCs w:val="1"/>
                <w:color w:val="auto"/>
              </w:rPr>
              <w:t>13 S. scalaris</w:t>
            </w:r>
          </w:p>
        </w:tc>
        <w:tc>
          <w:tcPr>
            <w:tcW w:w="0" w:type="dxa"/>
            <w:vAlign w:val="bottom"/>
          </w:tcPr>
          <w:p>
            <w:pPr>
              <w:spacing w:after="0"/>
              <w:rPr>
                <w:sz w:val="1"/>
                <w:szCs w:val="1"/>
                <w:color w:val="auto"/>
              </w:rPr>
            </w:pPr>
          </w:p>
        </w:tc>
      </w:tr>
      <w:tr>
        <w:trPr>
          <w:trHeight w:val="230"/>
        </w:trPr>
        <w:tc>
          <w:tcPr>
            <w:tcW w:w="140" w:type="dxa"/>
            <w:vAlign w:val="bottom"/>
          </w:tcPr>
          <w:p>
            <w:pPr>
              <w:spacing w:after="0"/>
              <w:rPr>
                <w:sz w:val="20"/>
                <w:szCs w:val="20"/>
                <w:color w:val="auto"/>
              </w:rPr>
            </w:pPr>
          </w:p>
        </w:tc>
        <w:tc>
          <w:tcPr>
            <w:tcW w:w="1020" w:type="dxa"/>
            <w:vAlign w:val="bottom"/>
          </w:tcPr>
          <w:p>
            <w:pPr>
              <w:jc w:val="right"/>
              <w:ind w:right="393"/>
              <w:spacing w:after="0"/>
              <w:rPr>
                <w:sz w:val="20"/>
                <w:szCs w:val="20"/>
                <w:color w:val="auto"/>
              </w:rPr>
            </w:pPr>
            <w:r>
              <w:rPr>
                <w:rFonts w:ascii="Times New Roman" w:cs="Times New Roman" w:eastAsia="Times New Roman" w:hAnsi="Times New Roman"/>
                <w:sz w:val="14"/>
                <w:szCs w:val="14"/>
                <w:color w:val="auto"/>
              </w:rPr>
              <w:t>-3.9</w:t>
            </w:r>
          </w:p>
        </w:tc>
        <w:tc>
          <w:tcPr>
            <w:tcW w:w="1400" w:type="dxa"/>
            <w:vAlign w:val="bottom"/>
          </w:tcPr>
          <w:p>
            <w:pPr>
              <w:spacing w:after="0"/>
              <w:rPr>
                <w:sz w:val="20"/>
                <w:szCs w:val="20"/>
                <w:color w:val="auto"/>
              </w:rPr>
            </w:pPr>
          </w:p>
        </w:tc>
        <w:tc>
          <w:tcPr>
            <w:tcW w:w="1200" w:type="dxa"/>
            <w:vAlign w:val="bottom"/>
          </w:tcPr>
          <w:p>
            <w:pPr>
              <w:spacing w:after="0"/>
              <w:rPr>
                <w:sz w:val="20"/>
                <w:szCs w:val="20"/>
                <w:color w:val="auto"/>
              </w:rPr>
            </w:pPr>
          </w:p>
        </w:tc>
        <w:tc>
          <w:tcPr>
            <w:tcW w:w="1420" w:type="dxa"/>
            <w:vAlign w:val="bottom"/>
          </w:tcPr>
          <w:p>
            <w:pPr>
              <w:spacing w:after="0"/>
              <w:rPr>
                <w:sz w:val="20"/>
                <w:szCs w:val="20"/>
                <w:color w:val="auto"/>
              </w:rPr>
            </w:pPr>
          </w:p>
        </w:tc>
        <w:tc>
          <w:tcPr>
            <w:tcW w:w="1560" w:type="dxa"/>
            <w:vAlign w:val="bottom"/>
            <w:gridSpan w:val="2"/>
          </w:tcPr>
          <w:p>
            <w:pPr>
              <w:ind w:left="680"/>
              <w:spacing w:after="0"/>
              <w:rPr>
                <w:sz w:val="20"/>
                <w:szCs w:val="20"/>
                <w:color w:val="auto"/>
              </w:rPr>
            </w:pPr>
            <w:r>
              <w:rPr>
                <w:rFonts w:ascii="Times New Roman" w:cs="Times New Roman" w:eastAsia="Times New Roman" w:hAnsi="Times New Roman"/>
                <w:sz w:val="14"/>
                <w:szCs w:val="14"/>
                <w:i w:val="1"/>
                <w:iCs w:val="1"/>
                <w:color w:val="auto"/>
              </w:rPr>
              <w:t>14 S. scalaris</w:t>
            </w:r>
          </w:p>
        </w:tc>
        <w:tc>
          <w:tcPr>
            <w:tcW w:w="0" w:type="dxa"/>
            <w:vAlign w:val="bottom"/>
          </w:tcPr>
          <w:p>
            <w:pPr>
              <w:spacing w:after="0"/>
              <w:rPr>
                <w:sz w:val="1"/>
                <w:szCs w:val="1"/>
                <w:color w:val="auto"/>
              </w:rPr>
            </w:pPr>
          </w:p>
        </w:tc>
      </w:tr>
      <w:tr>
        <w:trPr>
          <w:trHeight w:val="213"/>
        </w:trPr>
        <w:tc>
          <w:tcPr>
            <w:tcW w:w="140" w:type="dxa"/>
            <w:vAlign w:val="bottom"/>
          </w:tcPr>
          <w:p>
            <w:pPr>
              <w:spacing w:after="0"/>
              <w:rPr>
                <w:sz w:val="18"/>
                <w:szCs w:val="18"/>
                <w:color w:val="auto"/>
              </w:rPr>
            </w:pPr>
          </w:p>
        </w:tc>
        <w:tc>
          <w:tcPr>
            <w:tcW w:w="1020" w:type="dxa"/>
            <w:vAlign w:val="bottom"/>
          </w:tcPr>
          <w:p>
            <w:pPr>
              <w:jc w:val="right"/>
              <w:ind w:right="93"/>
              <w:spacing w:after="0"/>
              <w:rPr>
                <w:sz w:val="20"/>
                <w:szCs w:val="20"/>
                <w:color w:val="auto"/>
              </w:rPr>
            </w:pPr>
            <w:r>
              <w:rPr>
                <w:rFonts w:ascii="Times New Roman" w:cs="Times New Roman" w:eastAsia="Times New Roman" w:hAnsi="Times New Roman"/>
                <w:sz w:val="14"/>
                <w:szCs w:val="14"/>
                <w:color w:val="auto"/>
              </w:rPr>
              <w:t>-2.7</w:t>
            </w:r>
          </w:p>
        </w:tc>
        <w:tc>
          <w:tcPr>
            <w:tcW w:w="1400" w:type="dxa"/>
            <w:vAlign w:val="bottom"/>
          </w:tcPr>
          <w:p>
            <w:pPr>
              <w:jc w:val="right"/>
              <w:ind w:right="350"/>
              <w:spacing w:after="0"/>
              <w:rPr>
                <w:sz w:val="20"/>
                <w:szCs w:val="20"/>
                <w:color w:val="auto"/>
              </w:rPr>
            </w:pPr>
            <w:r>
              <w:rPr>
                <w:rFonts w:ascii="Times New Roman" w:cs="Times New Roman" w:eastAsia="Times New Roman" w:hAnsi="Times New Roman"/>
                <w:sz w:val="14"/>
                <w:szCs w:val="14"/>
                <w:color w:val="auto"/>
              </w:rPr>
              <w:t>-0.7</w:t>
            </w:r>
          </w:p>
        </w:tc>
        <w:tc>
          <w:tcPr>
            <w:tcW w:w="1200" w:type="dxa"/>
            <w:vAlign w:val="bottom"/>
          </w:tcPr>
          <w:p>
            <w:pPr>
              <w:jc w:val="right"/>
              <w:ind w:right="425"/>
              <w:spacing w:after="0"/>
              <w:rPr>
                <w:sz w:val="20"/>
                <w:szCs w:val="20"/>
                <w:color w:val="auto"/>
              </w:rPr>
            </w:pPr>
            <w:r>
              <w:rPr>
                <w:rFonts w:ascii="Times New Roman" w:cs="Times New Roman" w:eastAsia="Times New Roman" w:hAnsi="Times New Roman"/>
                <w:sz w:val="14"/>
                <w:szCs w:val="14"/>
                <w:color w:val="auto"/>
              </w:rPr>
              <w:t>1.3</w:t>
            </w:r>
          </w:p>
        </w:tc>
        <w:tc>
          <w:tcPr>
            <w:tcW w:w="1420" w:type="dxa"/>
            <w:vAlign w:val="bottom"/>
          </w:tcPr>
          <w:p>
            <w:pPr>
              <w:ind w:left="440"/>
              <w:spacing w:after="0"/>
              <w:rPr>
                <w:sz w:val="20"/>
                <w:szCs w:val="20"/>
                <w:color w:val="auto"/>
              </w:rPr>
            </w:pPr>
            <w:r>
              <w:rPr>
                <w:rFonts w:ascii="Times New Roman" w:cs="Times New Roman" w:eastAsia="Times New Roman" w:hAnsi="Times New Roman"/>
                <w:sz w:val="14"/>
                <w:szCs w:val="14"/>
                <w:color w:val="auto"/>
              </w:rPr>
              <w:t>3.3</w:t>
            </w:r>
          </w:p>
        </w:tc>
        <w:tc>
          <w:tcPr>
            <w:tcW w:w="780" w:type="dxa"/>
            <w:vAlign w:val="bottom"/>
          </w:tcPr>
          <w:p>
            <w:pPr>
              <w:ind w:left="140"/>
              <w:spacing w:after="0"/>
              <w:rPr>
                <w:sz w:val="20"/>
                <w:szCs w:val="20"/>
                <w:color w:val="auto"/>
              </w:rPr>
            </w:pPr>
            <w:r>
              <w:rPr>
                <w:rFonts w:ascii="Times New Roman" w:cs="Times New Roman" w:eastAsia="Times New Roman" w:hAnsi="Times New Roman"/>
                <w:sz w:val="14"/>
                <w:szCs w:val="14"/>
                <w:color w:val="auto"/>
              </w:rPr>
              <w:t>5.3</w:t>
            </w:r>
          </w:p>
        </w:tc>
        <w:tc>
          <w:tcPr>
            <w:tcW w:w="780" w:type="dxa"/>
            <w:vAlign w:val="bottom"/>
          </w:tcPr>
          <w:p>
            <w:pPr>
              <w:spacing w:after="0"/>
              <w:rPr>
                <w:sz w:val="18"/>
                <w:szCs w:val="18"/>
                <w:color w:val="auto"/>
              </w:rPr>
            </w:pPr>
          </w:p>
        </w:tc>
        <w:tc>
          <w:tcPr>
            <w:tcW w:w="0" w:type="dxa"/>
            <w:vAlign w:val="bottom"/>
          </w:tcPr>
          <w:p>
            <w:pPr>
              <w:spacing w:after="0"/>
              <w:rPr>
                <w:sz w:val="1"/>
                <w:szCs w:val="1"/>
                <w:color w:val="auto"/>
              </w:rPr>
            </w:pPr>
          </w:p>
        </w:tc>
      </w:tr>
      <w:tr>
        <w:trPr>
          <w:trHeight w:val="270"/>
        </w:trPr>
        <w:tc>
          <w:tcPr>
            <w:tcW w:w="140" w:type="dxa"/>
            <w:vAlign w:val="bottom"/>
          </w:tcPr>
          <w:p>
            <w:pPr>
              <w:spacing w:after="0"/>
              <w:rPr>
                <w:sz w:val="23"/>
                <w:szCs w:val="23"/>
                <w:color w:val="auto"/>
              </w:rPr>
            </w:pPr>
          </w:p>
        </w:tc>
        <w:tc>
          <w:tcPr>
            <w:tcW w:w="1020" w:type="dxa"/>
            <w:vAlign w:val="bottom"/>
          </w:tcPr>
          <w:p>
            <w:pPr>
              <w:spacing w:after="0"/>
              <w:rPr>
                <w:sz w:val="23"/>
                <w:szCs w:val="23"/>
                <w:color w:val="auto"/>
              </w:rPr>
            </w:pPr>
          </w:p>
        </w:tc>
        <w:tc>
          <w:tcPr>
            <w:tcW w:w="1400" w:type="dxa"/>
            <w:vAlign w:val="bottom"/>
          </w:tcPr>
          <w:p>
            <w:pPr>
              <w:jc w:val="right"/>
              <w:ind w:right="410"/>
              <w:spacing w:after="0"/>
              <w:rPr>
                <w:sz w:val="20"/>
                <w:szCs w:val="20"/>
                <w:color w:val="auto"/>
              </w:rPr>
            </w:pPr>
            <w:r>
              <w:rPr>
                <w:rFonts w:ascii="Times New Roman" w:cs="Times New Roman" w:eastAsia="Times New Roman" w:hAnsi="Times New Roman"/>
                <w:sz w:val="14"/>
                <w:szCs w:val="14"/>
                <w:color w:val="auto"/>
              </w:rPr>
              <w:t>Longitud tibia</w:t>
            </w:r>
          </w:p>
        </w:tc>
        <w:tc>
          <w:tcPr>
            <w:tcW w:w="1200" w:type="dxa"/>
            <w:vAlign w:val="bottom"/>
          </w:tcPr>
          <w:p>
            <w:pPr>
              <w:jc w:val="center"/>
              <w:spacing w:after="0"/>
              <w:rPr>
                <w:sz w:val="20"/>
                <w:szCs w:val="20"/>
                <w:color w:val="auto"/>
              </w:rPr>
            </w:pPr>
            <w:r>
              <w:rPr>
                <w:rFonts w:ascii="Times New Roman" w:cs="Times New Roman" w:eastAsia="Times New Roman" w:hAnsi="Times New Roman"/>
                <w:sz w:val="16"/>
                <w:szCs w:val="16"/>
                <w:b w:val="1"/>
                <w:bCs w:val="1"/>
                <w:color w:val="auto"/>
              </w:rPr>
              <w:t>FD 1</w:t>
            </w:r>
          </w:p>
        </w:tc>
        <w:tc>
          <w:tcPr>
            <w:tcW w:w="1420" w:type="dxa"/>
            <w:vAlign w:val="bottom"/>
          </w:tcPr>
          <w:p>
            <w:pPr>
              <w:ind w:left="420"/>
              <w:spacing w:after="0"/>
              <w:rPr>
                <w:sz w:val="20"/>
                <w:szCs w:val="20"/>
                <w:color w:val="auto"/>
              </w:rPr>
            </w:pPr>
            <w:r>
              <w:rPr>
                <w:rFonts w:ascii="Times New Roman" w:cs="Times New Roman" w:eastAsia="Times New Roman" w:hAnsi="Times New Roman"/>
                <w:sz w:val="14"/>
                <w:szCs w:val="14"/>
                <w:color w:val="auto"/>
              </w:rPr>
              <w:t>Longitud fémur</w:t>
            </w:r>
          </w:p>
        </w:tc>
        <w:tc>
          <w:tcPr>
            <w:tcW w:w="780" w:type="dxa"/>
            <w:vAlign w:val="bottom"/>
          </w:tcPr>
          <w:p>
            <w:pPr>
              <w:spacing w:after="0"/>
              <w:rPr>
                <w:sz w:val="23"/>
                <w:szCs w:val="23"/>
                <w:color w:val="auto"/>
              </w:rPr>
            </w:pPr>
          </w:p>
        </w:tc>
        <w:tc>
          <w:tcPr>
            <w:tcW w:w="780" w:type="dxa"/>
            <w:vAlign w:val="bottom"/>
          </w:tcPr>
          <w:p>
            <w:pPr>
              <w:spacing w:after="0"/>
              <w:rPr>
                <w:sz w:val="23"/>
                <w:szCs w:val="23"/>
                <w:color w:val="auto"/>
              </w:rPr>
            </w:pPr>
          </w:p>
        </w:tc>
        <w:tc>
          <w:tcPr>
            <w:tcW w:w="0" w:type="dxa"/>
            <w:vAlign w:val="bottom"/>
          </w:tcPr>
          <w:p>
            <w:pPr>
              <w:spacing w:after="0"/>
              <w:rPr>
                <w:sz w:val="1"/>
                <w:szCs w:val="1"/>
                <w:color w:val="auto"/>
              </w:rPr>
            </w:pPr>
          </w:p>
        </w:tc>
      </w:tr>
    </w:tbl>
    <w:p>
      <w:pPr>
        <w:spacing w:after="0" w:line="310" w:lineRule="exact"/>
        <w:rPr>
          <w:sz w:val="20"/>
          <w:szCs w:val="20"/>
          <w:color w:val="auto"/>
        </w:rPr>
      </w:pPr>
    </w:p>
    <w:p>
      <w:pPr>
        <w:jc w:val="both"/>
        <w:spacing w:after="0" w:line="295" w:lineRule="auto"/>
        <w:rPr>
          <w:sz w:val="20"/>
          <w:szCs w:val="20"/>
          <w:color w:val="auto"/>
        </w:rPr>
      </w:pPr>
      <w:r>
        <w:rPr>
          <w:rFonts w:ascii="Times New Roman" w:cs="Times New Roman" w:eastAsia="Times New Roman" w:hAnsi="Times New Roman"/>
          <w:sz w:val="16"/>
          <w:szCs w:val="16"/>
          <w:color w:val="auto"/>
        </w:rPr>
        <w:t>FD1 contra FD2 de las siete especies de estudio considerando la variable combinada sexo/especie y los ocho residuales de las variables morfométricas, donde se observa que no existe diformismo sexual entre las especies. Las líneas punteadas y los números impares representan a las hembras; las líneas continuas y los números pares simbolizan a los machos (Fuente: Suárez, 2010).</w:t>
      </w:r>
    </w:p>
    <w:p>
      <w:pPr>
        <w:spacing w:after="0" w:line="200" w:lineRule="exact"/>
        <w:rPr>
          <w:sz w:val="20"/>
          <w:szCs w:val="20"/>
          <w:color w:val="auto"/>
        </w:rPr>
      </w:pPr>
    </w:p>
    <w:p>
      <w:pPr>
        <w:spacing w:after="0" w:line="279" w:lineRule="exact"/>
        <w:rPr>
          <w:sz w:val="20"/>
          <w:szCs w:val="20"/>
          <w:color w:val="auto"/>
        </w:rPr>
      </w:pPr>
    </w:p>
    <w:p>
      <w:pPr>
        <w:jc w:val="both"/>
        <w:spacing w:after="0" w:line="358" w:lineRule="auto"/>
        <w:rPr>
          <w:sz w:val="20"/>
          <w:szCs w:val="20"/>
          <w:color w:val="auto"/>
        </w:rPr>
      </w:pPr>
      <w:r>
        <w:rPr>
          <w:rFonts w:ascii="Times New Roman" w:cs="Times New Roman" w:eastAsia="Times New Roman" w:hAnsi="Times New Roman"/>
          <w:sz w:val="20"/>
          <w:szCs w:val="20"/>
          <w:color w:val="auto"/>
        </w:rPr>
        <w:t xml:space="preserve">Cabe mencionar que para los casos de </w:t>
      </w:r>
      <w:r>
        <w:rPr>
          <w:rFonts w:ascii="Times New Roman" w:cs="Times New Roman" w:eastAsia="Times New Roman" w:hAnsi="Times New Roman"/>
          <w:sz w:val="20"/>
          <w:szCs w:val="20"/>
          <w:i w:val="1"/>
          <w:iCs w:val="1"/>
          <w:color w:val="auto"/>
        </w:rPr>
        <w:t>A. costata</w:t>
      </w:r>
      <w:r>
        <w:rPr>
          <w:rFonts w:ascii="Times New Roman" w:cs="Times New Roman" w:eastAsia="Times New Roman" w:hAnsi="Times New Roman"/>
          <w:sz w:val="20"/>
          <w:szCs w:val="20"/>
          <w:color w:val="auto"/>
        </w:rPr>
        <w:t xml:space="preserve"> y </w:t>
      </w:r>
      <w:r>
        <w:rPr>
          <w:rFonts w:ascii="Times New Roman" w:cs="Times New Roman" w:eastAsia="Times New Roman" w:hAnsi="Times New Roman"/>
          <w:sz w:val="20"/>
          <w:szCs w:val="20"/>
          <w:i w:val="1"/>
          <w:iCs w:val="1"/>
          <w:color w:val="auto"/>
        </w:rPr>
        <w:t>S. scalaris,</w:t>
      </w:r>
      <w:r>
        <w:rPr>
          <w:rFonts w:ascii="Times New Roman" w:cs="Times New Roman" w:eastAsia="Times New Roman" w:hAnsi="Times New Roman"/>
          <w:sz w:val="20"/>
          <w:szCs w:val="20"/>
          <w:color w:val="auto"/>
        </w:rPr>
        <w:t xml:space="preserve"> donde se obtuvieron en las colectas un macho por especie, y para </w:t>
      </w:r>
      <w:r>
        <w:rPr>
          <w:rFonts w:ascii="Times New Roman" w:cs="Times New Roman" w:eastAsia="Times New Roman" w:hAnsi="Times New Roman"/>
          <w:sz w:val="20"/>
          <w:szCs w:val="20"/>
          <w:i w:val="1"/>
          <w:iCs w:val="1"/>
          <w:color w:val="auto"/>
        </w:rPr>
        <w:t>S. grammicus,</w:t>
      </w:r>
      <w:r>
        <w:rPr>
          <w:rFonts w:ascii="Times New Roman" w:cs="Times New Roman" w:eastAsia="Times New Roman" w:hAnsi="Times New Roman"/>
          <w:sz w:val="20"/>
          <w:szCs w:val="20"/>
          <w:color w:val="auto"/>
        </w:rPr>
        <w:t xml:space="preserve"> en el que se consiguió una hembra, debido a que el tamaño de muestra no es significativo, los resultados no son</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97"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32" name="Shape 13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32" o:spid="_x0000_s115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33" name="Shape 13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33" o:spid="_x0000_s115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34" name="Shape 13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34" o:spid="_x0000_s115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63" w:name="page64"/>
    <w:bookmarkEnd w:id="63"/>
    <w:p>
      <w:pPr>
        <w:ind w:left="1080"/>
        <w:spacing w:after="0"/>
        <w:tabs>
          <w:tab w:leader="dot" w:pos="7020" w:val="left"/>
        </w:tabs>
        <w:rPr>
          <w:sz w:val="20"/>
          <w:szCs w:val="20"/>
          <w:color w:val="auto"/>
        </w:rPr>
      </w:pPr>
      <w:r>
        <w:rPr>
          <w:rFonts w:ascii="Arial Narrow" w:cs="Arial Narrow" w:eastAsia="Arial Narrow" w:hAnsi="Arial Narrow"/>
          <w:sz w:val="11"/>
          <w:szCs w:val="11"/>
          <w:color w:val="auto"/>
        </w:rPr>
        <w:t>morfología corporal y comparación de la velocidad de escape en algunas especies</w:t>
      </w:r>
      <w:r>
        <w:rPr>
          <w:sz w:val="20"/>
          <w:szCs w:val="20"/>
          <w:color w:val="auto"/>
        </w:rPr>
        <w:tab/>
      </w:r>
      <w:r>
        <w:rPr>
          <w:rFonts w:ascii="Arial Narrow" w:cs="Arial Narrow" w:eastAsia="Arial Narrow" w:hAnsi="Arial Narrow"/>
          <w:sz w:val="16"/>
          <w:szCs w:val="16"/>
          <w:color w:val="auto"/>
        </w:rPr>
        <w:t>63</w:t>
      </w:r>
    </w:p>
    <w:p>
      <w:pPr>
        <w:spacing w:after="0" w:line="200" w:lineRule="exact"/>
        <w:rPr>
          <w:sz w:val="20"/>
          <w:szCs w:val="20"/>
          <w:color w:val="auto"/>
        </w:rPr>
      </w:pPr>
    </w:p>
    <w:p>
      <w:pPr>
        <w:spacing w:after="0" w:line="349" w:lineRule="exact"/>
        <w:rPr>
          <w:sz w:val="20"/>
          <w:szCs w:val="20"/>
          <w:color w:val="auto"/>
        </w:rPr>
      </w:pPr>
    </w:p>
    <w:p>
      <w:pPr>
        <w:jc w:val="both"/>
        <w:spacing w:after="0" w:line="315" w:lineRule="auto"/>
        <w:rPr>
          <w:sz w:val="20"/>
          <w:szCs w:val="20"/>
          <w:color w:val="auto"/>
        </w:rPr>
      </w:pPr>
      <w:r>
        <w:rPr>
          <w:rFonts w:ascii="Times New Roman" w:cs="Times New Roman" w:eastAsia="Times New Roman" w:hAnsi="Times New Roman"/>
          <w:sz w:val="22"/>
          <w:szCs w:val="22"/>
          <w:color w:val="auto"/>
        </w:rPr>
        <w:t>representativos estadísticamente y, por lo tanto, no son concluyentes, por lo que para estas tres especies las diferencias entre sexos respecto a las extremidades posiblemente es un argumento visual.</w:t>
      </w:r>
    </w:p>
    <w:p>
      <w:pPr>
        <w:spacing w:after="0" w:line="200" w:lineRule="exact"/>
        <w:rPr>
          <w:sz w:val="20"/>
          <w:szCs w:val="20"/>
          <w:color w:val="auto"/>
        </w:rPr>
      </w:pPr>
    </w:p>
    <w:p>
      <w:pPr>
        <w:spacing w:after="0" w:line="200" w:lineRule="exact"/>
        <w:rPr>
          <w:sz w:val="20"/>
          <w:szCs w:val="20"/>
          <w:color w:val="auto"/>
        </w:rPr>
      </w:pPr>
    </w:p>
    <w:p>
      <w:pPr>
        <w:spacing w:after="0" w:line="204"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Velocidad de escape</w:t>
      </w:r>
    </w:p>
    <w:p>
      <w:pPr>
        <w:spacing w:after="0" w:line="387" w:lineRule="exact"/>
        <w:rPr>
          <w:sz w:val="20"/>
          <w:szCs w:val="20"/>
          <w:color w:val="auto"/>
        </w:rPr>
      </w:pPr>
    </w:p>
    <w:p>
      <w:pPr>
        <w:jc w:val="both"/>
        <w:spacing w:after="0" w:line="284" w:lineRule="auto"/>
        <w:rPr>
          <w:sz w:val="20"/>
          <w:szCs w:val="20"/>
          <w:color w:val="auto"/>
        </w:rPr>
      </w:pPr>
      <w:r>
        <w:rPr>
          <w:rFonts w:ascii="Times New Roman" w:cs="Times New Roman" w:eastAsia="Times New Roman" w:hAnsi="Times New Roman"/>
          <w:sz w:val="22"/>
          <w:szCs w:val="22"/>
          <w:color w:val="auto"/>
        </w:rPr>
        <w:t>La media de la velocidad de escape individual de todas las especies analizadas tuvo variaciones que van desde 12.67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color w:val="auto"/>
        </w:rPr>
        <w:t xml:space="preserve"> (S</w:t>
      </w:r>
      <w:r>
        <w:rPr>
          <w:rFonts w:ascii="Times New Roman" w:cs="Times New Roman" w:eastAsia="Times New Roman" w:hAnsi="Times New Roman"/>
          <w:sz w:val="22"/>
          <w:szCs w:val="22"/>
          <w:i w:val="1"/>
          <w:iCs w:val="1"/>
          <w:color w:val="auto"/>
        </w:rPr>
        <w:t>. aeneus)</w:t>
      </w:r>
      <w:r>
        <w:rPr>
          <w:rFonts w:ascii="Times New Roman" w:cs="Times New Roman" w:eastAsia="Times New Roman" w:hAnsi="Times New Roman"/>
          <w:sz w:val="22"/>
          <w:szCs w:val="22"/>
          <w:color w:val="auto"/>
        </w:rPr>
        <w:t xml:space="preserve"> hasta 103.08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A. costata</w:t>
      </w:r>
      <w:r>
        <w:rPr>
          <w:rFonts w:ascii="Times New Roman" w:cs="Times New Roman" w:eastAsia="Times New Roman" w:hAnsi="Times New Roman"/>
          <w:sz w:val="22"/>
          <w:szCs w:val="22"/>
          <w:color w:val="auto"/>
        </w:rPr>
        <w:t>). Ambos valores representan una diferencia de 90.41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color w:val="auto"/>
        </w:rPr>
        <w:t xml:space="preserve"> en la velocidad de escape de las diferentes especies (cuadro 2).</w:t>
      </w:r>
    </w:p>
    <w:p>
      <w:pPr>
        <w:spacing w:after="0" w:line="1" w:lineRule="exact"/>
        <w:rPr>
          <w:sz w:val="20"/>
          <w:szCs w:val="20"/>
          <w:color w:val="auto"/>
        </w:rPr>
      </w:pPr>
    </w:p>
    <w:p>
      <w:pPr>
        <w:jc w:val="both"/>
        <w:ind w:firstLine="360"/>
        <w:spacing w:after="0" w:line="278" w:lineRule="auto"/>
        <w:rPr>
          <w:sz w:val="20"/>
          <w:szCs w:val="20"/>
          <w:color w:val="auto"/>
        </w:rPr>
      </w:pPr>
      <w:r>
        <w:rPr>
          <w:rFonts w:ascii="Times New Roman" w:cs="Times New Roman" w:eastAsia="Times New Roman" w:hAnsi="Times New Roman"/>
          <w:sz w:val="22"/>
          <w:szCs w:val="22"/>
          <w:color w:val="auto"/>
        </w:rPr>
        <w:t>El Ancova reveló que existen diferencias significativas en la media de la velocidad entre las siete especies (</w:t>
      </w:r>
      <w:r>
        <w:rPr>
          <w:rFonts w:ascii="Times New Roman" w:cs="Times New Roman" w:eastAsia="Times New Roman" w:hAnsi="Times New Roman"/>
          <w:sz w:val="22"/>
          <w:szCs w:val="22"/>
          <w:i w:val="1"/>
          <w:iCs w:val="1"/>
          <w:color w:val="auto"/>
        </w:rPr>
        <w:t>F</w:t>
      </w:r>
      <w:r>
        <w:rPr>
          <w:rFonts w:ascii="Times New Roman" w:cs="Times New Roman" w:eastAsia="Times New Roman" w:hAnsi="Times New Roman"/>
          <w:sz w:val="22"/>
          <w:szCs w:val="22"/>
          <w:color w:val="auto"/>
        </w:rPr>
        <w:t xml:space="preserve"> = 21.41, </w:t>
      </w:r>
      <w:r>
        <w:rPr>
          <w:rFonts w:ascii="Times New Roman" w:cs="Times New Roman" w:eastAsia="Times New Roman" w:hAnsi="Times New Roman"/>
          <w:sz w:val="22"/>
          <w:szCs w:val="22"/>
          <w:i w:val="1"/>
          <w:iCs w:val="1"/>
          <w:color w:val="auto"/>
        </w:rPr>
        <w:t>gl</w:t>
      </w:r>
      <w:r>
        <w:rPr>
          <w:rFonts w:ascii="Times New Roman" w:cs="Times New Roman" w:eastAsia="Times New Roman" w:hAnsi="Times New Roman"/>
          <w:sz w:val="22"/>
          <w:szCs w:val="22"/>
          <w:color w:val="auto"/>
        </w:rPr>
        <w:t xml:space="preserve"> = 7, </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2"/>
          <w:szCs w:val="22"/>
          <w:color w:val="auto"/>
        </w:rPr>
        <w:t xml:space="preserve"> = 0.000); no obstante, se obtuvieron tres grupos con velocidades similares: 1) el primer grupo incluye a </w:t>
      </w:r>
      <w:r>
        <w:rPr>
          <w:rFonts w:ascii="Times New Roman" w:cs="Times New Roman" w:eastAsia="Times New Roman" w:hAnsi="Times New Roman"/>
          <w:sz w:val="22"/>
          <w:szCs w:val="22"/>
          <w:i w:val="1"/>
          <w:iCs w:val="1"/>
          <w:color w:val="auto"/>
        </w:rPr>
        <w:t>S. bicanthalis</w:t>
      </w:r>
      <w:r>
        <w:rPr>
          <w:rFonts w:ascii="Times New Roman" w:cs="Times New Roman" w:eastAsia="Times New Roman" w:hAnsi="Times New Roman"/>
          <w:sz w:val="22"/>
          <w:szCs w:val="22"/>
          <w:color w:val="auto"/>
        </w:rPr>
        <w:t xml:space="preserve"> con una velocidad de 39.91 ±3.73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i w:val="1"/>
          <w:iCs w:val="1"/>
          <w:color w:val="auto"/>
        </w:rPr>
        <w:t>, S. aeneus</w:t>
      </w:r>
      <w:r>
        <w:rPr>
          <w:rFonts w:ascii="Times New Roman" w:cs="Times New Roman" w:eastAsia="Times New Roman" w:hAnsi="Times New Roman"/>
          <w:sz w:val="22"/>
          <w:szCs w:val="22"/>
          <w:color w:val="auto"/>
        </w:rPr>
        <w:t xml:space="preserve"> (El Mapa) con una velocidad de 35.02 ±3.73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i w:val="1"/>
          <w:iCs w:val="1"/>
          <w:color w:val="auto"/>
        </w:rPr>
        <w:t>, S. aeneus</w:t>
      </w:r>
      <w:r>
        <w:rPr>
          <w:rFonts w:ascii="Times New Roman" w:cs="Times New Roman" w:eastAsia="Times New Roman" w:hAnsi="Times New Roman"/>
          <w:sz w:val="22"/>
          <w:szCs w:val="22"/>
          <w:color w:val="auto"/>
        </w:rPr>
        <w:t xml:space="preserve"> (Parque Hermenegildo Galeana) con una velocidad de 23.12 ±2.51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y S. scalaris</w:t>
      </w:r>
      <w:r>
        <w:rPr>
          <w:rFonts w:ascii="Times New Roman" w:cs="Times New Roman" w:eastAsia="Times New Roman" w:hAnsi="Times New Roman"/>
          <w:sz w:val="22"/>
          <w:szCs w:val="22"/>
          <w:color w:val="auto"/>
        </w:rPr>
        <w:t xml:space="preserve"> con una velocidad de 30.50 ±5.57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color w:val="auto"/>
        </w:rPr>
        <w:t xml:space="preserve">; 2) el segundo se conforma por las especies </w:t>
      </w:r>
      <w:r>
        <w:rPr>
          <w:rFonts w:ascii="Times New Roman" w:cs="Times New Roman" w:eastAsia="Times New Roman" w:hAnsi="Times New Roman"/>
          <w:sz w:val="22"/>
          <w:szCs w:val="22"/>
          <w:i w:val="1"/>
          <w:iCs w:val="1"/>
          <w:color w:val="auto"/>
        </w:rPr>
        <w:t>B. imbricata</w:t>
      </w:r>
      <w:r>
        <w:rPr>
          <w:rFonts w:ascii="Times New Roman" w:cs="Times New Roman" w:eastAsia="Times New Roman" w:hAnsi="Times New Roman"/>
          <w:sz w:val="22"/>
          <w:szCs w:val="22"/>
          <w:color w:val="auto"/>
        </w:rPr>
        <w:t xml:space="preserve"> con una velocidad de escape de 53.37 ±3.47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P. orbiculare</w:t>
      </w:r>
      <w:r>
        <w:rPr>
          <w:rFonts w:ascii="Times New Roman" w:cs="Times New Roman" w:eastAsia="Times New Roman" w:hAnsi="Times New Roman"/>
          <w:sz w:val="22"/>
          <w:szCs w:val="22"/>
          <w:color w:val="auto"/>
        </w:rPr>
        <w:t xml:space="preserve"> con una velocidad de 58.32 ±4.08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i w:val="1"/>
          <w:iCs w:val="1"/>
          <w:color w:val="auto"/>
        </w:rPr>
        <w:t>,</w:t>
      </w:r>
      <w:r>
        <w:rPr>
          <w:rFonts w:ascii="Times New Roman" w:cs="Times New Roman" w:eastAsia="Times New Roman" w:hAnsi="Times New Roman"/>
          <w:sz w:val="22"/>
          <w:szCs w:val="22"/>
          <w:color w:val="auto"/>
        </w:rPr>
        <w:t xml:space="preserve"> y 3) el tercero está formado por </w:t>
      </w:r>
      <w:r>
        <w:rPr>
          <w:rFonts w:ascii="Times New Roman" w:cs="Times New Roman" w:eastAsia="Times New Roman" w:hAnsi="Times New Roman"/>
          <w:sz w:val="22"/>
          <w:szCs w:val="22"/>
          <w:i w:val="1"/>
          <w:iCs w:val="1"/>
          <w:color w:val="auto"/>
        </w:rPr>
        <w:t>S. grammicus,</w:t>
      </w:r>
      <w:r>
        <w:rPr>
          <w:rFonts w:ascii="Times New Roman" w:cs="Times New Roman" w:eastAsia="Times New Roman" w:hAnsi="Times New Roman"/>
          <w:sz w:val="22"/>
          <w:szCs w:val="22"/>
          <w:color w:val="auto"/>
        </w:rPr>
        <w:t xml:space="preserve"> cuyas especies mostraron una velocidad de 73.64 ±6.59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i w:val="1"/>
          <w:iCs w:val="1"/>
          <w:color w:val="auto"/>
        </w:rPr>
        <w:t>,</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A. costata,</w:t>
      </w:r>
      <w:r>
        <w:rPr>
          <w:rFonts w:ascii="Times New Roman" w:cs="Times New Roman" w:eastAsia="Times New Roman" w:hAnsi="Times New Roman"/>
          <w:sz w:val="22"/>
          <w:szCs w:val="22"/>
          <w:color w:val="auto"/>
        </w:rPr>
        <w:t xml:space="preserve"> cuya velocidad fue de 94.24 ±4.44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color w:val="auto"/>
        </w:rPr>
        <w:t>. Se observó que la lhc no tiene un efecto significativo sobre la velocidad de escape (</w:t>
      </w:r>
      <w:r>
        <w:rPr>
          <w:rFonts w:ascii="Times New Roman" w:cs="Times New Roman" w:eastAsia="Times New Roman" w:hAnsi="Times New Roman"/>
          <w:sz w:val="22"/>
          <w:szCs w:val="22"/>
          <w:i w:val="1"/>
          <w:iCs w:val="1"/>
          <w:color w:val="auto"/>
        </w:rPr>
        <w:t>F</w:t>
      </w:r>
      <w:r>
        <w:rPr>
          <w:rFonts w:ascii="Times New Roman" w:cs="Times New Roman" w:eastAsia="Times New Roman" w:hAnsi="Times New Roman"/>
          <w:sz w:val="22"/>
          <w:szCs w:val="22"/>
          <w:color w:val="auto"/>
        </w:rPr>
        <w:t xml:space="preserve"> = 1.09, </w:t>
      </w:r>
      <w:r>
        <w:rPr>
          <w:rFonts w:ascii="Times New Roman" w:cs="Times New Roman" w:eastAsia="Times New Roman" w:hAnsi="Times New Roman"/>
          <w:sz w:val="22"/>
          <w:szCs w:val="22"/>
          <w:i w:val="1"/>
          <w:iCs w:val="1"/>
          <w:color w:val="auto"/>
        </w:rPr>
        <w:t>gl</w:t>
      </w:r>
      <w:r>
        <w:rPr>
          <w:rFonts w:ascii="Times New Roman" w:cs="Times New Roman" w:eastAsia="Times New Roman" w:hAnsi="Times New Roman"/>
          <w:sz w:val="22"/>
          <w:szCs w:val="22"/>
          <w:color w:val="auto"/>
        </w:rPr>
        <w:t xml:space="preserve"> = 1, </w:t>
      </w:r>
      <w:r>
        <w:rPr>
          <w:rFonts w:ascii="Times New Roman" w:cs="Times New Roman" w:eastAsia="Times New Roman" w:hAnsi="Times New Roman"/>
          <w:sz w:val="22"/>
          <w:szCs w:val="22"/>
          <w:i w:val="1"/>
          <w:iCs w:val="1"/>
          <w:color w:val="auto"/>
        </w:rPr>
        <w:t xml:space="preserve">p </w:t>
      </w:r>
      <w:r>
        <w:rPr>
          <w:rFonts w:ascii="Times New Roman" w:cs="Times New Roman" w:eastAsia="Times New Roman" w:hAnsi="Times New Roman"/>
          <w:sz w:val="22"/>
          <w:szCs w:val="22"/>
          <w:color w:val="auto"/>
        </w:rPr>
        <w:t>= 0.2999) (cuadro 2, figura 5).</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8"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64" w:name="page65"/>
    <w:bookmarkEnd w:id="64"/>
    <w:tbl>
      <w:tblPr>
        <w:tblLayout w:type="fixed"/>
        <w:tblInd w:w="0" w:type="dxa"/>
        <w:tblCellMar>
          <w:top w:w="0" w:type="dxa"/>
          <w:left w:w="0" w:type="dxa"/>
          <w:bottom w:w="0" w:type="dxa"/>
          <w:right w:w="0" w:type="dxa"/>
        </w:tblCellMar>
      </w:tblPr>
      <w:tr>
        <w:trPr>
          <w:trHeight w:val="62"/>
        </w:trPr>
        <w:tc>
          <w:tcPr>
            <w:tcW w:w="1060" w:type="dxa"/>
            <w:vAlign w:val="bottom"/>
            <w:vMerge w:val="restart"/>
          </w:tcPr>
          <w:p>
            <w:pPr>
              <w:jc w:val="right"/>
              <w:ind w:right="840"/>
              <w:spacing w:after="0"/>
              <w:rPr>
                <w:sz w:val="20"/>
                <w:szCs w:val="20"/>
                <w:color w:val="auto"/>
              </w:rPr>
            </w:pPr>
            <w:r>
              <w:rPr>
                <w:rFonts w:ascii="Arial Narrow" w:cs="Arial Narrow" w:eastAsia="Arial Narrow" w:hAnsi="Arial Narrow"/>
                <w:sz w:val="16"/>
                <w:szCs w:val="16"/>
                <w:color w:val="auto"/>
                <w:w w:val="81"/>
              </w:rPr>
              <w:t>64</w:t>
            </w:r>
          </w:p>
        </w:tc>
        <w:tc>
          <w:tcPr>
            <w:tcW w:w="2000" w:type="dxa"/>
            <w:vAlign w:val="bottom"/>
            <w:vMerge w:val="restart"/>
          </w:tcPr>
          <w:p>
            <w:pPr>
              <w:ind w:left="920"/>
              <w:spacing w:after="0"/>
              <w:rPr>
                <w:sz w:val="20"/>
                <w:szCs w:val="20"/>
                <w:color w:val="auto"/>
              </w:rPr>
            </w:pP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p>
        </w:tc>
        <w:tc>
          <w:tcPr>
            <w:tcW w:w="20" w:type="dxa"/>
            <w:vAlign w:val="bottom"/>
          </w:tcPr>
          <w:p>
            <w:pPr>
              <w:spacing w:after="0"/>
              <w:rPr>
                <w:sz w:val="5"/>
                <w:szCs w:val="5"/>
                <w:color w:val="auto"/>
              </w:rPr>
            </w:pPr>
          </w:p>
        </w:tc>
        <w:tc>
          <w:tcPr>
            <w:tcW w:w="1160" w:type="dxa"/>
            <w:vAlign w:val="bottom"/>
            <w:vMerge w:val="restart"/>
          </w:tcPr>
          <w:p>
            <w:pPr>
              <w:ind w:left="40"/>
              <w:spacing w:after="0"/>
              <w:rPr>
                <w:sz w:val="20"/>
                <w:szCs w:val="20"/>
                <w:color w:val="auto"/>
              </w:rPr>
            </w:pP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p>
        </w:tc>
        <w:tc>
          <w:tcPr>
            <w:tcW w:w="20" w:type="dxa"/>
            <w:vAlign w:val="bottom"/>
          </w:tcPr>
          <w:p>
            <w:pPr>
              <w:spacing w:after="0"/>
              <w:rPr>
                <w:sz w:val="5"/>
                <w:szCs w:val="5"/>
                <w:color w:val="auto"/>
              </w:rPr>
            </w:pPr>
          </w:p>
        </w:tc>
        <w:tc>
          <w:tcPr>
            <w:tcW w:w="960" w:type="dxa"/>
            <w:vAlign w:val="bottom"/>
            <w:vMerge w:val="restart"/>
          </w:tcPr>
          <w:p>
            <w:pPr>
              <w:ind w:left="20"/>
              <w:spacing w:after="0"/>
              <w:rPr>
                <w:sz w:val="20"/>
                <w:szCs w:val="20"/>
                <w:color w:val="auto"/>
              </w:rPr>
            </w:pP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tc>
        <w:tc>
          <w:tcPr>
            <w:tcW w:w="0" w:type="dxa"/>
            <w:vAlign w:val="bottom"/>
          </w:tcPr>
          <w:p>
            <w:pPr>
              <w:spacing w:after="0"/>
              <w:rPr>
                <w:sz w:val="1"/>
                <w:szCs w:val="1"/>
                <w:color w:val="auto"/>
              </w:rPr>
            </w:pPr>
          </w:p>
        </w:tc>
      </w:tr>
      <w:tr>
        <w:trPr>
          <w:trHeight w:val="140"/>
        </w:trPr>
        <w:tc>
          <w:tcPr>
            <w:tcW w:w="1060" w:type="dxa"/>
            <w:vAlign w:val="bottom"/>
            <w:vMerge w:val="continue"/>
          </w:tcPr>
          <w:p>
            <w:pPr>
              <w:spacing w:after="0"/>
              <w:rPr>
                <w:sz w:val="12"/>
                <w:szCs w:val="12"/>
                <w:color w:val="auto"/>
              </w:rPr>
            </w:pPr>
          </w:p>
        </w:tc>
        <w:tc>
          <w:tcPr>
            <w:tcW w:w="200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116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960" w:type="dxa"/>
            <w:vAlign w:val="bottom"/>
            <w:vMerge w:val="continue"/>
          </w:tcPr>
          <w:p>
            <w:pPr>
              <w:spacing w:after="0"/>
              <w:rPr>
                <w:sz w:val="12"/>
                <w:szCs w:val="12"/>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336" w:lineRule="exact"/>
        <w:rPr>
          <w:sz w:val="20"/>
          <w:szCs w:val="20"/>
          <w:color w:val="auto"/>
        </w:rPr>
      </w:pPr>
    </w:p>
    <w:p>
      <w:pPr>
        <w:ind w:left="3280"/>
        <w:spacing w:after="0"/>
        <w:rPr>
          <w:sz w:val="20"/>
          <w:szCs w:val="20"/>
          <w:color w:val="auto"/>
        </w:rPr>
      </w:pPr>
      <w:r>
        <w:rPr>
          <w:rFonts w:ascii="Times New Roman" w:cs="Times New Roman" w:eastAsia="Times New Roman" w:hAnsi="Times New Roman"/>
          <w:sz w:val="18"/>
          <w:szCs w:val="18"/>
          <w:i w:val="1"/>
          <w:iCs w:val="1"/>
          <w:color w:val="auto"/>
        </w:rPr>
        <w:t>Cuadro 2</w:t>
      </w:r>
    </w:p>
    <w:p>
      <w:pPr>
        <w:spacing w:after="0" w:line="33" w:lineRule="exact"/>
        <w:rPr>
          <w:sz w:val="20"/>
          <w:szCs w:val="20"/>
          <w:color w:val="auto"/>
        </w:rPr>
      </w:pPr>
    </w:p>
    <w:p>
      <w:pPr>
        <w:ind w:left="1540"/>
        <w:spacing w:after="0"/>
        <w:rPr>
          <w:sz w:val="20"/>
          <w:szCs w:val="20"/>
          <w:color w:val="auto"/>
        </w:rPr>
      </w:pPr>
      <w:r>
        <w:rPr>
          <w:rFonts w:ascii="Times New Roman" w:cs="Times New Roman" w:eastAsia="Times New Roman" w:hAnsi="Times New Roman"/>
          <w:sz w:val="18"/>
          <w:szCs w:val="18"/>
          <w:color w:val="auto"/>
        </w:rPr>
        <w:t>Valores promedio, mínimos y máximos de la velocidad</w:t>
      </w:r>
    </w:p>
    <w:p>
      <w:pPr>
        <w:spacing w:after="0" w:line="188" w:lineRule="exact"/>
        <w:rPr>
          <w:sz w:val="20"/>
          <w:szCs w:val="20"/>
          <w:color w:val="auto"/>
        </w:rPr>
      </w:pPr>
    </w:p>
    <w:tbl>
      <w:tblPr>
        <w:tblLayout w:type="fixed"/>
        <w:tblInd w:w="30" w:type="dxa"/>
        <w:tblCellMar>
          <w:top w:w="0" w:type="dxa"/>
          <w:left w:w="0" w:type="dxa"/>
          <w:bottom w:w="0" w:type="dxa"/>
          <w:right w:w="0" w:type="dxa"/>
        </w:tblCellMar>
      </w:tblPr>
      <w:tr>
        <w:trPr>
          <w:trHeight w:val="286"/>
        </w:trPr>
        <w:tc>
          <w:tcPr>
            <w:tcW w:w="3100" w:type="dxa"/>
            <w:vAlign w:val="bottom"/>
            <w:tcBorders>
              <w:top w:val="single" w:sz="8" w:color="auto"/>
              <w:left w:val="single" w:sz="8" w:color="auto"/>
              <w:bottom w:val="single" w:sz="8" w:color="auto"/>
              <w:right w:val="single" w:sz="8" w:color="auto"/>
            </w:tcBorders>
          </w:tcPr>
          <w:p>
            <w:pPr>
              <w:ind w:left="1340"/>
              <w:spacing w:after="0"/>
              <w:rPr>
                <w:sz w:val="20"/>
                <w:szCs w:val="20"/>
                <w:color w:val="auto"/>
              </w:rPr>
            </w:pPr>
            <w:r>
              <w:rPr>
                <w:rFonts w:ascii="Times New Roman" w:cs="Times New Roman" w:eastAsia="Times New Roman" w:hAnsi="Times New Roman"/>
                <w:sz w:val="16"/>
                <w:szCs w:val="16"/>
                <w:i w:val="1"/>
                <w:iCs w:val="1"/>
                <w:color w:val="auto"/>
              </w:rPr>
              <w:t>Especie</w:t>
            </w:r>
          </w:p>
        </w:tc>
        <w:tc>
          <w:tcPr>
            <w:tcW w:w="1380" w:type="dxa"/>
            <w:vAlign w:val="bottom"/>
            <w:tcBorders>
              <w:top w:val="single" w:sz="8" w:color="auto"/>
              <w:bottom w:val="single" w:sz="8" w:color="auto"/>
              <w:right w:val="single" w:sz="8" w:color="auto"/>
            </w:tcBorders>
          </w:tcPr>
          <w:p>
            <w:pPr>
              <w:ind w:left="160"/>
              <w:spacing w:after="0"/>
              <w:rPr>
                <w:sz w:val="20"/>
                <w:szCs w:val="20"/>
                <w:color w:val="auto"/>
              </w:rPr>
            </w:pPr>
            <w:r>
              <w:rPr>
                <w:rFonts w:ascii="Times New Roman" w:cs="Times New Roman" w:eastAsia="Times New Roman" w:hAnsi="Times New Roman"/>
                <w:sz w:val="16"/>
                <w:szCs w:val="16"/>
                <w:i w:val="1"/>
                <w:iCs w:val="1"/>
                <w:color w:val="auto"/>
                <w:w w:val="99"/>
              </w:rPr>
              <w:t>Velocidad (cm s</w:t>
            </w:r>
            <w:r>
              <w:rPr>
                <w:rFonts w:ascii="Times New Roman" w:cs="Times New Roman" w:eastAsia="Times New Roman" w:hAnsi="Times New Roman"/>
                <w:sz w:val="18"/>
                <w:szCs w:val="18"/>
                <w:i w:val="1"/>
                <w:iCs w:val="1"/>
                <w:color w:val="auto"/>
                <w:w w:val="99"/>
                <w:vertAlign w:val="superscript"/>
              </w:rPr>
              <w:t>-1</w:t>
            </w:r>
            <w:r>
              <w:rPr>
                <w:rFonts w:ascii="Times New Roman" w:cs="Times New Roman" w:eastAsia="Times New Roman" w:hAnsi="Times New Roman"/>
                <w:sz w:val="16"/>
                <w:szCs w:val="16"/>
                <w:i w:val="1"/>
                <w:iCs w:val="1"/>
                <w:color w:val="auto"/>
                <w:w w:val="99"/>
              </w:rPr>
              <w:t>)</w:t>
            </w:r>
          </w:p>
        </w:tc>
        <w:tc>
          <w:tcPr>
            <w:tcW w:w="1340" w:type="dxa"/>
            <w:vAlign w:val="bottom"/>
            <w:tcBorders>
              <w:top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88"/>
              </w:rPr>
              <w:t>Valores mínimos</w:t>
            </w:r>
          </w:p>
        </w:tc>
        <w:tc>
          <w:tcPr>
            <w:tcW w:w="1360" w:type="dxa"/>
            <w:vAlign w:val="bottom"/>
            <w:tcBorders>
              <w:top w:val="single" w:sz="8" w:color="auto"/>
              <w:bottom w:val="single" w:sz="8" w:color="auto"/>
              <w:right w:val="single" w:sz="8" w:color="auto"/>
            </w:tcBorders>
          </w:tcPr>
          <w:p>
            <w:pPr>
              <w:ind w:left="180"/>
              <w:spacing w:after="0"/>
              <w:rPr>
                <w:sz w:val="20"/>
                <w:szCs w:val="20"/>
                <w:color w:val="auto"/>
              </w:rPr>
            </w:pPr>
            <w:r>
              <w:rPr>
                <w:rFonts w:ascii="Times New Roman" w:cs="Times New Roman" w:eastAsia="Times New Roman" w:hAnsi="Times New Roman"/>
                <w:sz w:val="16"/>
                <w:szCs w:val="16"/>
                <w:i w:val="1"/>
                <w:iCs w:val="1"/>
                <w:color w:val="auto"/>
              </w:rPr>
              <w:t>Valores máximos</w:t>
            </w:r>
          </w:p>
        </w:tc>
      </w:tr>
      <w:tr>
        <w:trPr>
          <w:trHeight w:val="240"/>
        </w:trPr>
        <w:tc>
          <w:tcPr>
            <w:tcW w:w="310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i w:val="1"/>
                <w:iCs w:val="1"/>
                <w:color w:val="auto"/>
              </w:rPr>
              <w:t>S. grammicus</w:t>
            </w:r>
          </w:p>
        </w:tc>
        <w:tc>
          <w:tcPr>
            <w:tcW w:w="1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73.604</w:t>
            </w:r>
          </w:p>
        </w:tc>
        <w:tc>
          <w:tcPr>
            <w:tcW w:w="134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60.53</w:t>
            </w:r>
          </w:p>
        </w:tc>
        <w:tc>
          <w:tcPr>
            <w:tcW w:w="13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86.75</w:t>
            </w:r>
          </w:p>
        </w:tc>
      </w:tr>
      <w:tr>
        <w:trPr>
          <w:trHeight w:val="27"/>
        </w:trPr>
        <w:tc>
          <w:tcPr>
            <w:tcW w:w="3100" w:type="dxa"/>
            <w:vAlign w:val="bottom"/>
            <w:tcBorders>
              <w:left w:val="single" w:sz="8" w:color="auto"/>
              <w:bottom w:val="single" w:sz="8" w:color="auto"/>
              <w:right w:val="single" w:sz="8" w:color="auto"/>
            </w:tcBorders>
          </w:tcPr>
          <w:p>
            <w:pPr>
              <w:spacing w:after="0"/>
              <w:rPr>
                <w:sz w:val="2"/>
                <w:szCs w:val="2"/>
                <w:color w:val="auto"/>
              </w:rPr>
            </w:pPr>
          </w:p>
        </w:tc>
        <w:tc>
          <w:tcPr>
            <w:tcW w:w="1380" w:type="dxa"/>
            <w:vAlign w:val="bottom"/>
            <w:tcBorders>
              <w:bottom w:val="single" w:sz="8" w:color="auto"/>
              <w:right w:val="single" w:sz="8" w:color="auto"/>
            </w:tcBorders>
          </w:tcPr>
          <w:p>
            <w:pPr>
              <w:spacing w:after="0"/>
              <w:rPr>
                <w:sz w:val="2"/>
                <w:szCs w:val="2"/>
                <w:color w:val="auto"/>
              </w:rPr>
            </w:pPr>
          </w:p>
        </w:tc>
        <w:tc>
          <w:tcPr>
            <w:tcW w:w="1340" w:type="dxa"/>
            <w:vAlign w:val="bottom"/>
            <w:tcBorders>
              <w:bottom w:val="single" w:sz="8" w:color="auto"/>
              <w:right w:val="single" w:sz="8" w:color="auto"/>
            </w:tcBorders>
          </w:tcPr>
          <w:p>
            <w:pPr>
              <w:spacing w:after="0"/>
              <w:rPr>
                <w:sz w:val="2"/>
                <w:szCs w:val="2"/>
                <w:color w:val="auto"/>
              </w:rPr>
            </w:pPr>
          </w:p>
        </w:tc>
        <w:tc>
          <w:tcPr>
            <w:tcW w:w="1360" w:type="dxa"/>
            <w:vAlign w:val="bottom"/>
            <w:tcBorders>
              <w:bottom w:val="single" w:sz="8" w:color="auto"/>
              <w:right w:val="single" w:sz="8" w:color="auto"/>
            </w:tcBorders>
          </w:tcPr>
          <w:p>
            <w:pPr>
              <w:spacing w:after="0"/>
              <w:rPr>
                <w:sz w:val="2"/>
                <w:szCs w:val="2"/>
                <w:color w:val="auto"/>
              </w:rPr>
            </w:pPr>
          </w:p>
        </w:tc>
      </w:tr>
      <w:tr>
        <w:trPr>
          <w:trHeight w:val="240"/>
        </w:trPr>
        <w:tc>
          <w:tcPr>
            <w:tcW w:w="310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i w:val="1"/>
                <w:iCs w:val="1"/>
                <w:color w:val="auto"/>
              </w:rPr>
              <w:t>A. costata</w:t>
            </w:r>
          </w:p>
        </w:tc>
        <w:tc>
          <w:tcPr>
            <w:tcW w:w="1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94.24</w:t>
            </w:r>
          </w:p>
        </w:tc>
        <w:tc>
          <w:tcPr>
            <w:tcW w:w="134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85.39</w:t>
            </w:r>
          </w:p>
        </w:tc>
        <w:tc>
          <w:tcPr>
            <w:tcW w:w="13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103.08</w:t>
            </w:r>
          </w:p>
        </w:tc>
      </w:tr>
      <w:tr>
        <w:trPr>
          <w:trHeight w:val="27"/>
        </w:trPr>
        <w:tc>
          <w:tcPr>
            <w:tcW w:w="3100" w:type="dxa"/>
            <w:vAlign w:val="bottom"/>
            <w:tcBorders>
              <w:left w:val="single" w:sz="8" w:color="auto"/>
              <w:bottom w:val="single" w:sz="8" w:color="auto"/>
              <w:right w:val="single" w:sz="8" w:color="auto"/>
            </w:tcBorders>
          </w:tcPr>
          <w:p>
            <w:pPr>
              <w:spacing w:after="0"/>
              <w:rPr>
                <w:sz w:val="2"/>
                <w:szCs w:val="2"/>
                <w:color w:val="auto"/>
              </w:rPr>
            </w:pPr>
          </w:p>
        </w:tc>
        <w:tc>
          <w:tcPr>
            <w:tcW w:w="1380" w:type="dxa"/>
            <w:vAlign w:val="bottom"/>
            <w:tcBorders>
              <w:bottom w:val="single" w:sz="8" w:color="auto"/>
              <w:right w:val="single" w:sz="8" w:color="auto"/>
            </w:tcBorders>
          </w:tcPr>
          <w:p>
            <w:pPr>
              <w:spacing w:after="0"/>
              <w:rPr>
                <w:sz w:val="2"/>
                <w:szCs w:val="2"/>
                <w:color w:val="auto"/>
              </w:rPr>
            </w:pPr>
          </w:p>
        </w:tc>
        <w:tc>
          <w:tcPr>
            <w:tcW w:w="1340" w:type="dxa"/>
            <w:vAlign w:val="bottom"/>
            <w:tcBorders>
              <w:bottom w:val="single" w:sz="8" w:color="auto"/>
              <w:right w:val="single" w:sz="8" w:color="auto"/>
            </w:tcBorders>
          </w:tcPr>
          <w:p>
            <w:pPr>
              <w:spacing w:after="0"/>
              <w:rPr>
                <w:sz w:val="2"/>
                <w:szCs w:val="2"/>
                <w:color w:val="auto"/>
              </w:rPr>
            </w:pPr>
          </w:p>
        </w:tc>
        <w:tc>
          <w:tcPr>
            <w:tcW w:w="1360" w:type="dxa"/>
            <w:vAlign w:val="bottom"/>
            <w:tcBorders>
              <w:bottom w:val="single" w:sz="8" w:color="auto"/>
              <w:right w:val="single" w:sz="8" w:color="auto"/>
            </w:tcBorders>
          </w:tcPr>
          <w:p>
            <w:pPr>
              <w:spacing w:after="0"/>
              <w:rPr>
                <w:sz w:val="2"/>
                <w:szCs w:val="2"/>
                <w:color w:val="auto"/>
              </w:rPr>
            </w:pPr>
          </w:p>
        </w:tc>
      </w:tr>
      <w:tr>
        <w:trPr>
          <w:trHeight w:val="240"/>
        </w:trPr>
        <w:tc>
          <w:tcPr>
            <w:tcW w:w="310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i w:val="1"/>
                <w:iCs w:val="1"/>
                <w:color w:val="auto"/>
              </w:rPr>
              <w:t>B. imbricata</w:t>
            </w:r>
          </w:p>
        </w:tc>
        <w:tc>
          <w:tcPr>
            <w:tcW w:w="1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53.37</w:t>
            </w:r>
          </w:p>
        </w:tc>
        <w:tc>
          <w:tcPr>
            <w:tcW w:w="134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46.45</w:t>
            </w:r>
          </w:p>
        </w:tc>
        <w:tc>
          <w:tcPr>
            <w:tcW w:w="13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60.28</w:t>
            </w:r>
          </w:p>
        </w:tc>
      </w:tr>
      <w:tr>
        <w:trPr>
          <w:trHeight w:val="27"/>
        </w:trPr>
        <w:tc>
          <w:tcPr>
            <w:tcW w:w="3100" w:type="dxa"/>
            <w:vAlign w:val="bottom"/>
            <w:tcBorders>
              <w:left w:val="single" w:sz="8" w:color="auto"/>
              <w:bottom w:val="single" w:sz="8" w:color="auto"/>
              <w:right w:val="single" w:sz="8" w:color="auto"/>
            </w:tcBorders>
          </w:tcPr>
          <w:p>
            <w:pPr>
              <w:spacing w:after="0"/>
              <w:rPr>
                <w:sz w:val="2"/>
                <w:szCs w:val="2"/>
                <w:color w:val="auto"/>
              </w:rPr>
            </w:pPr>
          </w:p>
        </w:tc>
        <w:tc>
          <w:tcPr>
            <w:tcW w:w="1380" w:type="dxa"/>
            <w:vAlign w:val="bottom"/>
            <w:tcBorders>
              <w:bottom w:val="single" w:sz="8" w:color="auto"/>
              <w:right w:val="single" w:sz="8" w:color="auto"/>
            </w:tcBorders>
          </w:tcPr>
          <w:p>
            <w:pPr>
              <w:spacing w:after="0"/>
              <w:rPr>
                <w:sz w:val="2"/>
                <w:szCs w:val="2"/>
                <w:color w:val="auto"/>
              </w:rPr>
            </w:pPr>
          </w:p>
        </w:tc>
        <w:tc>
          <w:tcPr>
            <w:tcW w:w="1340" w:type="dxa"/>
            <w:vAlign w:val="bottom"/>
            <w:tcBorders>
              <w:bottom w:val="single" w:sz="8" w:color="auto"/>
              <w:right w:val="single" w:sz="8" w:color="auto"/>
            </w:tcBorders>
          </w:tcPr>
          <w:p>
            <w:pPr>
              <w:spacing w:after="0"/>
              <w:rPr>
                <w:sz w:val="2"/>
                <w:szCs w:val="2"/>
                <w:color w:val="auto"/>
              </w:rPr>
            </w:pPr>
          </w:p>
        </w:tc>
        <w:tc>
          <w:tcPr>
            <w:tcW w:w="1360" w:type="dxa"/>
            <w:vAlign w:val="bottom"/>
            <w:tcBorders>
              <w:bottom w:val="single" w:sz="8" w:color="auto"/>
              <w:right w:val="single" w:sz="8" w:color="auto"/>
            </w:tcBorders>
          </w:tcPr>
          <w:p>
            <w:pPr>
              <w:spacing w:after="0"/>
              <w:rPr>
                <w:sz w:val="2"/>
                <w:szCs w:val="2"/>
                <w:color w:val="auto"/>
              </w:rPr>
            </w:pPr>
          </w:p>
        </w:tc>
      </w:tr>
      <w:tr>
        <w:trPr>
          <w:trHeight w:val="240"/>
        </w:trPr>
        <w:tc>
          <w:tcPr>
            <w:tcW w:w="310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i w:val="1"/>
                <w:iCs w:val="1"/>
                <w:color w:val="auto"/>
              </w:rPr>
              <w:t>P. orbiculare</w:t>
            </w:r>
          </w:p>
        </w:tc>
        <w:tc>
          <w:tcPr>
            <w:tcW w:w="1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58.32</w:t>
            </w:r>
          </w:p>
        </w:tc>
        <w:tc>
          <w:tcPr>
            <w:tcW w:w="134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50.18</w:t>
            </w:r>
          </w:p>
        </w:tc>
        <w:tc>
          <w:tcPr>
            <w:tcW w:w="13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66.45</w:t>
            </w:r>
          </w:p>
        </w:tc>
      </w:tr>
      <w:tr>
        <w:trPr>
          <w:trHeight w:val="27"/>
        </w:trPr>
        <w:tc>
          <w:tcPr>
            <w:tcW w:w="3100" w:type="dxa"/>
            <w:vAlign w:val="bottom"/>
            <w:tcBorders>
              <w:left w:val="single" w:sz="8" w:color="auto"/>
              <w:bottom w:val="single" w:sz="8" w:color="auto"/>
              <w:right w:val="single" w:sz="8" w:color="auto"/>
            </w:tcBorders>
          </w:tcPr>
          <w:p>
            <w:pPr>
              <w:spacing w:after="0"/>
              <w:rPr>
                <w:sz w:val="2"/>
                <w:szCs w:val="2"/>
                <w:color w:val="auto"/>
              </w:rPr>
            </w:pPr>
          </w:p>
        </w:tc>
        <w:tc>
          <w:tcPr>
            <w:tcW w:w="1380" w:type="dxa"/>
            <w:vAlign w:val="bottom"/>
            <w:tcBorders>
              <w:bottom w:val="single" w:sz="8" w:color="auto"/>
              <w:right w:val="single" w:sz="8" w:color="auto"/>
            </w:tcBorders>
          </w:tcPr>
          <w:p>
            <w:pPr>
              <w:spacing w:after="0"/>
              <w:rPr>
                <w:sz w:val="2"/>
                <w:szCs w:val="2"/>
                <w:color w:val="auto"/>
              </w:rPr>
            </w:pPr>
          </w:p>
        </w:tc>
        <w:tc>
          <w:tcPr>
            <w:tcW w:w="1340" w:type="dxa"/>
            <w:vAlign w:val="bottom"/>
            <w:tcBorders>
              <w:bottom w:val="single" w:sz="8" w:color="auto"/>
              <w:right w:val="single" w:sz="8" w:color="auto"/>
            </w:tcBorders>
          </w:tcPr>
          <w:p>
            <w:pPr>
              <w:spacing w:after="0"/>
              <w:rPr>
                <w:sz w:val="2"/>
                <w:szCs w:val="2"/>
                <w:color w:val="auto"/>
              </w:rPr>
            </w:pPr>
          </w:p>
        </w:tc>
        <w:tc>
          <w:tcPr>
            <w:tcW w:w="1360" w:type="dxa"/>
            <w:vAlign w:val="bottom"/>
            <w:tcBorders>
              <w:bottom w:val="single" w:sz="8" w:color="auto"/>
              <w:right w:val="single" w:sz="8" w:color="auto"/>
            </w:tcBorders>
          </w:tcPr>
          <w:p>
            <w:pPr>
              <w:spacing w:after="0"/>
              <w:rPr>
                <w:sz w:val="2"/>
                <w:szCs w:val="2"/>
                <w:color w:val="auto"/>
              </w:rPr>
            </w:pPr>
          </w:p>
        </w:tc>
      </w:tr>
      <w:tr>
        <w:trPr>
          <w:trHeight w:val="240"/>
        </w:trPr>
        <w:tc>
          <w:tcPr>
            <w:tcW w:w="310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i w:val="1"/>
                <w:iCs w:val="1"/>
                <w:color w:val="auto"/>
              </w:rPr>
              <w:t>S. bicanthalis</w:t>
            </w:r>
          </w:p>
        </w:tc>
        <w:tc>
          <w:tcPr>
            <w:tcW w:w="1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38.91</w:t>
            </w:r>
          </w:p>
        </w:tc>
        <w:tc>
          <w:tcPr>
            <w:tcW w:w="134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32.65</w:t>
            </w:r>
          </w:p>
        </w:tc>
        <w:tc>
          <w:tcPr>
            <w:tcW w:w="13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45.17</w:t>
            </w:r>
          </w:p>
        </w:tc>
      </w:tr>
      <w:tr>
        <w:trPr>
          <w:trHeight w:val="27"/>
        </w:trPr>
        <w:tc>
          <w:tcPr>
            <w:tcW w:w="3100" w:type="dxa"/>
            <w:vAlign w:val="bottom"/>
            <w:tcBorders>
              <w:left w:val="single" w:sz="8" w:color="auto"/>
              <w:bottom w:val="single" w:sz="8" w:color="auto"/>
              <w:right w:val="single" w:sz="8" w:color="auto"/>
            </w:tcBorders>
          </w:tcPr>
          <w:p>
            <w:pPr>
              <w:spacing w:after="0"/>
              <w:rPr>
                <w:sz w:val="2"/>
                <w:szCs w:val="2"/>
                <w:color w:val="auto"/>
              </w:rPr>
            </w:pPr>
          </w:p>
        </w:tc>
        <w:tc>
          <w:tcPr>
            <w:tcW w:w="1380" w:type="dxa"/>
            <w:vAlign w:val="bottom"/>
            <w:tcBorders>
              <w:bottom w:val="single" w:sz="8" w:color="auto"/>
              <w:right w:val="single" w:sz="8" w:color="auto"/>
            </w:tcBorders>
          </w:tcPr>
          <w:p>
            <w:pPr>
              <w:spacing w:after="0"/>
              <w:rPr>
                <w:sz w:val="2"/>
                <w:szCs w:val="2"/>
                <w:color w:val="auto"/>
              </w:rPr>
            </w:pPr>
          </w:p>
        </w:tc>
        <w:tc>
          <w:tcPr>
            <w:tcW w:w="1340" w:type="dxa"/>
            <w:vAlign w:val="bottom"/>
            <w:tcBorders>
              <w:bottom w:val="single" w:sz="8" w:color="auto"/>
              <w:right w:val="single" w:sz="8" w:color="auto"/>
            </w:tcBorders>
          </w:tcPr>
          <w:p>
            <w:pPr>
              <w:spacing w:after="0"/>
              <w:rPr>
                <w:sz w:val="2"/>
                <w:szCs w:val="2"/>
                <w:color w:val="auto"/>
              </w:rPr>
            </w:pPr>
          </w:p>
        </w:tc>
        <w:tc>
          <w:tcPr>
            <w:tcW w:w="1360" w:type="dxa"/>
            <w:vAlign w:val="bottom"/>
            <w:tcBorders>
              <w:bottom w:val="single" w:sz="8" w:color="auto"/>
              <w:right w:val="single" w:sz="8" w:color="auto"/>
            </w:tcBorders>
          </w:tcPr>
          <w:p>
            <w:pPr>
              <w:spacing w:after="0"/>
              <w:rPr>
                <w:sz w:val="2"/>
                <w:szCs w:val="2"/>
                <w:color w:val="auto"/>
              </w:rPr>
            </w:pPr>
          </w:p>
        </w:tc>
      </w:tr>
      <w:tr>
        <w:trPr>
          <w:trHeight w:val="240"/>
        </w:trPr>
        <w:tc>
          <w:tcPr>
            <w:tcW w:w="310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i w:val="1"/>
                <w:iCs w:val="1"/>
                <w:color w:val="auto"/>
              </w:rPr>
              <w:t xml:space="preserve">S. aeneus </w:t>
            </w:r>
            <w:r>
              <w:rPr>
                <w:rFonts w:ascii="Times New Roman" w:cs="Times New Roman" w:eastAsia="Times New Roman" w:hAnsi="Times New Roman"/>
                <w:sz w:val="16"/>
                <w:szCs w:val="16"/>
                <w:color w:val="auto"/>
              </w:rPr>
              <w:t>(El Mapa)</w:t>
            </w:r>
          </w:p>
        </w:tc>
        <w:tc>
          <w:tcPr>
            <w:tcW w:w="1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35.02</w:t>
            </w:r>
          </w:p>
        </w:tc>
        <w:tc>
          <w:tcPr>
            <w:tcW w:w="134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28.41</w:t>
            </w:r>
          </w:p>
        </w:tc>
        <w:tc>
          <w:tcPr>
            <w:tcW w:w="13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41.63</w:t>
            </w:r>
          </w:p>
        </w:tc>
      </w:tr>
      <w:tr>
        <w:trPr>
          <w:trHeight w:val="27"/>
        </w:trPr>
        <w:tc>
          <w:tcPr>
            <w:tcW w:w="3100" w:type="dxa"/>
            <w:vAlign w:val="bottom"/>
            <w:tcBorders>
              <w:left w:val="single" w:sz="8" w:color="auto"/>
              <w:bottom w:val="single" w:sz="8" w:color="auto"/>
              <w:right w:val="single" w:sz="8" w:color="auto"/>
            </w:tcBorders>
          </w:tcPr>
          <w:p>
            <w:pPr>
              <w:spacing w:after="0"/>
              <w:rPr>
                <w:sz w:val="2"/>
                <w:szCs w:val="2"/>
                <w:color w:val="auto"/>
              </w:rPr>
            </w:pPr>
          </w:p>
        </w:tc>
        <w:tc>
          <w:tcPr>
            <w:tcW w:w="1380" w:type="dxa"/>
            <w:vAlign w:val="bottom"/>
            <w:tcBorders>
              <w:bottom w:val="single" w:sz="8" w:color="auto"/>
              <w:right w:val="single" w:sz="8" w:color="auto"/>
            </w:tcBorders>
          </w:tcPr>
          <w:p>
            <w:pPr>
              <w:spacing w:after="0"/>
              <w:rPr>
                <w:sz w:val="2"/>
                <w:szCs w:val="2"/>
                <w:color w:val="auto"/>
              </w:rPr>
            </w:pPr>
          </w:p>
        </w:tc>
        <w:tc>
          <w:tcPr>
            <w:tcW w:w="1340" w:type="dxa"/>
            <w:vAlign w:val="bottom"/>
            <w:tcBorders>
              <w:bottom w:val="single" w:sz="8" w:color="auto"/>
              <w:right w:val="single" w:sz="8" w:color="auto"/>
            </w:tcBorders>
          </w:tcPr>
          <w:p>
            <w:pPr>
              <w:spacing w:after="0"/>
              <w:rPr>
                <w:sz w:val="2"/>
                <w:szCs w:val="2"/>
                <w:color w:val="auto"/>
              </w:rPr>
            </w:pPr>
          </w:p>
        </w:tc>
        <w:tc>
          <w:tcPr>
            <w:tcW w:w="1360" w:type="dxa"/>
            <w:vAlign w:val="bottom"/>
            <w:tcBorders>
              <w:bottom w:val="single" w:sz="8" w:color="auto"/>
              <w:right w:val="single" w:sz="8" w:color="auto"/>
            </w:tcBorders>
          </w:tcPr>
          <w:p>
            <w:pPr>
              <w:spacing w:after="0"/>
              <w:rPr>
                <w:sz w:val="2"/>
                <w:szCs w:val="2"/>
                <w:color w:val="auto"/>
              </w:rPr>
            </w:pPr>
          </w:p>
        </w:tc>
      </w:tr>
      <w:tr>
        <w:trPr>
          <w:trHeight w:val="240"/>
        </w:trPr>
        <w:tc>
          <w:tcPr>
            <w:tcW w:w="310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i w:val="1"/>
                <w:iCs w:val="1"/>
                <w:color w:val="auto"/>
              </w:rPr>
              <w:t xml:space="preserve">S. aeneus </w:t>
            </w:r>
            <w:r>
              <w:rPr>
                <w:rFonts w:ascii="Times New Roman" w:cs="Times New Roman" w:eastAsia="Times New Roman" w:hAnsi="Times New Roman"/>
                <w:sz w:val="16"/>
                <w:szCs w:val="16"/>
                <w:color w:val="auto"/>
              </w:rPr>
              <w:t>(Parque Hermenegildo Galeana)</w:t>
            </w:r>
          </w:p>
        </w:tc>
        <w:tc>
          <w:tcPr>
            <w:tcW w:w="1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23.12</w:t>
            </w:r>
          </w:p>
        </w:tc>
        <w:tc>
          <w:tcPr>
            <w:tcW w:w="134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12.67</w:t>
            </w:r>
          </w:p>
        </w:tc>
        <w:tc>
          <w:tcPr>
            <w:tcW w:w="13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33.57</w:t>
            </w:r>
          </w:p>
        </w:tc>
      </w:tr>
      <w:tr>
        <w:trPr>
          <w:trHeight w:val="27"/>
        </w:trPr>
        <w:tc>
          <w:tcPr>
            <w:tcW w:w="3100" w:type="dxa"/>
            <w:vAlign w:val="bottom"/>
            <w:tcBorders>
              <w:left w:val="single" w:sz="8" w:color="auto"/>
              <w:bottom w:val="single" w:sz="8" w:color="auto"/>
              <w:right w:val="single" w:sz="8" w:color="auto"/>
            </w:tcBorders>
          </w:tcPr>
          <w:p>
            <w:pPr>
              <w:spacing w:after="0"/>
              <w:rPr>
                <w:sz w:val="2"/>
                <w:szCs w:val="2"/>
                <w:color w:val="auto"/>
              </w:rPr>
            </w:pPr>
          </w:p>
        </w:tc>
        <w:tc>
          <w:tcPr>
            <w:tcW w:w="1380" w:type="dxa"/>
            <w:vAlign w:val="bottom"/>
            <w:tcBorders>
              <w:bottom w:val="single" w:sz="8" w:color="auto"/>
              <w:right w:val="single" w:sz="8" w:color="auto"/>
            </w:tcBorders>
          </w:tcPr>
          <w:p>
            <w:pPr>
              <w:spacing w:after="0"/>
              <w:rPr>
                <w:sz w:val="2"/>
                <w:szCs w:val="2"/>
                <w:color w:val="auto"/>
              </w:rPr>
            </w:pPr>
          </w:p>
        </w:tc>
        <w:tc>
          <w:tcPr>
            <w:tcW w:w="1340" w:type="dxa"/>
            <w:vAlign w:val="bottom"/>
            <w:tcBorders>
              <w:bottom w:val="single" w:sz="8" w:color="auto"/>
              <w:right w:val="single" w:sz="8" w:color="auto"/>
            </w:tcBorders>
          </w:tcPr>
          <w:p>
            <w:pPr>
              <w:spacing w:after="0"/>
              <w:rPr>
                <w:sz w:val="2"/>
                <w:szCs w:val="2"/>
                <w:color w:val="auto"/>
              </w:rPr>
            </w:pPr>
          </w:p>
        </w:tc>
        <w:tc>
          <w:tcPr>
            <w:tcW w:w="1360" w:type="dxa"/>
            <w:vAlign w:val="bottom"/>
            <w:tcBorders>
              <w:bottom w:val="single" w:sz="8" w:color="auto"/>
              <w:right w:val="single" w:sz="8" w:color="auto"/>
            </w:tcBorders>
          </w:tcPr>
          <w:p>
            <w:pPr>
              <w:spacing w:after="0"/>
              <w:rPr>
                <w:sz w:val="2"/>
                <w:szCs w:val="2"/>
                <w:color w:val="auto"/>
              </w:rPr>
            </w:pPr>
          </w:p>
        </w:tc>
      </w:tr>
      <w:tr>
        <w:trPr>
          <w:trHeight w:val="240"/>
        </w:trPr>
        <w:tc>
          <w:tcPr>
            <w:tcW w:w="310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i w:val="1"/>
                <w:iCs w:val="1"/>
                <w:color w:val="auto"/>
              </w:rPr>
              <w:t>S. scalaris</w:t>
            </w:r>
          </w:p>
        </w:tc>
        <w:tc>
          <w:tcPr>
            <w:tcW w:w="1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30.5</w:t>
            </w:r>
          </w:p>
        </w:tc>
        <w:tc>
          <w:tcPr>
            <w:tcW w:w="134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19.41</w:t>
            </w:r>
          </w:p>
        </w:tc>
        <w:tc>
          <w:tcPr>
            <w:tcW w:w="13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41.58</w:t>
            </w:r>
          </w:p>
        </w:tc>
      </w:tr>
      <w:tr>
        <w:trPr>
          <w:trHeight w:val="27"/>
        </w:trPr>
        <w:tc>
          <w:tcPr>
            <w:tcW w:w="3100" w:type="dxa"/>
            <w:vAlign w:val="bottom"/>
            <w:tcBorders>
              <w:left w:val="single" w:sz="8" w:color="auto"/>
              <w:bottom w:val="single" w:sz="8" w:color="auto"/>
              <w:right w:val="single" w:sz="8" w:color="auto"/>
            </w:tcBorders>
          </w:tcPr>
          <w:p>
            <w:pPr>
              <w:spacing w:after="0"/>
              <w:rPr>
                <w:sz w:val="2"/>
                <w:szCs w:val="2"/>
                <w:color w:val="auto"/>
              </w:rPr>
            </w:pPr>
          </w:p>
        </w:tc>
        <w:tc>
          <w:tcPr>
            <w:tcW w:w="1380" w:type="dxa"/>
            <w:vAlign w:val="bottom"/>
            <w:tcBorders>
              <w:bottom w:val="single" w:sz="8" w:color="auto"/>
              <w:right w:val="single" w:sz="8" w:color="auto"/>
            </w:tcBorders>
          </w:tcPr>
          <w:p>
            <w:pPr>
              <w:spacing w:after="0"/>
              <w:rPr>
                <w:sz w:val="2"/>
                <w:szCs w:val="2"/>
                <w:color w:val="auto"/>
              </w:rPr>
            </w:pPr>
          </w:p>
        </w:tc>
        <w:tc>
          <w:tcPr>
            <w:tcW w:w="1340" w:type="dxa"/>
            <w:vAlign w:val="bottom"/>
            <w:tcBorders>
              <w:bottom w:val="single" w:sz="8" w:color="auto"/>
              <w:right w:val="single" w:sz="8" w:color="auto"/>
            </w:tcBorders>
          </w:tcPr>
          <w:p>
            <w:pPr>
              <w:spacing w:after="0"/>
              <w:rPr>
                <w:sz w:val="2"/>
                <w:szCs w:val="2"/>
                <w:color w:val="auto"/>
              </w:rPr>
            </w:pPr>
          </w:p>
        </w:tc>
        <w:tc>
          <w:tcPr>
            <w:tcW w:w="1360" w:type="dxa"/>
            <w:vAlign w:val="bottom"/>
            <w:tcBorders>
              <w:bottom w:val="single" w:sz="8" w:color="auto"/>
              <w:right w:val="single" w:sz="8" w:color="auto"/>
            </w:tcBorders>
          </w:tcPr>
          <w:p>
            <w:pPr>
              <w:spacing w:after="0"/>
              <w:rPr>
                <w:sz w:val="2"/>
                <w:szCs w:val="2"/>
                <w:color w:val="auto"/>
              </w:rPr>
            </w:pPr>
          </w:p>
        </w:tc>
      </w:tr>
    </w:tbl>
    <w:p>
      <w:pPr>
        <w:spacing w:after="0" w:line="238"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Fuente: Suárez, 2010.</w:t>
      </w:r>
    </w:p>
    <w:p>
      <w:pPr>
        <w:sectPr>
          <w:pgSz w:w="9360" w:h="13039" w:orient="portrait"/>
          <w:cols w:equalWidth="0" w:num="1">
            <w:col w:w="7180"/>
          </w:cols>
          <w:pgMar w:left="1080" w:top="906" w:right="110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7" w:lineRule="exact"/>
        <w:rPr>
          <w:sz w:val="20"/>
          <w:szCs w:val="20"/>
          <w:color w:val="auto"/>
        </w:rPr>
      </w:pPr>
    </w:p>
    <w:tbl>
      <w:tblPr>
        <w:tblLayout w:type="fixed"/>
        <w:tblInd w:w="0" w:type="dxa"/>
        <w:tblCellMar>
          <w:top w:w="0" w:type="dxa"/>
          <w:left w:w="0" w:type="dxa"/>
          <w:bottom w:w="0" w:type="dxa"/>
          <w:right w:w="0" w:type="dxa"/>
        </w:tblCellMar>
      </w:tblPr>
      <w:tr>
        <w:trPr>
          <w:trHeight w:val="1660"/>
          <w:jc w:val="center"/>
        </w:trPr>
        <w:tc>
          <w:tcPr>
            <w:tcW w:w="161" w:type="dxa"/>
            <w:vAlign w:val="bottom"/>
            <w:textDirection w:val="btLr"/>
          </w:tcPr>
          <w:p>
            <w:pPr>
              <w:spacing w:after="0"/>
              <w:rPr>
                <w:sz w:val="20"/>
                <w:szCs w:val="20"/>
                <w:color w:val="auto"/>
              </w:rPr>
            </w:pPr>
            <w:r>
              <w:rPr>
                <w:rFonts w:ascii="Times New Roman" w:cs="Times New Roman" w:eastAsia="Times New Roman" w:hAnsi="Times New Roman"/>
                <w:sz w:val="14"/>
                <w:szCs w:val="14"/>
                <w:color w:val="auto"/>
              </w:rPr>
              <w:t>Velocidad de escape cm s-1</w:t>
            </w:r>
          </w:p>
        </w:tc>
      </w:tr>
    </w:tbl>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0"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120</w:t>
      </w:r>
    </w:p>
    <w:p>
      <w:pPr>
        <w:spacing w:after="0" w:line="396"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100</w:t>
      </w:r>
    </w:p>
    <w:p>
      <w:pPr>
        <w:spacing w:after="0" w:line="396"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16"/>
          <w:szCs w:val="16"/>
          <w:color w:val="auto"/>
        </w:rPr>
        <w:t>80</w:t>
      </w:r>
    </w:p>
    <w:p>
      <w:pPr>
        <w:spacing w:after="0" w:line="376"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16"/>
          <w:szCs w:val="16"/>
          <w:color w:val="auto"/>
        </w:rPr>
        <w:t>60</w:t>
      </w:r>
    </w:p>
    <w:p>
      <w:pPr>
        <w:spacing w:after="0" w:line="396"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16"/>
          <w:szCs w:val="16"/>
          <w:color w:val="auto"/>
        </w:rPr>
        <w:t>40</w:t>
      </w:r>
    </w:p>
    <w:p>
      <w:pPr>
        <w:spacing w:after="0" w:line="376"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16"/>
          <w:szCs w:val="16"/>
          <w:color w:val="auto"/>
        </w:rPr>
        <w:t>20</w:t>
      </w:r>
    </w:p>
    <w:p>
      <w:pPr>
        <w:spacing w:after="0" w:line="396"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16"/>
          <w:szCs w:val="16"/>
          <w:color w:val="auto"/>
        </w:rPr>
        <w:t>0</w:t>
      </w:r>
    </w:p>
    <w:p>
      <w:pPr>
        <w:spacing w:after="0" w:line="200" w:lineRule="exact"/>
        <w:rPr>
          <w:sz w:val="20"/>
          <w:szCs w:val="20"/>
          <w:color w:val="auto"/>
        </w:rPr>
      </w:pPr>
      <w:r>
        <w:rPr>
          <w:sz w:val="20"/>
          <w:szCs w:val="20"/>
          <w:color w:val="auto"/>
        </w:rPr>
        <w:br w:type="column"/>
      </w:r>
    </w:p>
    <w:p>
      <w:pPr>
        <w:spacing w:after="0" w:line="340" w:lineRule="exact"/>
        <w:rPr>
          <w:sz w:val="20"/>
          <w:szCs w:val="20"/>
          <w:color w:val="auto"/>
        </w:rPr>
      </w:pPr>
    </w:p>
    <w:p>
      <w:pPr>
        <w:ind w:left="2000"/>
        <w:spacing w:after="0"/>
        <w:rPr>
          <w:sz w:val="20"/>
          <w:szCs w:val="20"/>
          <w:color w:val="auto"/>
        </w:rPr>
      </w:pPr>
      <w:r>
        <w:rPr>
          <w:rFonts w:ascii="Times New Roman" w:cs="Times New Roman" w:eastAsia="Times New Roman" w:hAnsi="Times New Roman"/>
          <w:sz w:val="18"/>
          <w:szCs w:val="18"/>
          <w:i w:val="1"/>
          <w:iCs w:val="1"/>
          <w:color w:val="auto"/>
        </w:rPr>
        <w:t>Figura 5</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-840740</wp:posOffset>
            </wp:positionH>
            <wp:positionV relativeFrom="paragraph">
              <wp:posOffset>93980</wp:posOffset>
            </wp:positionV>
            <wp:extent cx="4575810" cy="2839720"/>
            <wp:wrapNone/>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39">
                      <a:extLst>
                        <a:ext uri="{28A0092B-C50C-407E-A947-70E740481C1C}"/>
                      </a:extLst>
                    </a:blip>
                    <a:srcRect/>
                    <a:stretch>
                      <a:fillRect/>
                    </a:stretch>
                  </pic:blipFill>
                  <pic:spPr bwMode="auto">
                    <a:xfrm>
                      <a:off x="0" y="0"/>
                      <a:ext cx="4575810" cy="2839720"/>
                    </a:xfrm>
                    <a:prstGeom prst="rect">
                      <a:avLst/>
                    </a:prstGeom>
                    <a:noFill/>
                  </pic:spPr>
                </pic:pic>
              </a:graphicData>
            </a:graphic>
          </wp:anchor>
        </w:drawing>
      </w:r>
    </w:p>
    <w:p>
      <w:pPr>
        <w:spacing w:after="0" w:line="200" w:lineRule="exact"/>
        <w:rPr>
          <w:sz w:val="20"/>
          <w:szCs w:val="20"/>
          <w:color w:val="auto"/>
        </w:rPr>
      </w:pPr>
    </w:p>
    <w:p>
      <w:pPr>
        <w:spacing w:after="0" w:line="282" w:lineRule="exact"/>
        <w:rPr>
          <w:sz w:val="20"/>
          <w:szCs w:val="20"/>
          <w:color w:val="auto"/>
        </w:rPr>
      </w:pPr>
    </w:p>
    <w:p>
      <w:pPr>
        <w:ind w:left="740"/>
        <w:spacing w:after="0"/>
        <w:rPr>
          <w:sz w:val="20"/>
          <w:szCs w:val="20"/>
          <w:color w:val="auto"/>
        </w:rPr>
      </w:pPr>
      <w:r>
        <w:rPr>
          <w:rFonts w:ascii="Times New Roman" w:cs="Times New Roman" w:eastAsia="Times New Roman" w:hAnsi="Times New Roman"/>
          <w:sz w:val="14"/>
          <w:szCs w:val="14"/>
          <w:i w:val="1"/>
          <w:iCs w:val="1"/>
          <w:color w:val="auto"/>
        </w:rPr>
        <w:t>A. costata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8" w:lineRule="exact"/>
        <w:rPr>
          <w:sz w:val="20"/>
          <w:szCs w:val="20"/>
          <w:color w:val="auto"/>
        </w:rPr>
      </w:pPr>
    </w:p>
    <w:p>
      <w:pPr>
        <w:ind w:left="2060"/>
        <w:spacing w:after="0"/>
        <w:rPr>
          <w:sz w:val="20"/>
          <w:szCs w:val="20"/>
          <w:color w:val="auto"/>
        </w:rPr>
      </w:pPr>
      <w:r>
        <w:rPr>
          <w:rFonts w:ascii="Times New Roman" w:cs="Times New Roman" w:eastAsia="Times New Roman" w:hAnsi="Times New Roman"/>
          <w:sz w:val="14"/>
          <w:szCs w:val="14"/>
          <w:i w:val="1"/>
          <w:iCs w:val="1"/>
          <w:color w:val="auto"/>
        </w:rPr>
        <w:t>P. orbiculare</w:t>
      </w:r>
    </w:p>
    <w:p>
      <w:pPr>
        <w:spacing w:after="0" w:line="44" w:lineRule="exact"/>
        <w:rPr>
          <w:sz w:val="20"/>
          <w:szCs w:val="20"/>
          <w:color w:val="auto"/>
        </w:rPr>
      </w:pPr>
    </w:p>
    <w:p>
      <w:pPr>
        <w:ind w:left="3940"/>
        <w:spacing w:after="0"/>
        <w:rPr>
          <w:sz w:val="20"/>
          <w:szCs w:val="20"/>
          <w:color w:val="auto"/>
        </w:rPr>
      </w:pPr>
      <w:r>
        <w:rPr>
          <w:rFonts w:ascii="Times New Roman" w:cs="Times New Roman" w:eastAsia="Times New Roman" w:hAnsi="Times New Roman"/>
          <w:sz w:val="14"/>
          <w:szCs w:val="14"/>
          <w:i w:val="1"/>
          <w:iCs w:val="1"/>
          <w:color w:val="auto"/>
        </w:rPr>
        <w:t>S. aeneus</w:t>
      </w:r>
    </w:p>
    <w:p>
      <w:pPr>
        <w:spacing w:after="0"/>
        <w:rPr>
          <w:sz w:val="20"/>
          <w:szCs w:val="20"/>
          <w:color w:val="auto"/>
        </w:rPr>
      </w:pPr>
      <w:r>
        <w:rPr>
          <w:rFonts w:ascii="Times New Roman" w:cs="Times New Roman" w:eastAsia="Times New Roman" w:hAnsi="Times New Roman"/>
          <w:sz w:val="14"/>
          <w:szCs w:val="14"/>
          <w:i w:val="1"/>
          <w:iCs w:val="1"/>
          <w:color w:val="auto"/>
        </w:rPr>
        <w:t>S. grammicus</w:t>
      </w:r>
    </w:p>
    <w:p>
      <w:pPr>
        <w:spacing w:after="0" w:line="248" w:lineRule="exact"/>
        <w:rPr>
          <w:sz w:val="20"/>
          <w:szCs w:val="20"/>
          <w:color w:val="auto"/>
        </w:rPr>
      </w:pPr>
    </w:p>
    <w:p>
      <w:pPr>
        <w:ind w:left="1340"/>
        <w:spacing w:after="0"/>
        <w:rPr>
          <w:sz w:val="20"/>
          <w:szCs w:val="20"/>
          <w:color w:val="auto"/>
        </w:rPr>
      </w:pPr>
      <w:r>
        <w:rPr>
          <w:rFonts w:ascii="Times New Roman" w:cs="Times New Roman" w:eastAsia="Times New Roman" w:hAnsi="Times New Roman"/>
          <w:sz w:val="14"/>
          <w:szCs w:val="14"/>
          <w:i w:val="1"/>
          <w:iCs w:val="1"/>
          <w:color w:val="auto"/>
        </w:rPr>
        <w:t>B. imbricata</w:t>
      </w:r>
    </w:p>
    <w:p>
      <w:pPr>
        <w:spacing w:after="0" w:line="358" w:lineRule="exact"/>
        <w:rPr>
          <w:sz w:val="20"/>
          <w:szCs w:val="20"/>
          <w:color w:val="auto"/>
        </w:rPr>
      </w:pPr>
    </w:p>
    <w:p>
      <w:pPr>
        <w:ind w:left="2700"/>
        <w:spacing w:after="0"/>
        <w:rPr>
          <w:sz w:val="20"/>
          <w:szCs w:val="20"/>
          <w:color w:val="auto"/>
        </w:rPr>
      </w:pPr>
      <w:r>
        <w:rPr>
          <w:rFonts w:ascii="Times New Roman" w:cs="Times New Roman" w:eastAsia="Times New Roman" w:hAnsi="Times New Roman"/>
          <w:sz w:val="14"/>
          <w:szCs w:val="14"/>
          <w:i w:val="1"/>
          <w:iCs w:val="1"/>
          <w:color w:val="auto"/>
        </w:rPr>
        <w:t>S. bicanthalis</w:t>
      </w:r>
    </w:p>
    <w:p>
      <w:pPr>
        <w:spacing w:after="0" w:line="155"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14"/>
          <w:szCs w:val="14"/>
          <w:i w:val="1"/>
          <w:iCs w:val="1"/>
          <w:color w:val="auto"/>
        </w:rPr>
        <w:t>S. scalaris</w:t>
      </w:r>
    </w:p>
    <w:p>
      <w:pPr>
        <w:spacing w:after="0" w:line="200" w:lineRule="exact"/>
        <w:rPr>
          <w:sz w:val="20"/>
          <w:szCs w:val="20"/>
          <w:color w:val="auto"/>
        </w:rPr>
      </w:pPr>
    </w:p>
    <w:p>
      <w:pPr>
        <w:spacing w:after="0" w:line="315" w:lineRule="exact"/>
        <w:rPr>
          <w:sz w:val="20"/>
          <w:szCs w:val="20"/>
          <w:color w:val="auto"/>
        </w:rPr>
      </w:pPr>
    </w:p>
    <w:p>
      <w:pPr>
        <w:ind w:left="2460" w:right="160" w:hanging="2188"/>
        <w:spacing w:after="0" w:line="307" w:lineRule="auto"/>
        <w:rPr>
          <w:sz w:val="20"/>
          <w:szCs w:val="20"/>
          <w:color w:val="auto"/>
        </w:rPr>
      </w:pPr>
      <w:r>
        <w:rPr>
          <w:rFonts w:ascii="Times New Roman" w:cs="Times New Roman" w:eastAsia="Times New Roman" w:hAnsi="Times New Roman"/>
          <w:sz w:val="16"/>
          <w:szCs w:val="16"/>
          <w:color w:val="auto"/>
        </w:rPr>
        <w:t>1 2 3 4 5 6 7 8 Especies</w:t>
      </w:r>
    </w:p>
    <w:p>
      <w:pPr>
        <w:sectPr>
          <w:pgSz w:w="9360" w:h="13039" w:orient="portrait"/>
          <w:cols w:equalWidth="0" w:num="3">
            <w:col w:w="161" w:space="129"/>
            <w:col w:w="240" w:space="680"/>
            <w:col w:w="5360"/>
          </w:cols>
          <w:pgMar w:left="1190" w:top="906" w:right="1600" w:bottom="43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6" w:lineRule="exact"/>
        <w:rPr>
          <w:sz w:val="20"/>
          <w:szCs w:val="20"/>
          <w:color w:val="auto"/>
        </w:rPr>
      </w:pPr>
    </w:p>
    <w:p>
      <w:pPr>
        <w:jc w:val="both"/>
        <w:spacing w:after="0" w:line="299" w:lineRule="auto"/>
        <w:rPr>
          <w:sz w:val="20"/>
          <w:szCs w:val="20"/>
          <w:color w:val="auto"/>
        </w:rPr>
      </w:pPr>
      <w:r>
        <w:rPr>
          <w:rFonts w:ascii="Times New Roman" w:cs="Times New Roman" w:eastAsia="Times New Roman" w:hAnsi="Times New Roman"/>
          <w:sz w:val="16"/>
          <w:szCs w:val="16"/>
          <w:color w:val="auto"/>
        </w:rPr>
        <w:t>Ancova utilizando la lhc como variable covariada. Se observan los diferentes grupos formados a partir de la velocidad de escape. Los cuadros representan la media de la velocidad y las líneas señalan los valores máximos y mínimos. (Fuente: Suárez, 2010).</w:t>
      </w:r>
    </w:p>
    <w:p>
      <w:pPr>
        <w:sectPr>
          <w:pgSz w:w="9360" w:h="13039" w:orient="portrait"/>
          <w:cols w:equalWidth="0" w:num="1">
            <w:col w:w="7200"/>
          </w:cols>
          <w:pgMar w:left="1080" w:top="906" w:right="1080" w:bottom="437" w:gutter="0" w:footer="0" w:header="0"/>
          <w:type w:val="continuous"/>
        </w:sectPr>
      </w:pPr>
    </w:p>
    <w:p>
      <w:pPr>
        <w:spacing w:after="0" w:line="200" w:lineRule="exact"/>
        <w:rPr>
          <w:sz w:val="20"/>
          <w:szCs w:val="20"/>
          <w:color w:val="auto"/>
        </w:rPr>
      </w:pPr>
    </w:p>
    <w:p>
      <w:pPr>
        <w:spacing w:after="0" w:line="387"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36" name="Shape 13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36" o:spid="_x0000_s116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37" name="Shape 13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37" o:spid="_x0000_s116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38" name="Shape 13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38" o:spid="_x0000_s116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65" w:name="page66"/>
    <w:bookmarkEnd w:id="65"/>
    <w:p>
      <w:pPr>
        <w:ind w:left="1080"/>
        <w:spacing w:after="0"/>
        <w:tabs>
          <w:tab w:leader="dot" w:pos="7020" w:val="left"/>
        </w:tabs>
        <w:rPr>
          <w:sz w:val="20"/>
          <w:szCs w:val="20"/>
          <w:color w:val="auto"/>
        </w:rPr>
      </w:pPr>
      <w:r>
        <w:rPr>
          <w:rFonts w:ascii="Arial Narrow" w:cs="Arial Narrow" w:eastAsia="Arial Narrow" w:hAnsi="Arial Narrow"/>
          <w:sz w:val="11"/>
          <w:szCs w:val="11"/>
          <w:color w:val="auto"/>
        </w:rPr>
        <w:t>morfología corporal y comparación de la velocidad de escape en algunas especies</w:t>
      </w:r>
      <w:r>
        <w:rPr>
          <w:sz w:val="20"/>
          <w:szCs w:val="20"/>
          <w:color w:val="auto"/>
        </w:rPr>
        <w:tab/>
      </w:r>
      <w:r>
        <w:rPr>
          <w:rFonts w:ascii="Arial Narrow" w:cs="Arial Narrow" w:eastAsia="Arial Narrow" w:hAnsi="Arial Narrow"/>
          <w:sz w:val="16"/>
          <w:szCs w:val="16"/>
          <w:color w:val="auto"/>
        </w:rPr>
        <w:t>65</w:t>
      </w:r>
    </w:p>
    <w:p>
      <w:pPr>
        <w:spacing w:after="0" w:line="200" w:lineRule="exact"/>
        <w:rPr>
          <w:sz w:val="20"/>
          <w:szCs w:val="20"/>
          <w:color w:val="auto"/>
        </w:rPr>
      </w:pPr>
    </w:p>
    <w:p>
      <w:pPr>
        <w:spacing w:after="0" w:line="349" w:lineRule="exact"/>
        <w:rPr>
          <w:sz w:val="20"/>
          <w:szCs w:val="20"/>
          <w:color w:val="auto"/>
        </w:rPr>
      </w:pPr>
    </w:p>
    <w:p>
      <w:pPr>
        <w:jc w:val="both"/>
        <w:spacing w:after="0" w:line="318" w:lineRule="auto"/>
        <w:rPr>
          <w:sz w:val="20"/>
          <w:szCs w:val="20"/>
          <w:color w:val="auto"/>
        </w:rPr>
      </w:pPr>
      <w:r>
        <w:rPr>
          <w:rFonts w:ascii="Times New Roman" w:cs="Times New Roman" w:eastAsia="Times New Roman" w:hAnsi="Times New Roman"/>
          <w:sz w:val="21"/>
          <w:szCs w:val="21"/>
          <w:color w:val="auto"/>
        </w:rPr>
        <w:t xml:space="preserve">Una prueba de comparación múltiple de lsd (95% de confianza) mostró la formación de los tres diferentes grupos que se mencionaron. </w:t>
      </w:r>
      <w:r>
        <w:rPr>
          <w:rFonts w:ascii="Times New Roman" w:cs="Times New Roman" w:eastAsia="Times New Roman" w:hAnsi="Times New Roman"/>
          <w:sz w:val="21"/>
          <w:szCs w:val="21"/>
          <w:i w:val="1"/>
          <w:iCs w:val="1"/>
          <w:color w:val="auto"/>
        </w:rPr>
        <w:t>A. costata</w:t>
      </w:r>
      <w:r>
        <w:rPr>
          <w:rFonts w:ascii="Times New Roman" w:cs="Times New Roman" w:eastAsia="Times New Roman" w:hAnsi="Times New Roman"/>
          <w:sz w:val="21"/>
          <w:szCs w:val="21"/>
          <w:color w:val="auto"/>
        </w:rPr>
        <w:t xml:space="preserve"> fue la única especie que se separó totalmente del grupo con la mayor velocidad de escape. Las especies </w:t>
      </w:r>
      <w:r>
        <w:rPr>
          <w:rFonts w:ascii="Times New Roman" w:cs="Times New Roman" w:eastAsia="Times New Roman" w:hAnsi="Times New Roman"/>
          <w:sz w:val="21"/>
          <w:szCs w:val="21"/>
          <w:i w:val="1"/>
          <w:iCs w:val="1"/>
          <w:color w:val="auto"/>
        </w:rPr>
        <w:t>S. aeneus</w:t>
      </w:r>
      <w:r>
        <w:rPr>
          <w:rFonts w:ascii="Times New Roman" w:cs="Times New Roman" w:eastAsia="Times New Roman" w:hAnsi="Times New Roman"/>
          <w:sz w:val="21"/>
          <w:szCs w:val="21"/>
          <w:color w:val="auto"/>
        </w:rPr>
        <w:t xml:space="preserve"> del Parque Hermenegildo Galeana tuvieron una velocidad menor en comparación con </w:t>
      </w:r>
      <w:r>
        <w:rPr>
          <w:rFonts w:ascii="Times New Roman" w:cs="Times New Roman" w:eastAsia="Times New Roman" w:hAnsi="Times New Roman"/>
          <w:sz w:val="21"/>
          <w:szCs w:val="21"/>
          <w:i w:val="1"/>
          <w:iCs w:val="1"/>
          <w:color w:val="auto"/>
        </w:rPr>
        <w:t>S. aeneus</w:t>
      </w:r>
      <w:r>
        <w:rPr>
          <w:rFonts w:ascii="Times New Roman" w:cs="Times New Roman" w:eastAsia="Times New Roman" w:hAnsi="Times New Roman"/>
          <w:sz w:val="21"/>
          <w:szCs w:val="21"/>
          <w:color w:val="auto"/>
        </w:rPr>
        <w:t xml:space="preserve"> de El Mapa, mostrando mayor similitud con </w:t>
      </w:r>
      <w:r>
        <w:rPr>
          <w:rFonts w:ascii="Times New Roman" w:cs="Times New Roman" w:eastAsia="Times New Roman" w:hAnsi="Times New Roman"/>
          <w:sz w:val="21"/>
          <w:szCs w:val="21"/>
          <w:i w:val="1"/>
          <w:iCs w:val="1"/>
          <w:color w:val="auto"/>
        </w:rPr>
        <w:t>S. scalaris;</w:t>
      </w:r>
      <w:r>
        <w:rPr>
          <w:rFonts w:ascii="Times New Roman" w:cs="Times New Roman" w:eastAsia="Times New Roman" w:hAnsi="Times New Roman"/>
          <w:sz w:val="21"/>
          <w:szCs w:val="21"/>
          <w:color w:val="auto"/>
        </w:rPr>
        <w:t xml:space="preserve"> en tanto que </w:t>
      </w:r>
      <w:r>
        <w:rPr>
          <w:rFonts w:ascii="Times New Roman" w:cs="Times New Roman" w:eastAsia="Times New Roman" w:hAnsi="Times New Roman"/>
          <w:sz w:val="21"/>
          <w:szCs w:val="21"/>
          <w:i w:val="1"/>
          <w:iCs w:val="1"/>
          <w:color w:val="auto"/>
        </w:rPr>
        <w:t xml:space="preserve">S. aeneus </w:t>
      </w:r>
      <w:r>
        <w:rPr>
          <w:rFonts w:ascii="Times New Roman" w:cs="Times New Roman" w:eastAsia="Times New Roman" w:hAnsi="Times New Roman"/>
          <w:sz w:val="21"/>
          <w:szCs w:val="21"/>
          <w:color w:val="auto"/>
        </w:rPr>
        <w:t>de El Mapa desempeñó una media en la velocidad muy similar a la de</w:t>
      </w:r>
      <w:r>
        <w:rPr>
          <w:rFonts w:ascii="Times New Roman" w:cs="Times New Roman" w:eastAsia="Times New Roman" w:hAnsi="Times New Roman"/>
          <w:sz w:val="21"/>
          <w:szCs w:val="21"/>
          <w:i w:val="1"/>
          <w:iCs w:val="1"/>
          <w:color w:val="auto"/>
        </w:rPr>
        <w:t xml:space="preserve"> S. bicanthalis, </w:t>
      </w:r>
      <w:r>
        <w:rPr>
          <w:rFonts w:ascii="Times New Roman" w:cs="Times New Roman" w:eastAsia="Times New Roman" w:hAnsi="Times New Roman"/>
          <w:sz w:val="21"/>
          <w:szCs w:val="21"/>
          <w:color w:val="auto"/>
        </w:rPr>
        <w:t>pero también se igualó con</w:t>
      </w:r>
      <w:r>
        <w:rPr>
          <w:rFonts w:ascii="Times New Roman" w:cs="Times New Roman" w:eastAsia="Times New Roman" w:hAnsi="Times New Roman"/>
          <w:sz w:val="21"/>
          <w:szCs w:val="21"/>
          <w:i w:val="1"/>
          <w:iCs w:val="1"/>
          <w:color w:val="auto"/>
        </w:rPr>
        <w:t xml:space="preserve"> S. scalaris</w:t>
      </w:r>
      <w:r>
        <w:rPr>
          <w:rFonts w:ascii="Times New Roman" w:cs="Times New Roman" w:eastAsia="Times New Roman" w:hAnsi="Times New Roman"/>
          <w:sz w:val="21"/>
          <w:szCs w:val="21"/>
          <w:color w:val="auto"/>
        </w:rPr>
        <w:t>; mientras que</w:t>
      </w:r>
      <w:r>
        <w:rPr>
          <w:rFonts w:ascii="Times New Roman" w:cs="Times New Roman" w:eastAsia="Times New Roman" w:hAnsi="Times New Roman"/>
          <w:sz w:val="21"/>
          <w:szCs w:val="21"/>
          <w:i w:val="1"/>
          <w:iCs w:val="1"/>
          <w:color w:val="auto"/>
        </w:rPr>
        <w:t xml:space="preserve"> P. orbiculare </w:t>
      </w:r>
      <w:r>
        <w:rPr>
          <w:rFonts w:ascii="Times New Roman" w:cs="Times New Roman" w:eastAsia="Times New Roman" w:hAnsi="Times New Roman"/>
          <w:sz w:val="21"/>
          <w:szCs w:val="21"/>
          <w:color w:val="auto"/>
        </w:rPr>
        <w:t>exhibió</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 xml:space="preserve">velocidades similares a las de </w:t>
      </w:r>
      <w:r>
        <w:rPr>
          <w:rFonts w:ascii="Times New Roman" w:cs="Times New Roman" w:eastAsia="Times New Roman" w:hAnsi="Times New Roman"/>
          <w:sz w:val="21"/>
          <w:szCs w:val="21"/>
          <w:i w:val="1"/>
          <w:iCs w:val="1"/>
          <w:color w:val="auto"/>
        </w:rPr>
        <w:t>B. imbricata</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S. grammicus</w:t>
      </w:r>
      <w:r>
        <w:rPr>
          <w:rFonts w:ascii="Times New Roman" w:cs="Times New Roman" w:eastAsia="Times New Roman" w:hAnsi="Times New Roman"/>
          <w:sz w:val="21"/>
          <w:szCs w:val="21"/>
          <w:color w:val="auto"/>
        </w:rPr>
        <w:t>.</w:t>
      </w:r>
    </w:p>
    <w:p>
      <w:pPr>
        <w:jc w:val="both"/>
        <w:ind w:firstLine="360"/>
        <w:spacing w:after="0" w:line="307" w:lineRule="auto"/>
        <w:rPr>
          <w:sz w:val="20"/>
          <w:szCs w:val="20"/>
          <w:color w:val="auto"/>
        </w:rPr>
      </w:pPr>
      <w:r>
        <w:rPr>
          <w:rFonts w:ascii="Times New Roman" w:cs="Times New Roman" w:eastAsia="Times New Roman" w:hAnsi="Times New Roman"/>
          <w:sz w:val="22"/>
          <w:szCs w:val="22"/>
          <w:color w:val="auto"/>
        </w:rPr>
        <w:t>El Ancova, en el cual se utilizó el sexo como factor, mostró que las especies no presentaron diferencias significativas entre machos y hembras de cada especie en la velocidad de escape (</w:t>
      </w:r>
      <w:r>
        <w:rPr>
          <w:rFonts w:ascii="Times New Roman" w:cs="Times New Roman" w:eastAsia="Times New Roman" w:hAnsi="Times New Roman"/>
          <w:sz w:val="22"/>
          <w:szCs w:val="22"/>
          <w:i w:val="1"/>
          <w:iCs w:val="1"/>
          <w:color w:val="auto"/>
        </w:rPr>
        <w:t>F</w:t>
      </w:r>
      <w:r>
        <w:rPr>
          <w:rFonts w:ascii="Times New Roman" w:cs="Times New Roman" w:eastAsia="Times New Roman" w:hAnsi="Times New Roman"/>
          <w:sz w:val="22"/>
          <w:szCs w:val="22"/>
          <w:color w:val="auto"/>
        </w:rPr>
        <w:t xml:space="preserve"> = 13.91, </w:t>
      </w:r>
      <w:r>
        <w:rPr>
          <w:rFonts w:ascii="Times New Roman" w:cs="Times New Roman" w:eastAsia="Times New Roman" w:hAnsi="Times New Roman"/>
          <w:sz w:val="22"/>
          <w:szCs w:val="22"/>
          <w:i w:val="1"/>
          <w:iCs w:val="1"/>
          <w:color w:val="auto"/>
        </w:rPr>
        <w:t>gl</w:t>
      </w:r>
      <w:r>
        <w:rPr>
          <w:rFonts w:ascii="Times New Roman" w:cs="Times New Roman" w:eastAsia="Times New Roman" w:hAnsi="Times New Roman"/>
          <w:sz w:val="22"/>
          <w:szCs w:val="22"/>
          <w:color w:val="auto"/>
        </w:rPr>
        <w:t xml:space="preserve"> = 13, </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2"/>
          <w:szCs w:val="22"/>
          <w:color w:val="auto"/>
        </w:rPr>
        <w:t xml:space="preserve"> = 0.000). Del mismo modo, se observó que la lhc no tiene un efecto significativo sobre la velocidad de escape de machos y hembras. En el caso de las especies </w:t>
      </w:r>
      <w:r>
        <w:rPr>
          <w:rFonts w:ascii="Times New Roman" w:cs="Times New Roman" w:eastAsia="Times New Roman" w:hAnsi="Times New Roman"/>
          <w:sz w:val="22"/>
          <w:szCs w:val="22"/>
          <w:i w:val="1"/>
          <w:iCs w:val="1"/>
          <w:color w:val="auto"/>
        </w:rPr>
        <w:t>A. costata, S. aeneus</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S. grammicus,</w:t>
      </w:r>
      <w:r>
        <w:rPr>
          <w:rFonts w:ascii="Times New Roman" w:cs="Times New Roman" w:eastAsia="Times New Roman" w:hAnsi="Times New Roman"/>
          <w:sz w:val="22"/>
          <w:szCs w:val="22"/>
          <w:color w:val="auto"/>
        </w:rPr>
        <w:t xml:space="preserve"> los resultados no son concluyentes, debido a que el tamaño de muestra de los individuos colectados no es representativo (figura 6).</w:t>
      </w:r>
    </w:p>
    <w:p>
      <w:pPr>
        <w:spacing w:after="0" w:line="306" w:lineRule="exact"/>
        <w:rPr>
          <w:sz w:val="20"/>
          <w:szCs w:val="20"/>
          <w:color w:val="auto"/>
        </w:rPr>
      </w:pPr>
    </w:p>
    <w:p>
      <w:pPr>
        <w:ind w:left="3320"/>
        <w:spacing w:after="0"/>
        <w:rPr>
          <w:sz w:val="20"/>
          <w:szCs w:val="20"/>
          <w:color w:val="auto"/>
        </w:rPr>
      </w:pPr>
      <w:r>
        <w:rPr>
          <w:rFonts w:ascii="Times New Roman" w:cs="Times New Roman" w:eastAsia="Times New Roman" w:hAnsi="Times New Roman"/>
          <w:sz w:val="18"/>
          <w:szCs w:val="18"/>
          <w:i w:val="1"/>
          <w:iCs w:val="1"/>
          <w:color w:val="auto"/>
        </w:rPr>
        <w:t>Figura 6</w:t>
      </w:r>
    </w:p>
    <w:p>
      <w:pPr>
        <w:ind w:left="3320"/>
        <w:spacing w:after="0"/>
        <w:rPr>
          <w:sz w:val="20"/>
          <w:szCs w:val="20"/>
          <w:color w:val="auto"/>
        </w:rPr>
        <w:sectPr>
          <w:pgSz w:w="9360" w:h="13039" w:orient="portrait"/>
          <w:cols w:equalWidth="0" w:num="1">
            <w:col w:w="7200"/>
          </w:cols>
          <w:pgMar w:left="1080" w:top="905" w:right="1080" w:bottom="437" w:gutter="0" w:footer="0" w:header="0"/>
        </w:sectPr>
      </w:pPr>
      <w:r>
        <w:rPr>
          <w:sz w:val="20"/>
          <w:szCs w:val="20"/>
          <w:color w:val="auto"/>
        </w:rPr>
        <w:drawing>
          <wp:anchor simplePos="0" relativeHeight="251657728" behindDoc="1" locked="0" layoutInCell="0" allowOverlap="1">
            <wp:simplePos x="0" y="0"/>
            <wp:positionH relativeFrom="column">
              <wp:posOffset>-2540</wp:posOffset>
            </wp:positionH>
            <wp:positionV relativeFrom="paragraph">
              <wp:posOffset>83820</wp:posOffset>
            </wp:positionV>
            <wp:extent cx="4574540" cy="2159000"/>
            <wp:wrapNone/>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40">
                      <a:extLst>
                        <a:ext uri="{28A0092B-C50C-407E-A947-70E740481C1C}"/>
                      </a:extLst>
                    </a:blip>
                    <a:srcRect/>
                    <a:stretch>
                      <a:fillRect/>
                    </a:stretch>
                  </pic:blipFill>
                  <pic:spPr bwMode="auto">
                    <a:xfrm>
                      <a:off x="0" y="0"/>
                      <a:ext cx="4574540" cy="215900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324" w:lineRule="exact"/>
        <w:rPr>
          <w:sz w:val="20"/>
          <w:szCs w:val="20"/>
          <w:color w:val="auto"/>
        </w:rPr>
      </w:pPr>
    </w:p>
    <w:tbl>
      <w:tblPr>
        <w:tblLayout w:type="fixed"/>
        <w:tblInd w:w="0" w:type="dxa"/>
        <w:tblCellMar>
          <w:top w:w="0" w:type="dxa"/>
          <w:left w:w="0" w:type="dxa"/>
          <w:bottom w:w="0" w:type="dxa"/>
          <w:right w:w="0" w:type="dxa"/>
        </w:tblCellMar>
      </w:tblPr>
      <w:tr>
        <w:trPr>
          <w:trHeight w:val="1640"/>
          <w:jc w:val="center"/>
        </w:trPr>
        <w:tc>
          <w:tcPr>
            <w:tcW w:w="161" w:type="dxa"/>
            <w:vAlign w:val="bottom"/>
            <w:textDirection w:val="btLr"/>
          </w:tcPr>
          <w:p>
            <w:pPr>
              <w:spacing w:after="0"/>
              <w:rPr>
                <w:sz w:val="20"/>
                <w:szCs w:val="20"/>
                <w:color w:val="auto"/>
              </w:rPr>
            </w:pPr>
            <w:r>
              <w:rPr>
                <w:rFonts w:ascii="Times New Roman" w:cs="Times New Roman" w:eastAsia="Times New Roman" w:hAnsi="Times New Roman"/>
                <w:sz w:val="14"/>
                <w:szCs w:val="14"/>
                <w:color w:val="auto"/>
              </w:rPr>
              <w:t>Velocidad de escape cm s-</w:t>
            </w:r>
            <w:r>
              <w:rPr>
                <w:rFonts w:ascii="Times New Roman" w:cs="Times New Roman" w:eastAsia="Times New Roman" w:hAnsi="Times New Roman"/>
                <w:sz w:val="8"/>
                <w:szCs w:val="8"/>
                <w:color w:val="auto"/>
              </w:rPr>
              <w:t>1</w:t>
            </w:r>
          </w:p>
        </w:tc>
      </w:tr>
    </w:tbl>
    <w:p>
      <w:pPr>
        <w:spacing w:after="0" w:line="234" w:lineRule="exact"/>
        <w:rPr>
          <w:sz w:val="20"/>
          <w:szCs w:val="20"/>
          <w:color w:val="auto"/>
        </w:rPr>
      </w:pPr>
      <w:r>
        <w:rPr>
          <w:sz w:val="20"/>
          <w:szCs w:val="20"/>
          <w:color w:val="auto"/>
        </w:rPr>
        <w:br w:type="column"/>
      </w:r>
    </w:p>
    <w:p>
      <w:pPr>
        <w:spacing w:after="0"/>
        <w:rPr>
          <w:sz w:val="20"/>
          <w:szCs w:val="20"/>
          <w:color w:val="auto"/>
        </w:rPr>
      </w:pPr>
      <w:r>
        <w:rPr>
          <w:rFonts w:ascii="Times New Roman" w:cs="Times New Roman" w:eastAsia="Times New Roman" w:hAnsi="Times New Roman"/>
          <w:sz w:val="16"/>
          <w:szCs w:val="16"/>
          <w:color w:val="auto"/>
        </w:rPr>
        <w:t>150</w:t>
      </w:r>
    </w:p>
    <w:p>
      <w:pPr>
        <w:spacing w:after="0" w:line="67" w:lineRule="exact"/>
        <w:rPr>
          <w:sz w:val="20"/>
          <w:szCs w:val="20"/>
          <w:color w:val="auto"/>
        </w:rPr>
      </w:pPr>
    </w:p>
    <w:p>
      <w:pPr>
        <w:ind w:left="1580"/>
        <w:spacing w:after="0"/>
        <w:rPr>
          <w:sz w:val="20"/>
          <w:szCs w:val="20"/>
          <w:color w:val="auto"/>
        </w:rPr>
      </w:pPr>
      <w:r>
        <w:rPr>
          <w:rFonts w:ascii="Times New Roman" w:cs="Times New Roman" w:eastAsia="Times New Roman" w:hAnsi="Times New Roman"/>
          <w:sz w:val="14"/>
          <w:szCs w:val="14"/>
          <w:i w:val="1"/>
          <w:iCs w:val="1"/>
          <w:color w:val="auto"/>
        </w:rPr>
        <w:t>A. costata</w:t>
      </w:r>
    </w:p>
    <w:p>
      <w:pPr>
        <w:spacing w:after="0" w:line="48" w:lineRule="exact"/>
        <w:rPr>
          <w:sz w:val="20"/>
          <w:szCs w:val="20"/>
          <w:color w:val="auto"/>
        </w:rPr>
      </w:pPr>
    </w:p>
    <w:tbl>
      <w:tblPr>
        <w:tblLayout w:type="fixed"/>
        <w:tblInd w:w="0" w:type="dxa"/>
        <w:tblCellMar>
          <w:top w:w="0" w:type="dxa"/>
          <w:left w:w="0" w:type="dxa"/>
          <w:bottom w:w="0" w:type="dxa"/>
          <w:right w:w="0" w:type="dxa"/>
        </w:tblCellMar>
      </w:tblPr>
      <w:tr>
        <w:trPr>
          <w:trHeight w:val="203"/>
        </w:trPr>
        <w:tc>
          <w:tcPr>
            <w:tcW w:w="920" w:type="dxa"/>
            <w:vAlign w:val="bottom"/>
          </w:tcPr>
          <w:p>
            <w:pPr>
              <w:jc w:val="right"/>
              <w:ind w:right="601"/>
              <w:spacing w:after="0"/>
              <w:rPr>
                <w:sz w:val="20"/>
                <w:szCs w:val="20"/>
                <w:color w:val="auto"/>
              </w:rPr>
            </w:pPr>
            <w:r>
              <w:rPr>
                <w:rFonts w:ascii="Times New Roman" w:cs="Times New Roman" w:eastAsia="Times New Roman" w:hAnsi="Times New Roman"/>
                <w:sz w:val="16"/>
                <w:szCs w:val="16"/>
                <w:color w:val="auto"/>
                <w:w w:val="91"/>
              </w:rPr>
              <w:t>120</w:t>
            </w:r>
          </w:p>
        </w:tc>
        <w:tc>
          <w:tcPr>
            <w:tcW w:w="520" w:type="dxa"/>
            <w:vAlign w:val="bottom"/>
          </w:tcPr>
          <w:p>
            <w:pPr>
              <w:spacing w:after="0"/>
              <w:rPr>
                <w:sz w:val="17"/>
                <w:szCs w:val="17"/>
                <w:color w:val="auto"/>
              </w:rPr>
            </w:pPr>
          </w:p>
        </w:tc>
        <w:tc>
          <w:tcPr>
            <w:tcW w:w="360" w:type="dxa"/>
            <w:vAlign w:val="bottom"/>
          </w:tcPr>
          <w:p>
            <w:pPr>
              <w:spacing w:after="0"/>
              <w:rPr>
                <w:sz w:val="17"/>
                <w:szCs w:val="17"/>
                <w:color w:val="auto"/>
              </w:rPr>
            </w:pPr>
          </w:p>
        </w:tc>
        <w:tc>
          <w:tcPr>
            <w:tcW w:w="400" w:type="dxa"/>
            <w:vAlign w:val="bottom"/>
          </w:tcPr>
          <w:p>
            <w:pPr>
              <w:spacing w:after="0"/>
              <w:rPr>
                <w:sz w:val="17"/>
                <w:szCs w:val="17"/>
                <w:color w:val="auto"/>
              </w:rPr>
            </w:pPr>
          </w:p>
        </w:tc>
        <w:tc>
          <w:tcPr>
            <w:tcW w:w="560" w:type="dxa"/>
            <w:vAlign w:val="bottom"/>
          </w:tcPr>
          <w:p>
            <w:pPr>
              <w:spacing w:after="0"/>
              <w:rPr>
                <w:sz w:val="17"/>
                <w:szCs w:val="17"/>
                <w:color w:val="auto"/>
              </w:rPr>
            </w:pPr>
          </w:p>
        </w:tc>
        <w:tc>
          <w:tcPr>
            <w:tcW w:w="460" w:type="dxa"/>
            <w:vAlign w:val="bottom"/>
          </w:tcPr>
          <w:p>
            <w:pPr>
              <w:spacing w:after="0"/>
              <w:rPr>
                <w:sz w:val="17"/>
                <w:szCs w:val="17"/>
                <w:color w:val="auto"/>
              </w:rPr>
            </w:pPr>
          </w:p>
        </w:tc>
        <w:tc>
          <w:tcPr>
            <w:tcW w:w="500" w:type="dxa"/>
            <w:vAlign w:val="bottom"/>
          </w:tcPr>
          <w:p>
            <w:pPr>
              <w:spacing w:after="0"/>
              <w:rPr>
                <w:sz w:val="17"/>
                <w:szCs w:val="17"/>
                <w:color w:val="auto"/>
              </w:rPr>
            </w:pPr>
          </w:p>
        </w:tc>
        <w:tc>
          <w:tcPr>
            <w:tcW w:w="420" w:type="dxa"/>
            <w:vAlign w:val="bottom"/>
          </w:tcPr>
          <w:p>
            <w:pPr>
              <w:spacing w:after="0"/>
              <w:rPr>
                <w:sz w:val="17"/>
                <w:szCs w:val="17"/>
                <w:color w:val="auto"/>
              </w:rPr>
            </w:pPr>
          </w:p>
        </w:tc>
        <w:tc>
          <w:tcPr>
            <w:tcW w:w="460" w:type="dxa"/>
            <w:vAlign w:val="bottom"/>
          </w:tcPr>
          <w:p>
            <w:pPr>
              <w:spacing w:after="0"/>
              <w:rPr>
                <w:sz w:val="17"/>
                <w:szCs w:val="17"/>
                <w:color w:val="auto"/>
              </w:rPr>
            </w:pPr>
          </w:p>
        </w:tc>
        <w:tc>
          <w:tcPr>
            <w:tcW w:w="500" w:type="dxa"/>
            <w:vAlign w:val="bottom"/>
          </w:tcPr>
          <w:p>
            <w:pPr>
              <w:spacing w:after="0"/>
              <w:rPr>
                <w:sz w:val="17"/>
                <w:szCs w:val="17"/>
                <w:color w:val="auto"/>
              </w:rPr>
            </w:pPr>
          </w:p>
        </w:tc>
        <w:tc>
          <w:tcPr>
            <w:tcW w:w="400" w:type="dxa"/>
            <w:vAlign w:val="bottom"/>
          </w:tcPr>
          <w:p>
            <w:pPr>
              <w:spacing w:after="0"/>
              <w:rPr>
                <w:sz w:val="17"/>
                <w:szCs w:val="17"/>
                <w:color w:val="auto"/>
              </w:rPr>
            </w:pPr>
          </w:p>
        </w:tc>
        <w:tc>
          <w:tcPr>
            <w:tcW w:w="460" w:type="dxa"/>
            <w:vAlign w:val="bottom"/>
          </w:tcPr>
          <w:p>
            <w:pPr>
              <w:spacing w:after="0"/>
              <w:rPr>
                <w:sz w:val="17"/>
                <w:szCs w:val="17"/>
                <w:color w:val="auto"/>
              </w:rPr>
            </w:pPr>
          </w:p>
        </w:tc>
        <w:tc>
          <w:tcPr>
            <w:tcW w:w="440" w:type="dxa"/>
            <w:vAlign w:val="bottom"/>
          </w:tcPr>
          <w:p>
            <w:pPr>
              <w:spacing w:after="0"/>
              <w:rPr>
                <w:sz w:val="17"/>
                <w:szCs w:val="17"/>
                <w:color w:val="auto"/>
              </w:rPr>
            </w:pPr>
          </w:p>
        </w:tc>
        <w:tc>
          <w:tcPr>
            <w:tcW w:w="260" w:type="dxa"/>
            <w:vAlign w:val="bottom"/>
          </w:tcPr>
          <w:p>
            <w:pPr>
              <w:spacing w:after="0"/>
              <w:rPr>
                <w:sz w:val="17"/>
                <w:szCs w:val="17"/>
                <w:color w:val="auto"/>
              </w:rPr>
            </w:pPr>
          </w:p>
        </w:tc>
        <w:tc>
          <w:tcPr>
            <w:tcW w:w="0" w:type="dxa"/>
            <w:vAlign w:val="bottom"/>
          </w:tcPr>
          <w:p>
            <w:pPr>
              <w:spacing w:after="0"/>
              <w:rPr>
                <w:sz w:val="1"/>
                <w:szCs w:val="1"/>
                <w:color w:val="auto"/>
              </w:rPr>
            </w:pPr>
          </w:p>
        </w:tc>
      </w:tr>
      <w:tr>
        <w:trPr>
          <w:trHeight w:val="500"/>
        </w:trPr>
        <w:tc>
          <w:tcPr>
            <w:tcW w:w="920" w:type="dxa"/>
            <w:vAlign w:val="bottom"/>
          </w:tcPr>
          <w:p>
            <w:pPr>
              <w:jc w:val="right"/>
              <w:ind w:right="601"/>
              <w:spacing w:after="0"/>
              <w:rPr>
                <w:sz w:val="20"/>
                <w:szCs w:val="20"/>
                <w:color w:val="auto"/>
              </w:rPr>
            </w:pPr>
            <w:r>
              <w:rPr>
                <w:rFonts w:ascii="Times New Roman" w:cs="Times New Roman" w:eastAsia="Times New Roman" w:hAnsi="Times New Roman"/>
                <w:sz w:val="16"/>
                <w:szCs w:val="16"/>
                <w:color w:val="auto"/>
              </w:rPr>
              <w:t>90</w:t>
            </w:r>
          </w:p>
        </w:tc>
        <w:tc>
          <w:tcPr>
            <w:tcW w:w="52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560" w:type="dxa"/>
            <w:vAlign w:val="bottom"/>
          </w:tcPr>
          <w:p>
            <w:pPr>
              <w:spacing w:after="0"/>
              <w:rPr>
                <w:sz w:val="24"/>
                <w:szCs w:val="24"/>
                <w:color w:val="auto"/>
              </w:rPr>
            </w:pPr>
          </w:p>
        </w:tc>
        <w:tc>
          <w:tcPr>
            <w:tcW w:w="460" w:type="dxa"/>
            <w:vAlign w:val="bottom"/>
          </w:tcPr>
          <w:p>
            <w:pPr>
              <w:spacing w:after="0"/>
              <w:rPr>
                <w:sz w:val="24"/>
                <w:szCs w:val="24"/>
                <w:color w:val="auto"/>
              </w:rPr>
            </w:pPr>
          </w:p>
        </w:tc>
        <w:tc>
          <w:tcPr>
            <w:tcW w:w="920" w:type="dxa"/>
            <w:vAlign w:val="bottom"/>
            <w:gridSpan w:val="2"/>
            <w:vMerge w:val="restart"/>
          </w:tcPr>
          <w:p>
            <w:pPr>
              <w:jc w:val="right"/>
              <w:ind w:right="20"/>
              <w:spacing w:after="0"/>
              <w:rPr>
                <w:sz w:val="20"/>
                <w:szCs w:val="20"/>
                <w:color w:val="auto"/>
              </w:rPr>
            </w:pPr>
            <w:r>
              <w:rPr>
                <w:rFonts w:ascii="Times New Roman" w:cs="Times New Roman" w:eastAsia="Times New Roman" w:hAnsi="Times New Roman"/>
                <w:sz w:val="14"/>
                <w:szCs w:val="14"/>
                <w:i w:val="1"/>
                <w:iCs w:val="1"/>
                <w:color w:val="auto"/>
              </w:rPr>
              <w:t>P. orbiculare</w:t>
            </w:r>
          </w:p>
        </w:tc>
        <w:tc>
          <w:tcPr>
            <w:tcW w:w="460" w:type="dxa"/>
            <w:vAlign w:val="bottom"/>
          </w:tcPr>
          <w:p>
            <w:pPr>
              <w:spacing w:after="0"/>
              <w:rPr>
                <w:sz w:val="24"/>
                <w:szCs w:val="24"/>
                <w:color w:val="auto"/>
              </w:rPr>
            </w:pPr>
          </w:p>
        </w:tc>
        <w:tc>
          <w:tcPr>
            <w:tcW w:w="50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46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59"/>
        </w:trPr>
        <w:tc>
          <w:tcPr>
            <w:tcW w:w="920" w:type="dxa"/>
            <w:vAlign w:val="bottom"/>
          </w:tcPr>
          <w:p>
            <w:pPr>
              <w:spacing w:after="0"/>
              <w:rPr>
                <w:sz w:val="5"/>
                <w:szCs w:val="5"/>
                <w:color w:val="auto"/>
              </w:rPr>
            </w:pPr>
          </w:p>
        </w:tc>
        <w:tc>
          <w:tcPr>
            <w:tcW w:w="520" w:type="dxa"/>
            <w:vAlign w:val="bottom"/>
          </w:tcPr>
          <w:p>
            <w:pPr>
              <w:spacing w:after="0"/>
              <w:rPr>
                <w:sz w:val="5"/>
                <w:szCs w:val="5"/>
                <w:color w:val="auto"/>
              </w:rPr>
            </w:pPr>
          </w:p>
        </w:tc>
        <w:tc>
          <w:tcPr>
            <w:tcW w:w="360" w:type="dxa"/>
            <w:vAlign w:val="bottom"/>
          </w:tcPr>
          <w:p>
            <w:pPr>
              <w:spacing w:after="0"/>
              <w:rPr>
                <w:sz w:val="5"/>
                <w:szCs w:val="5"/>
                <w:color w:val="auto"/>
              </w:rPr>
            </w:pPr>
          </w:p>
        </w:tc>
        <w:tc>
          <w:tcPr>
            <w:tcW w:w="400" w:type="dxa"/>
            <w:vAlign w:val="bottom"/>
          </w:tcPr>
          <w:p>
            <w:pPr>
              <w:spacing w:after="0"/>
              <w:rPr>
                <w:sz w:val="5"/>
                <w:szCs w:val="5"/>
                <w:color w:val="auto"/>
              </w:rPr>
            </w:pPr>
          </w:p>
        </w:tc>
        <w:tc>
          <w:tcPr>
            <w:tcW w:w="560" w:type="dxa"/>
            <w:vAlign w:val="bottom"/>
          </w:tcPr>
          <w:p>
            <w:pPr>
              <w:spacing w:after="0"/>
              <w:rPr>
                <w:sz w:val="5"/>
                <w:szCs w:val="5"/>
                <w:color w:val="auto"/>
              </w:rPr>
            </w:pPr>
          </w:p>
        </w:tc>
        <w:tc>
          <w:tcPr>
            <w:tcW w:w="460" w:type="dxa"/>
            <w:vAlign w:val="bottom"/>
          </w:tcPr>
          <w:p>
            <w:pPr>
              <w:spacing w:after="0"/>
              <w:rPr>
                <w:sz w:val="5"/>
                <w:szCs w:val="5"/>
                <w:color w:val="auto"/>
              </w:rPr>
            </w:pPr>
          </w:p>
        </w:tc>
        <w:tc>
          <w:tcPr>
            <w:tcW w:w="920" w:type="dxa"/>
            <w:vAlign w:val="bottom"/>
            <w:gridSpan w:val="2"/>
            <w:vMerge w:val="continue"/>
          </w:tcPr>
          <w:p>
            <w:pPr>
              <w:spacing w:after="0"/>
              <w:rPr>
                <w:sz w:val="5"/>
                <w:szCs w:val="5"/>
                <w:color w:val="auto"/>
              </w:rPr>
            </w:pPr>
          </w:p>
        </w:tc>
        <w:tc>
          <w:tcPr>
            <w:tcW w:w="460" w:type="dxa"/>
            <w:vAlign w:val="bottom"/>
          </w:tcPr>
          <w:p>
            <w:pPr>
              <w:spacing w:after="0"/>
              <w:rPr>
                <w:sz w:val="5"/>
                <w:szCs w:val="5"/>
                <w:color w:val="auto"/>
              </w:rPr>
            </w:pPr>
          </w:p>
        </w:tc>
        <w:tc>
          <w:tcPr>
            <w:tcW w:w="500" w:type="dxa"/>
            <w:vAlign w:val="bottom"/>
          </w:tcPr>
          <w:p>
            <w:pPr>
              <w:spacing w:after="0"/>
              <w:rPr>
                <w:sz w:val="5"/>
                <w:szCs w:val="5"/>
                <w:color w:val="auto"/>
              </w:rPr>
            </w:pPr>
          </w:p>
        </w:tc>
        <w:tc>
          <w:tcPr>
            <w:tcW w:w="400" w:type="dxa"/>
            <w:vAlign w:val="bottom"/>
          </w:tcPr>
          <w:p>
            <w:pPr>
              <w:spacing w:after="0"/>
              <w:rPr>
                <w:sz w:val="5"/>
                <w:szCs w:val="5"/>
                <w:color w:val="auto"/>
              </w:rPr>
            </w:pPr>
          </w:p>
        </w:tc>
        <w:tc>
          <w:tcPr>
            <w:tcW w:w="460" w:type="dxa"/>
            <w:vAlign w:val="bottom"/>
          </w:tcPr>
          <w:p>
            <w:pPr>
              <w:spacing w:after="0"/>
              <w:rPr>
                <w:sz w:val="5"/>
                <w:szCs w:val="5"/>
                <w:color w:val="auto"/>
              </w:rPr>
            </w:pPr>
          </w:p>
        </w:tc>
        <w:tc>
          <w:tcPr>
            <w:tcW w:w="440" w:type="dxa"/>
            <w:vAlign w:val="bottom"/>
          </w:tcPr>
          <w:p>
            <w:pPr>
              <w:spacing w:after="0"/>
              <w:rPr>
                <w:sz w:val="5"/>
                <w:szCs w:val="5"/>
                <w:color w:val="auto"/>
              </w:rPr>
            </w:pPr>
          </w:p>
        </w:tc>
        <w:tc>
          <w:tcPr>
            <w:tcW w:w="260" w:type="dxa"/>
            <w:vAlign w:val="bottom"/>
          </w:tcPr>
          <w:p>
            <w:pPr>
              <w:spacing w:after="0"/>
              <w:rPr>
                <w:sz w:val="5"/>
                <w:szCs w:val="5"/>
                <w:color w:val="auto"/>
              </w:rPr>
            </w:pPr>
          </w:p>
        </w:tc>
        <w:tc>
          <w:tcPr>
            <w:tcW w:w="0" w:type="dxa"/>
            <w:vAlign w:val="bottom"/>
          </w:tcPr>
          <w:p>
            <w:pPr>
              <w:spacing w:after="0"/>
              <w:rPr>
                <w:sz w:val="1"/>
                <w:szCs w:val="1"/>
                <w:color w:val="auto"/>
              </w:rPr>
            </w:pPr>
          </w:p>
        </w:tc>
      </w:tr>
      <w:tr>
        <w:trPr>
          <w:trHeight w:val="310"/>
        </w:trPr>
        <w:tc>
          <w:tcPr>
            <w:tcW w:w="920" w:type="dxa"/>
            <w:vAlign w:val="bottom"/>
            <w:vMerge w:val="restart"/>
          </w:tcPr>
          <w:p>
            <w:pPr>
              <w:jc w:val="right"/>
              <w:ind w:right="601"/>
              <w:spacing w:after="0"/>
              <w:rPr>
                <w:sz w:val="20"/>
                <w:szCs w:val="20"/>
                <w:color w:val="auto"/>
              </w:rPr>
            </w:pPr>
            <w:r>
              <w:rPr>
                <w:rFonts w:ascii="Times New Roman" w:cs="Times New Roman" w:eastAsia="Times New Roman" w:hAnsi="Times New Roman"/>
                <w:sz w:val="16"/>
                <w:szCs w:val="16"/>
                <w:color w:val="auto"/>
              </w:rPr>
              <w:t>60</w:t>
            </w:r>
          </w:p>
        </w:tc>
        <w:tc>
          <w:tcPr>
            <w:tcW w:w="52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560" w:type="dxa"/>
            <w:vAlign w:val="bottom"/>
          </w:tcPr>
          <w:p>
            <w:pPr>
              <w:spacing w:after="0"/>
              <w:rPr>
                <w:sz w:val="24"/>
                <w:szCs w:val="24"/>
                <w:color w:val="auto"/>
              </w:rPr>
            </w:pPr>
          </w:p>
        </w:tc>
        <w:tc>
          <w:tcPr>
            <w:tcW w:w="460" w:type="dxa"/>
            <w:vAlign w:val="bottom"/>
          </w:tcPr>
          <w:p>
            <w:pPr>
              <w:spacing w:after="0"/>
              <w:rPr>
                <w:sz w:val="24"/>
                <w:szCs w:val="24"/>
                <w:color w:val="auto"/>
              </w:rPr>
            </w:pPr>
          </w:p>
        </w:tc>
        <w:tc>
          <w:tcPr>
            <w:tcW w:w="500" w:type="dxa"/>
            <w:vAlign w:val="bottom"/>
          </w:tcPr>
          <w:p>
            <w:pPr>
              <w:spacing w:after="0"/>
              <w:rPr>
                <w:sz w:val="24"/>
                <w:szCs w:val="24"/>
                <w:color w:val="auto"/>
              </w:rPr>
            </w:pPr>
          </w:p>
        </w:tc>
        <w:tc>
          <w:tcPr>
            <w:tcW w:w="420" w:type="dxa"/>
            <w:vAlign w:val="bottom"/>
          </w:tcPr>
          <w:p>
            <w:pPr>
              <w:spacing w:after="0"/>
              <w:rPr>
                <w:sz w:val="24"/>
                <w:szCs w:val="24"/>
                <w:color w:val="auto"/>
              </w:rPr>
            </w:pPr>
          </w:p>
        </w:tc>
        <w:tc>
          <w:tcPr>
            <w:tcW w:w="960" w:type="dxa"/>
            <w:vAlign w:val="bottom"/>
            <w:gridSpan w:val="2"/>
          </w:tcPr>
          <w:p>
            <w:pPr>
              <w:jc w:val="right"/>
              <w:ind w:right="60"/>
              <w:spacing w:after="0"/>
              <w:rPr>
                <w:sz w:val="20"/>
                <w:szCs w:val="20"/>
                <w:color w:val="auto"/>
              </w:rPr>
            </w:pPr>
            <w:r>
              <w:rPr>
                <w:rFonts w:ascii="Times New Roman" w:cs="Times New Roman" w:eastAsia="Times New Roman" w:hAnsi="Times New Roman"/>
                <w:sz w:val="14"/>
                <w:szCs w:val="14"/>
                <w:i w:val="1"/>
                <w:iCs w:val="1"/>
                <w:color w:val="auto"/>
              </w:rPr>
              <w:t>S. bicanthalis</w:t>
            </w:r>
          </w:p>
        </w:tc>
        <w:tc>
          <w:tcPr>
            <w:tcW w:w="400" w:type="dxa"/>
            <w:vAlign w:val="bottom"/>
          </w:tcPr>
          <w:p>
            <w:pPr>
              <w:spacing w:after="0"/>
              <w:rPr>
                <w:sz w:val="24"/>
                <w:szCs w:val="24"/>
                <w:color w:val="auto"/>
              </w:rPr>
            </w:pPr>
          </w:p>
        </w:tc>
        <w:tc>
          <w:tcPr>
            <w:tcW w:w="460" w:type="dxa"/>
            <w:vAlign w:val="bottom"/>
          </w:tcPr>
          <w:p>
            <w:pPr>
              <w:spacing w:after="0"/>
              <w:rPr>
                <w:sz w:val="24"/>
                <w:szCs w:val="24"/>
                <w:color w:val="auto"/>
              </w:rPr>
            </w:pPr>
          </w:p>
        </w:tc>
        <w:tc>
          <w:tcPr>
            <w:tcW w:w="700" w:type="dxa"/>
            <w:vAlign w:val="bottom"/>
            <w:gridSpan w:val="2"/>
          </w:tcPr>
          <w:p>
            <w:pPr>
              <w:ind w:left="200"/>
              <w:spacing w:after="0"/>
              <w:rPr>
                <w:sz w:val="20"/>
                <w:szCs w:val="20"/>
                <w:color w:val="auto"/>
              </w:rPr>
            </w:pPr>
            <w:r>
              <w:rPr>
                <w:rFonts w:ascii="Times New Roman" w:cs="Times New Roman" w:eastAsia="Times New Roman" w:hAnsi="Times New Roman"/>
                <w:sz w:val="14"/>
                <w:szCs w:val="14"/>
                <w:i w:val="1"/>
                <w:iCs w:val="1"/>
                <w:color w:val="auto"/>
                <w:w w:val="82"/>
              </w:rPr>
              <w:t>S. scalaris</w:t>
            </w:r>
          </w:p>
        </w:tc>
        <w:tc>
          <w:tcPr>
            <w:tcW w:w="0" w:type="dxa"/>
            <w:vAlign w:val="bottom"/>
          </w:tcPr>
          <w:p>
            <w:pPr>
              <w:spacing w:after="0"/>
              <w:rPr>
                <w:sz w:val="1"/>
                <w:szCs w:val="1"/>
                <w:color w:val="auto"/>
              </w:rPr>
            </w:pPr>
          </w:p>
        </w:tc>
      </w:tr>
      <w:tr>
        <w:trPr>
          <w:trHeight w:val="131"/>
        </w:trPr>
        <w:tc>
          <w:tcPr>
            <w:tcW w:w="920" w:type="dxa"/>
            <w:vAlign w:val="bottom"/>
            <w:vMerge w:val="continue"/>
          </w:tcPr>
          <w:p>
            <w:pPr>
              <w:spacing w:after="0"/>
              <w:rPr>
                <w:sz w:val="11"/>
                <w:szCs w:val="11"/>
                <w:color w:val="auto"/>
              </w:rPr>
            </w:pPr>
          </w:p>
        </w:tc>
        <w:tc>
          <w:tcPr>
            <w:tcW w:w="520" w:type="dxa"/>
            <w:vAlign w:val="bottom"/>
          </w:tcPr>
          <w:p>
            <w:pPr>
              <w:spacing w:after="0"/>
              <w:rPr>
                <w:sz w:val="11"/>
                <w:szCs w:val="11"/>
                <w:color w:val="auto"/>
              </w:rPr>
            </w:pPr>
          </w:p>
        </w:tc>
        <w:tc>
          <w:tcPr>
            <w:tcW w:w="360" w:type="dxa"/>
            <w:vAlign w:val="bottom"/>
          </w:tcPr>
          <w:p>
            <w:pPr>
              <w:spacing w:after="0"/>
              <w:rPr>
                <w:sz w:val="11"/>
                <w:szCs w:val="11"/>
                <w:color w:val="auto"/>
              </w:rPr>
            </w:pPr>
          </w:p>
        </w:tc>
        <w:tc>
          <w:tcPr>
            <w:tcW w:w="400" w:type="dxa"/>
            <w:vAlign w:val="bottom"/>
          </w:tcPr>
          <w:p>
            <w:pPr>
              <w:spacing w:after="0"/>
              <w:rPr>
                <w:sz w:val="11"/>
                <w:szCs w:val="11"/>
                <w:color w:val="auto"/>
              </w:rPr>
            </w:pPr>
          </w:p>
        </w:tc>
        <w:tc>
          <w:tcPr>
            <w:tcW w:w="560" w:type="dxa"/>
            <w:vAlign w:val="bottom"/>
          </w:tcPr>
          <w:p>
            <w:pPr>
              <w:spacing w:after="0"/>
              <w:rPr>
                <w:sz w:val="11"/>
                <w:szCs w:val="11"/>
                <w:color w:val="auto"/>
              </w:rPr>
            </w:pPr>
          </w:p>
        </w:tc>
        <w:tc>
          <w:tcPr>
            <w:tcW w:w="460" w:type="dxa"/>
            <w:vAlign w:val="bottom"/>
          </w:tcPr>
          <w:p>
            <w:pPr>
              <w:spacing w:after="0"/>
              <w:rPr>
                <w:sz w:val="11"/>
                <w:szCs w:val="11"/>
                <w:color w:val="auto"/>
              </w:rPr>
            </w:pPr>
          </w:p>
        </w:tc>
        <w:tc>
          <w:tcPr>
            <w:tcW w:w="500" w:type="dxa"/>
            <w:vAlign w:val="bottom"/>
          </w:tcPr>
          <w:p>
            <w:pPr>
              <w:spacing w:after="0"/>
              <w:rPr>
                <w:sz w:val="11"/>
                <w:szCs w:val="11"/>
                <w:color w:val="auto"/>
              </w:rPr>
            </w:pPr>
          </w:p>
        </w:tc>
        <w:tc>
          <w:tcPr>
            <w:tcW w:w="420" w:type="dxa"/>
            <w:vAlign w:val="bottom"/>
          </w:tcPr>
          <w:p>
            <w:pPr>
              <w:spacing w:after="0"/>
              <w:rPr>
                <w:sz w:val="11"/>
                <w:szCs w:val="11"/>
                <w:color w:val="auto"/>
              </w:rPr>
            </w:pPr>
          </w:p>
        </w:tc>
        <w:tc>
          <w:tcPr>
            <w:tcW w:w="460" w:type="dxa"/>
            <w:vAlign w:val="bottom"/>
          </w:tcPr>
          <w:p>
            <w:pPr>
              <w:spacing w:after="0"/>
              <w:rPr>
                <w:sz w:val="11"/>
                <w:szCs w:val="11"/>
                <w:color w:val="auto"/>
              </w:rPr>
            </w:pPr>
          </w:p>
        </w:tc>
        <w:tc>
          <w:tcPr>
            <w:tcW w:w="500" w:type="dxa"/>
            <w:vAlign w:val="bottom"/>
          </w:tcPr>
          <w:p>
            <w:pPr>
              <w:spacing w:after="0"/>
              <w:rPr>
                <w:sz w:val="11"/>
                <w:szCs w:val="11"/>
                <w:color w:val="auto"/>
              </w:rPr>
            </w:pPr>
          </w:p>
        </w:tc>
        <w:tc>
          <w:tcPr>
            <w:tcW w:w="400" w:type="dxa"/>
            <w:vAlign w:val="bottom"/>
          </w:tcPr>
          <w:p>
            <w:pPr>
              <w:spacing w:after="0"/>
              <w:rPr>
                <w:sz w:val="11"/>
                <w:szCs w:val="11"/>
                <w:color w:val="auto"/>
              </w:rPr>
            </w:pPr>
          </w:p>
        </w:tc>
        <w:tc>
          <w:tcPr>
            <w:tcW w:w="460" w:type="dxa"/>
            <w:vAlign w:val="bottom"/>
          </w:tcPr>
          <w:p>
            <w:pPr>
              <w:spacing w:after="0"/>
              <w:rPr>
                <w:sz w:val="11"/>
                <w:szCs w:val="11"/>
                <w:color w:val="auto"/>
              </w:rPr>
            </w:pPr>
          </w:p>
        </w:tc>
        <w:tc>
          <w:tcPr>
            <w:tcW w:w="440" w:type="dxa"/>
            <w:vAlign w:val="bottom"/>
          </w:tcPr>
          <w:p>
            <w:pPr>
              <w:spacing w:after="0"/>
              <w:rPr>
                <w:sz w:val="11"/>
                <w:szCs w:val="11"/>
                <w:color w:val="auto"/>
              </w:rPr>
            </w:pPr>
          </w:p>
        </w:tc>
        <w:tc>
          <w:tcPr>
            <w:tcW w:w="260" w:type="dxa"/>
            <w:vAlign w:val="bottom"/>
          </w:tcPr>
          <w:p>
            <w:pPr>
              <w:spacing w:after="0"/>
              <w:rPr>
                <w:sz w:val="11"/>
                <w:szCs w:val="11"/>
                <w:color w:val="auto"/>
              </w:rPr>
            </w:pPr>
          </w:p>
        </w:tc>
        <w:tc>
          <w:tcPr>
            <w:tcW w:w="0" w:type="dxa"/>
            <w:vAlign w:val="bottom"/>
          </w:tcPr>
          <w:p>
            <w:pPr>
              <w:spacing w:after="0"/>
              <w:rPr>
                <w:sz w:val="1"/>
                <w:szCs w:val="1"/>
                <w:color w:val="auto"/>
              </w:rPr>
            </w:pPr>
          </w:p>
        </w:tc>
      </w:tr>
      <w:tr>
        <w:trPr>
          <w:trHeight w:val="237"/>
        </w:trPr>
        <w:tc>
          <w:tcPr>
            <w:tcW w:w="1440" w:type="dxa"/>
            <w:vAlign w:val="bottom"/>
            <w:gridSpan w:val="2"/>
          </w:tcPr>
          <w:p>
            <w:pPr>
              <w:jc w:val="right"/>
              <w:ind w:right="80"/>
              <w:spacing w:after="0"/>
              <w:rPr>
                <w:sz w:val="20"/>
                <w:szCs w:val="20"/>
                <w:color w:val="auto"/>
              </w:rPr>
            </w:pPr>
            <w:r>
              <w:rPr>
                <w:rFonts w:ascii="Times New Roman" w:cs="Times New Roman" w:eastAsia="Times New Roman" w:hAnsi="Times New Roman"/>
                <w:sz w:val="14"/>
                <w:szCs w:val="14"/>
                <w:i w:val="1"/>
                <w:iCs w:val="1"/>
                <w:color w:val="auto"/>
              </w:rPr>
              <w:t>S. grammicus</w:t>
            </w:r>
          </w:p>
        </w:tc>
        <w:tc>
          <w:tcPr>
            <w:tcW w:w="360" w:type="dxa"/>
            <w:vAlign w:val="bottom"/>
          </w:tcPr>
          <w:p>
            <w:pPr>
              <w:spacing w:after="0"/>
              <w:rPr>
                <w:sz w:val="20"/>
                <w:szCs w:val="20"/>
                <w:color w:val="auto"/>
              </w:rPr>
            </w:pPr>
          </w:p>
        </w:tc>
        <w:tc>
          <w:tcPr>
            <w:tcW w:w="400" w:type="dxa"/>
            <w:vAlign w:val="bottom"/>
          </w:tcPr>
          <w:p>
            <w:pPr>
              <w:spacing w:after="0"/>
              <w:rPr>
                <w:sz w:val="20"/>
                <w:szCs w:val="20"/>
                <w:color w:val="auto"/>
              </w:rPr>
            </w:pPr>
          </w:p>
        </w:tc>
        <w:tc>
          <w:tcPr>
            <w:tcW w:w="560" w:type="dxa"/>
            <w:vAlign w:val="bottom"/>
          </w:tcPr>
          <w:p>
            <w:pPr>
              <w:spacing w:after="0"/>
              <w:rPr>
                <w:sz w:val="20"/>
                <w:szCs w:val="20"/>
                <w:color w:val="auto"/>
              </w:rPr>
            </w:pPr>
          </w:p>
        </w:tc>
        <w:tc>
          <w:tcPr>
            <w:tcW w:w="460" w:type="dxa"/>
            <w:vAlign w:val="bottom"/>
          </w:tcPr>
          <w:p>
            <w:pPr>
              <w:spacing w:after="0"/>
              <w:rPr>
                <w:sz w:val="20"/>
                <w:szCs w:val="20"/>
                <w:color w:val="auto"/>
              </w:rPr>
            </w:pPr>
          </w:p>
        </w:tc>
        <w:tc>
          <w:tcPr>
            <w:tcW w:w="500" w:type="dxa"/>
            <w:vAlign w:val="bottom"/>
          </w:tcPr>
          <w:p>
            <w:pPr>
              <w:spacing w:after="0"/>
              <w:rPr>
                <w:sz w:val="20"/>
                <w:szCs w:val="20"/>
                <w:color w:val="auto"/>
              </w:rPr>
            </w:pPr>
          </w:p>
        </w:tc>
        <w:tc>
          <w:tcPr>
            <w:tcW w:w="420" w:type="dxa"/>
            <w:vAlign w:val="bottom"/>
          </w:tcPr>
          <w:p>
            <w:pPr>
              <w:spacing w:after="0"/>
              <w:rPr>
                <w:sz w:val="20"/>
                <w:szCs w:val="20"/>
                <w:color w:val="auto"/>
              </w:rPr>
            </w:pPr>
          </w:p>
        </w:tc>
        <w:tc>
          <w:tcPr>
            <w:tcW w:w="460" w:type="dxa"/>
            <w:vAlign w:val="bottom"/>
          </w:tcPr>
          <w:p>
            <w:pPr>
              <w:spacing w:after="0"/>
              <w:rPr>
                <w:sz w:val="20"/>
                <w:szCs w:val="20"/>
                <w:color w:val="auto"/>
              </w:rPr>
            </w:pPr>
          </w:p>
        </w:tc>
        <w:tc>
          <w:tcPr>
            <w:tcW w:w="500" w:type="dxa"/>
            <w:vAlign w:val="bottom"/>
          </w:tcPr>
          <w:p>
            <w:pPr>
              <w:spacing w:after="0"/>
              <w:rPr>
                <w:sz w:val="20"/>
                <w:szCs w:val="20"/>
                <w:color w:val="auto"/>
              </w:rPr>
            </w:pPr>
          </w:p>
        </w:tc>
        <w:tc>
          <w:tcPr>
            <w:tcW w:w="400" w:type="dxa"/>
            <w:vAlign w:val="bottom"/>
          </w:tcPr>
          <w:p>
            <w:pPr>
              <w:spacing w:after="0"/>
              <w:rPr>
                <w:sz w:val="20"/>
                <w:szCs w:val="20"/>
                <w:color w:val="auto"/>
              </w:rPr>
            </w:pPr>
          </w:p>
        </w:tc>
        <w:tc>
          <w:tcPr>
            <w:tcW w:w="460" w:type="dxa"/>
            <w:vAlign w:val="bottom"/>
          </w:tcPr>
          <w:p>
            <w:pPr>
              <w:spacing w:after="0"/>
              <w:rPr>
                <w:sz w:val="20"/>
                <w:szCs w:val="20"/>
                <w:color w:val="auto"/>
              </w:rPr>
            </w:pPr>
          </w:p>
        </w:tc>
        <w:tc>
          <w:tcPr>
            <w:tcW w:w="440" w:type="dxa"/>
            <w:vAlign w:val="bottom"/>
          </w:tcPr>
          <w:p>
            <w:pPr>
              <w:spacing w:after="0"/>
              <w:rPr>
                <w:sz w:val="20"/>
                <w:szCs w:val="20"/>
                <w:color w:val="auto"/>
              </w:rPr>
            </w:pPr>
          </w:p>
        </w:tc>
        <w:tc>
          <w:tcPr>
            <w:tcW w:w="260" w:type="dxa"/>
            <w:vAlign w:val="bottom"/>
          </w:tcPr>
          <w:p>
            <w:pPr>
              <w:spacing w:after="0"/>
              <w:rPr>
                <w:sz w:val="20"/>
                <w:szCs w:val="20"/>
                <w:color w:val="auto"/>
              </w:rPr>
            </w:pPr>
          </w:p>
        </w:tc>
        <w:tc>
          <w:tcPr>
            <w:tcW w:w="0" w:type="dxa"/>
            <w:vAlign w:val="bottom"/>
          </w:tcPr>
          <w:p>
            <w:pPr>
              <w:spacing w:after="0"/>
              <w:rPr>
                <w:sz w:val="1"/>
                <w:szCs w:val="1"/>
                <w:color w:val="auto"/>
              </w:rPr>
            </w:pPr>
          </w:p>
        </w:tc>
      </w:tr>
      <w:tr>
        <w:trPr>
          <w:trHeight w:val="202"/>
        </w:trPr>
        <w:tc>
          <w:tcPr>
            <w:tcW w:w="920" w:type="dxa"/>
            <w:vAlign w:val="bottom"/>
          </w:tcPr>
          <w:p>
            <w:pPr>
              <w:jc w:val="right"/>
              <w:ind w:right="601"/>
              <w:spacing w:after="0"/>
              <w:rPr>
                <w:sz w:val="20"/>
                <w:szCs w:val="20"/>
                <w:color w:val="auto"/>
              </w:rPr>
            </w:pPr>
            <w:r>
              <w:rPr>
                <w:rFonts w:ascii="Times New Roman" w:cs="Times New Roman" w:eastAsia="Times New Roman" w:hAnsi="Times New Roman"/>
                <w:sz w:val="16"/>
                <w:szCs w:val="16"/>
                <w:color w:val="auto"/>
              </w:rPr>
              <w:t>30</w:t>
            </w:r>
          </w:p>
        </w:tc>
        <w:tc>
          <w:tcPr>
            <w:tcW w:w="520" w:type="dxa"/>
            <w:vAlign w:val="bottom"/>
          </w:tcPr>
          <w:p>
            <w:pPr>
              <w:spacing w:after="0"/>
              <w:rPr>
                <w:sz w:val="17"/>
                <w:szCs w:val="17"/>
                <w:color w:val="auto"/>
              </w:rPr>
            </w:pPr>
          </w:p>
        </w:tc>
        <w:tc>
          <w:tcPr>
            <w:tcW w:w="360" w:type="dxa"/>
            <w:vAlign w:val="bottom"/>
          </w:tcPr>
          <w:p>
            <w:pPr>
              <w:spacing w:after="0"/>
              <w:rPr>
                <w:sz w:val="17"/>
                <w:szCs w:val="17"/>
                <w:color w:val="auto"/>
              </w:rPr>
            </w:pPr>
          </w:p>
        </w:tc>
        <w:tc>
          <w:tcPr>
            <w:tcW w:w="400" w:type="dxa"/>
            <w:vAlign w:val="bottom"/>
          </w:tcPr>
          <w:p>
            <w:pPr>
              <w:spacing w:after="0"/>
              <w:rPr>
                <w:sz w:val="17"/>
                <w:szCs w:val="17"/>
                <w:color w:val="auto"/>
              </w:rPr>
            </w:pPr>
          </w:p>
        </w:tc>
        <w:tc>
          <w:tcPr>
            <w:tcW w:w="1020" w:type="dxa"/>
            <w:vAlign w:val="bottom"/>
            <w:gridSpan w:val="2"/>
            <w:vMerge w:val="restart"/>
          </w:tcPr>
          <w:p>
            <w:pPr>
              <w:jc w:val="right"/>
              <w:ind w:right="80"/>
              <w:spacing w:after="0"/>
              <w:rPr>
                <w:sz w:val="20"/>
                <w:szCs w:val="20"/>
                <w:color w:val="auto"/>
              </w:rPr>
            </w:pPr>
            <w:r>
              <w:rPr>
                <w:rFonts w:ascii="Times New Roman" w:cs="Times New Roman" w:eastAsia="Times New Roman" w:hAnsi="Times New Roman"/>
                <w:sz w:val="14"/>
                <w:szCs w:val="14"/>
                <w:i w:val="1"/>
                <w:iCs w:val="1"/>
                <w:color w:val="auto"/>
              </w:rPr>
              <w:t>B. imbricata</w:t>
            </w:r>
          </w:p>
        </w:tc>
        <w:tc>
          <w:tcPr>
            <w:tcW w:w="500" w:type="dxa"/>
            <w:vAlign w:val="bottom"/>
          </w:tcPr>
          <w:p>
            <w:pPr>
              <w:spacing w:after="0"/>
              <w:rPr>
                <w:sz w:val="17"/>
                <w:szCs w:val="17"/>
                <w:color w:val="auto"/>
              </w:rPr>
            </w:pPr>
          </w:p>
        </w:tc>
        <w:tc>
          <w:tcPr>
            <w:tcW w:w="420" w:type="dxa"/>
            <w:vAlign w:val="bottom"/>
          </w:tcPr>
          <w:p>
            <w:pPr>
              <w:spacing w:after="0"/>
              <w:rPr>
                <w:sz w:val="17"/>
                <w:szCs w:val="17"/>
                <w:color w:val="auto"/>
              </w:rPr>
            </w:pPr>
          </w:p>
        </w:tc>
        <w:tc>
          <w:tcPr>
            <w:tcW w:w="460" w:type="dxa"/>
            <w:vAlign w:val="bottom"/>
          </w:tcPr>
          <w:p>
            <w:pPr>
              <w:spacing w:after="0"/>
              <w:rPr>
                <w:sz w:val="17"/>
                <w:szCs w:val="17"/>
                <w:color w:val="auto"/>
              </w:rPr>
            </w:pPr>
          </w:p>
        </w:tc>
        <w:tc>
          <w:tcPr>
            <w:tcW w:w="500" w:type="dxa"/>
            <w:vAlign w:val="bottom"/>
          </w:tcPr>
          <w:p>
            <w:pPr>
              <w:spacing w:after="0"/>
              <w:rPr>
                <w:sz w:val="17"/>
                <w:szCs w:val="17"/>
                <w:color w:val="auto"/>
              </w:rPr>
            </w:pPr>
          </w:p>
        </w:tc>
        <w:tc>
          <w:tcPr>
            <w:tcW w:w="400" w:type="dxa"/>
            <w:vAlign w:val="bottom"/>
          </w:tcPr>
          <w:p>
            <w:pPr>
              <w:spacing w:after="0"/>
              <w:rPr>
                <w:sz w:val="17"/>
                <w:szCs w:val="17"/>
                <w:color w:val="auto"/>
              </w:rPr>
            </w:pPr>
          </w:p>
        </w:tc>
        <w:tc>
          <w:tcPr>
            <w:tcW w:w="460" w:type="dxa"/>
            <w:vAlign w:val="bottom"/>
          </w:tcPr>
          <w:p>
            <w:pPr>
              <w:spacing w:after="0"/>
              <w:rPr>
                <w:sz w:val="17"/>
                <w:szCs w:val="17"/>
                <w:color w:val="auto"/>
              </w:rPr>
            </w:pPr>
          </w:p>
        </w:tc>
        <w:tc>
          <w:tcPr>
            <w:tcW w:w="440" w:type="dxa"/>
            <w:vAlign w:val="bottom"/>
          </w:tcPr>
          <w:p>
            <w:pPr>
              <w:spacing w:after="0"/>
              <w:rPr>
                <w:sz w:val="17"/>
                <w:szCs w:val="17"/>
                <w:color w:val="auto"/>
              </w:rPr>
            </w:pPr>
          </w:p>
        </w:tc>
        <w:tc>
          <w:tcPr>
            <w:tcW w:w="260" w:type="dxa"/>
            <w:vAlign w:val="bottom"/>
          </w:tcPr>
          <w:p>
            <w:pPr>
              <w:spacing w:after="0"/>
              <w:rPr>
                <w:sz w:val="17"/>
                <w:szCs w:val="17"/>
                <w:color w:val="auto"/>
              </w:rPr>
            </w:pPr>
          </w:p>
        </w:tc>
        <w:tc>
          <w:tcPr>
            <w:tcW w:w="0" w:type="dxa"/>
            <w:vAlign w:val="bottom"/>
          </w:tcPr>
          <w:p>
            <w:pPr>
              <w:spacing w:after="0"/>
              <w:rPr>
                <w:sz w:val="1"/>
                <w:szCs w:val="1"/>
                <w:color w:val="auto"/>
              </w:rPr>
            </w:pPr>
          </w:p>
        </w:tc>
      </w:tr>
      <w:tr>
        <w:trPr>
          <w:trHeight w:val="46"/>
        </w:trPr>
        <w:tc>
          <w:tcPr>
            <w:tcW w:w="920" w:type="dxa"/>
            <w:vAlign w:val="bottom"/>
          </w:tcPr>
          <w:p>
            <w:pPr>
              <w:spacing w:after="0"/>
              <w:rPr>
                <w:sz w:val="4"/>
                <w:szCs w:val="4"/>
                <w:color w:val="auto"/>
              </w:rPr>
            </w:pPr>
          </w:p>
        </w:tc>
        <w:tc>
          <w:tcPr>
            <w:tcW w:w="520" w:type="dxa"/>
            <w:vAlign w:val="bottom"/>
          </w:tcPr>
          <w:p>
            <w:pPr>
              <w:spacing w:after="0"/>
              <w:rPr>
                <w:sz w:val="4"/>
                <w:szCs w:val="4"/>
                <w:color w:val="auto"/>
              </w:rPr>
            </w:pPr>
          </w:p>
        </w:tc>
        <w:tc>
          <w:tcPr>
            <w:tcW w:w="360" w:type="dxa"/>
            <w:vAlign w:val="bottom"/>
          </w:tcPr>
          <w:p>
            <w:pPr>
              <w:spacing w:after="0"/>
              <w:rPr>
                <w:sz w:val="4"/>
                <w:szCs w:val="4"/>
                <w:color w:val="auto"/>
              </w:rPr>
            </w:pPr>
          </w:p>
        </w:tc>
        <w:tc>
          <w:tcPr>
            <w:tcW w:w="400" w:type="dxa"/>
            <w:vAlign w:val="bottom"/>
          </w:tcPr>
          <w:p>
            <w:pPr>
              <w:spacing w:after="0"/>
              <w:rPr>
                <w:sz w:val="4"/>
                <w:szCs w:val="4"/>
                <w:color w:val="auto"/>
              </w:rPr>
            </w:pPr>
          </w:p>
        </w:tc>
        <w:tc>
          <w:tcPr>
            <w:tcW w:w="1020" w:type="dxa"/>
            <w:vAlign w:val="bottom"/>
            <w:gridSpan w:val="2"/>
            <w:vMerge w:val="continue"/>
          </w:tcPr>
          <w:p>
            <w:pPr>
              <w:spacing w:after="0"/>
              <w:rPr>
                <w:sz w:val="4"/>
                <w:szCs w:val="4"/>
                <w:color w:val="auto"/>
              </w:rPr>
            </w:pPr>
          </w:p>
        </w:tc>
        <w:tc>
          <w:tcPr>
            <w:tcW w:w="500" w:type="dxa"/>
            <w:vAlign w:val="bottom"/>
          </w:tcPr>
          <w:p>
            <w:pPr>
              <w:spacing w:after="0"/>
              <w:rPr>
                <w:sz w:val="4"/>
                <w:szCs w:val="4"/>
                <w:color w:val="auto"/>
              </w:rPr>
            </w:pPr>
          </w:p>
        </w:tc>
        <w:tc>
          <w:tcPr>
            <w:tcW w:w="420" w:type="dxa"/>
            <w:vAlign w:val="bottom"/>
          </w:tcPr>
          <w:p>
            <w:pPr>
              <w:spacing w:after="0"/>
              <w:rPr>
                <w:sz w:val="4"/>
                <w:szCs w:val="4"/>
                <w:color w:val="auto"/>
              </w:rPr>
            </w:pPr>
          </w:p>
        </w:tc>
        <w:tc>
          <w:tcPr>
            <w:tcW w:w="460" w:type="dxa"/>
            <w:vAlign w:val="bottom"/>
          </w:tcPr>
          <w:p>
            <w:pPr>
              <w:spacing w:after="0"/>
              <w:rPr>
                <w:sz w:val="4"/>
                <w:szCs w:val="4"/>
                <w:color w:val="auto"/>
              </w:rPr>
            </w:pPr>
          </w:p>
        </w:tc>
        <w:tc>
          <w:tcPr>
            <w:tcW w:w="500" w:type="dxa"/>
            <w:vAlign w:val="bottom"/>
          </w:tcPr>
          <w:p>
            <w:pPr>
              <w:spacing w:after="0"/>
              <w:rPr>
                <w:sz w:val="4"/>
                <w:szCs w:val="4"/>
                <w:color w:val="auto"/>
              </w:rPr>
            </w:pPr>
          </w:p>
        </w:tc>
        <w:tc>
          <w:tcPr>
            <w:tcW w:w="400" w:type="dxa"/>
            <w:vAlign w:val="bottom"/>
          </w:tcPr>
          <w:p>
            <w:pPr>
              <w:spacing w:after="0"/>
              <w:rPr>
                <w:sz w:val="4"/>
                <w:szCs w:val="4"/>
                <w:color w:val="auto"/>
              </w:rPr>
            </w:pPr>
          </w:p>
        </w:tc>
        <w:tc>
          <w:tcPr>
            <w:tcW w:w="460" w:type="dxa"/>
            <w:vAlign w:val="bottom"/>
          </w:tcPr>
          <w:p>
            <w:pPr>
              <w:spacing w:after="0"/>
              <w:rPr>
                <w:sz w:val="4"/>
                <w:szCs w:val="4"/>
                <w:color w:val="auto"/>
              </w:rPr>
            </w:pPr>
          </w:p>
        </w:tc>
        <w:tc>
          <w:tcPr>
            <w:tcW w:w="440" w:type="dxa"/>
            <w:vAlign w:val="bottom"/>
          </w:tcPr>
          <w:p>
            <w:pPr>
              <w:spacing w:after="0"/>
              <w:rPr>
                <w:sz w:val="4"/>
                <w:szCs w:val="4"/>
                <w:color w:val="auto"/>
              </w:rPr>
            </w:pPr>
          </w:p>
        </w:tc>
        <w:tc>
          <w:tcPr>
            <w:tcW w:w="260" w:type="dxa"/>
            <w:vAlign w:val="bottom"/>
          </w:tcPr>
          <w:p>
            <w:pPr>
              <w:spacing w:after="0"/>
              <w:rPr>
                <w:sz w:val="4"/>
                <w:szCs w:val="4"/>
                <w:color w:val="auto"/>
              </w:rPr>
            </w:pPr>
          </w:p>
        </w:tc>
        <w:tc>
          <w:tcPr>
            <w:tcW w:w="0" w:type="dxa"/>
            <w:vAlign w:val="bottom"/>
          </w:tcPr>
          <w:p>
            <w:pPr>
              <w:spacing w:after="0"/>
              <w:rPr>
                <w:sz w:val="1"/>
                <w:szCs w:val="1"/>
                <w:color w:val="auto"/>
              </w:rPr>
            </w:pPr>
          </w:p>
        </w:tc>
      </w:tr>
      <w:tr>
        <w:trPr>
          <w:trHeight w:val="296"/>
        </w:trPr>
        <w:tc>
          <w:tcPr>
            <w:tcW w:w="920" w:type="dxa"/>
            <w:vAlign w:val="bottom"/>
            <w:vMerge w:val="restart"/>
          </w:tcPr>
          <w:p>
            <w:pPr>
              <w:jc w:val="right"/>
              <w:ind w:right="601"/>
              <w:spacing w:after="0"/>
              <w:rPr>
                <w:sz w:val="20"/>
                <w:szCs w:val="20"/>
                <w:color w:val="auto"/>
              </w:rPr>
            </w:pPr>
            <w:r>
              <w:rPr>
                <w:rFonts w:ascii="Times New Roman" w:cs="Times New Roman" w:eastAsia="Times New Roman" w:hAnsi="Times New Roman"/>
                <w:sz w:val="16"/>
                <w:szCs w:val="16"/>
                <w:color w:val="auto"/>
              </w:rPr>
              <w:t>0</w:t>
            </w:r>
          </w:p>
        </w:tc>
        <w:tc>
          <w:tcPr>
            <w:tcW w:w="52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400" w:type="dxa"/>
            <w:vAlign w:val="bottom"/>
          </w:tcPr>
          <w:p>
            <w:pPr>
              <w:spacing w:after="0"/>
              <w:rPr>
                <w:sz w:val="24"/>
                <w:szCs w:val="24"/>
                <w:color w:val="auto"/>
              </w:rPr>
            </w:pPr>
          </w:p>
        </w:tc>
        <w:tc>
          <w:tcPr>
            <w:tcW w:w="560" w:type="dxa"/>
            <w:vAlign w:val="bottom"/>
          </w:tcPr>
          <w:p>
            <w:pPr>
              <w:spacing w:after="0"/>
              <w:rPr>
                <w:sz w:val="24"/>
                <w:szCs w:val="24"/>
                <w:color w:val="auto"/>
              </w:rPr>
            </w:pPr>
          </w:p>
        </w:tc>
        <w:tc>
          <w:tcPr>
            <w:tcW w:w="460" w:type="dxa"/>
            <w:vAlign w:val="bottom"/>
          </w:tcPr>
          <w:p>
            <w:pPr>
              <w:spacing w:after="0"/>
              <w:rPr>
                <w:sz w:val="24"/>
                <w:szCs w:val="24"/>
                <w:color w:val="auto"/>
              </w:rPr>
            </w:pPr>
          </w:p>
        </w:tc>
        <w:tc>
          <w:tcPr>
            <w:tcW w:w="500" w:type="dxa"/>
            <w:vAlign w:val="bottom"/>
          </w:tcPr>
          <w:p>
            <w:pPr>
              <w:spacing w:after="0"/>
              <w:rPr>
                <w:sz w:val="24"/>
                <w:szCs w:val="24"/>
                <w:color w:val="auto"/>
              </w:rPr>
            </w:pPr>
          </w:p>
        </w:tc>
        <w:tc>
          <w:tcPr>
            <w:tcW w:w="420" w:type="dxa"/>
            <w:vAlign w:val="bottom"/>
          </w:tcPr>
          <w:p>
            <w:pPr>
              <w:spacing w:after="0"/>
              <w:rPr>
                <w:sz w:val="24"/>
                <w:szCs w:val="24"/>
                <w:color w:val="auto"/>
              </w:rPr>
            </w:pPr>
          </w:p>
        </w:tc>
        <w:tc>
          <w:tcPr>
            <w:tcW w:w="460" w:type="dxa"/>
            <w:vAlign w:val="bottom"/>
          </w:tcPr>
          <w:p>
            <w:pPr>
              <w:spacing w:after="0"/>
              <w:rPr>
                <w:sz w:val="24"/>
                <w:szCs w:val="24"/>
                <w:color w:val="auto"/>
              </w:rPr>
            </w:pPr>
          </w:p>
        </w:tc>
        <w:tc>
          <w:tcPr>
            <w:tcW w:w="500" w:type="dxa"/>
            <w:vAlign w:val="bottom"/>
          </w:tcPr>
          <w:p>
            <w:pPr>
              <w:spacing w:after="0"/>
              <w:rPr>
                <w:sz w:val="24"/>
                <w:szCs w:val="24"/>
                <w:color w:val="auto"/>
              </w:rPr>
            </w:pPr>
          </w:p>
        </w:tc>
        <w:tc>
          <w:tcPr>
            <w:tcW w:w="860" w:type="dxa"/>
            <w:vAlign w:val="bottom"/>
            <w:gridSpan w:val="2"/>
          </w:tcPr>
          <w:p>
            <w:pPr>
              <w:jc w:val="right"/>
              <w:ind w:right="120"/>
              <w:spacing w:after="0"/>
              <w:rPr>
                <w:sz w:val="20"/>
                <w:szCs w:val="20"/>
                <w:color w:val="auto"/>
              </w:rPr>
            </w:pPr>
            <w:r>
              <w:rPr>
                <w:rFonts w:ascii="Times New Roman" w:cs="Times New Roman" w:eastAsia="Times New Roman" w:hAnsi="Times New Roman"/>
                <w:sz w:val="14"/>
                <w:szCs w:val="14"/>
                <w:i w:val="1"/>
                <w:iCs w:val="1"/>
                <w:color w:val="auto"/>
              </w:rPr>
              <w:t>S. aeneus</w:t>
            </w:r>
          </w:p>
        </w:tc>
        <w:tc>
          <w:tcPr>
            <w:tcW w:w="44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59"/>
        </w:trPr>
        <w:tc>
          <w:tcPr>
            <w:tcW w:w="920" w:type="dxa"/>
            <w:vAlign w:val="bottom"/>
            <w:vMerge w:val="continue"/>
          </w:tcPr>
          <w:p>
            <w:pPr>
              <w:spacing w:after="0"/>
              <w:rPr>
                <w:sz w:val="13"/>
                <w:szCs w:val="13"/>
                <w:color w:val="auto"/>
              </w:rPr>
            </w:pPr>
          </w:p>
        </w:tc>
        <w:tc>
          <w:tcPr>
            <w:tcW w:w="520" w:type="dxa"/>
            <w:vAlign w:val="bottom"/>
          </w:tcPr>
          <w:p>
            <w:pPr>
              <w:spacing w:after="0"/>
              <w:rPr>
                <w:sz w:val="13"/>
                <w:szCs w:val="13"/>
                <w:color w:val="auto"/>
              </w:rPr>
            </w:pPr>
          </w:p>
        </w:tc>
        <w:tc>
          <w:tcPr>
            <w:tcW w:w="360" w:type="dxa"/>
            <w:vAlign w:val="bottom"/>
          </w:tcPr>
          <w:p>
            <w:pPr>
              <w:spacing w:after="0"/>
              <w:rPr>
                <w:sz w:val="13"/>
                <w:szCs w:val="13"/>
                <w:color w:val="auto"/>
              </w:rPr>
            </w:pPr>
          </w:p>
        </w:tc>
        <w:tc>
          <w:tcPr>
            <w:tcW w:w="400" w:type="dxa"/>
            <w:vAlign w:val="bottom"/>
          </w:tcPr>
          <w:p>
            <w:pPr>
              <w:spacing w:after="0"/>
              <w:rPr>
                <w:sz w:val="13"/>
                <w:szCs w:val="13"/>
                <w:color w:val="auto"/>
              </w:rPr>
            </w:pPr>
          </w:p>
        </w:tc>
        <w:tc>
          <w:tcPr>
            <w:tcW w:w="560" w:type="dxa"/>
            <w:vAlign w:val="bottom"/>
          </w:tcPr>
          <w:p>
            <w:pPr>
              <w:spacing w:after="0"/>
              <w:rPr>
                <w:sz w:val="13"/>
                <w:szCs w:val="13"/>
                <w:color w:val="auto"/>
              </w:rPr>
            </w:pPr>
          </w:p>
        </w:tc>
        <w:tc>
          <w:tcPr>
            <w:tcW w:w="460" w:type="dxa"/>
            <w:vAlign w:val="bottom"/>
          </w:tcPr>
          <w:p>
            <w:pPr>
              <w:spacing w:after="0"/>
              <w:rPr>
                <w:sz w:val="13"/>
                <w:szCs w:val="13"/>
                <w:color w:val="auto"/>
              </w:rPr>
            </w:pPr>
          </w:p>
        </w:tc>
        <w:tc>
          <w:tcPr>
            <w:tcW w:w="500" w:type="dxa"/>
            <w:vAlign w:val="bottom"/>
          </w:tcPr>
          <w:p>
            <w:pPr>
              <w:spacing w:after="0"/>
              <w:rPr>
                <w:sz w:val="13"/>
                <w:szCs w:val="13"/>
                <w:color w:val="auto"/>
              </w:rPr>
            </w:pPr>
          </w:p>
        </w:tc>
        <w:tc>
          <w:tcPr>
            <w:tcW w:w="420" w:type="dxa"/>
            <w:vAlign w:val="bottom"/>
          </w:tcPr>
          <w:p>
            <w:pPr>
              <w:spacing w:after="0"/>
              <w:rPr>
                <w:sz w:val="13"/>
                <w:szCs w:val="13"/>
                <w:color w:val="auto"/>
              </w:rPr>
            </w:pPr>
          </w:p>
        </w:tc>
        <w:tc>
          <w:tcPr>
            <w:tcW w:w="460" w:type="dxa"/>
            <w:vAlign w:val="bottom"/>
          </w:tcPr>
          <w:p>
            <w:pPr>
              <w:spacing w:after="0"/>
              <w:rPr>
                <w:sz w:val="13"/>
                <w:szCs w:val="13"/>
                <w:color w:val="auto"/>
              </w:rPr>
            </w:pPr>
          </w:p>
        </w:tc>
        <w:tc>
          <w:tcPr>
            <w:tcW w:w="500" w:type="dxa"/>
            <w:vAlign w:val="bottom"/>
          </w:tcPr>
          <w:p>
            <w:pPr>
              <w:spacing w:after="0"/>
              <w:rPr>
                <w:sz w:val="13"/>
                <w:szCs w:val="13"/>
                <w:color w:val="auto"/>
              </w:rPr>
            </w:pPr>
          </w:p>
        </w:tc>
        <w:tc>
          <w:tcPr>
            <w:tcW w:w="400" w:type="dxa"/>
            <w:vAlign w:val="bottom"/>
          </w:tcPr>
          <w:p>
            <w:pPr>
              <w:spacing w:after="0"/>
              <w:rPr>
                <w:sz w:val="13"/>
                <w:szCs w:val="13"/>
                <w:color w:val="auto"/>
              </w:rPr>
            </w:pPr>
          </w:p>
        </w:tc>
        <w:tc>
          <w:tcPr>
            <w:tcW w:w="460" w:type="dxa"/>
            <w:vAlign w:val="bottom"/>
          </w:tcPr>
          <w:p>
            <w:pPr>
              <w:spacing w:after="0"/>
              <w:rPr>
                <w:sz w:val="13"/>
                <w:szCs w:val="13"/>
                <w:color w:val="auto"/>
              </w:rPr>
            </w:pPr>
          </w:p>
        </w:tc>
        <w:tc>
          <w:tcPr>
            <w:tcW w:w="440" w:type="dxa"/>
            <w:vAlign w:val="bottom"/>
          </w:tcPr>
          <w:p>
            <w:pPr>
              <w:spacing w:after="0"/>
              <w:rPr>
                <w:sz w:val="13"/>
                <w:szCs w:val="13"/>
                <w:color w:val="auto"/>
              </w:rPr>
            </w:pPr>
          </w:p>
        </w:tc>
        <w:tc>
          <w:tcPr>
            <w:tcW w:w="260" w:type="dxa"/>
            <w:vAlign w:val="bottom"/>
          </w:tcPr>
          <w:p>
            <w:pPr>
              <w:spacing w:after="0"/>
              <w:rPr>
                <w:sz w:val="13"/>
                <w:szCs w:val="13"/>
                <w:color w:val="auto"/>
              </w:rPr>
            </w:pPr>
          </w:p>
        </w:tc>
        <w:tc>
          <w:tcPr>
            <w:tcW w:w="0" w:type="dxa"/>
            <w:vAlign w:val="bottom"/>
          </w:tcPr>
          <w:p>
            <w:pPr>
              <w:spacing w:after="0"/>
              <w:rPr>
                <w:sz w:val="1"/>
                <w:szCs w:val="1"/>
                <w:color w:val="auto"/>
              </w:rPr>
            </w:pPr>
          </w:p>
        </w:tc>
      </w:tr>
      <w:tr>
        <w:trPr>
          <w:trHeight w:val="315"/>
        </w:trPr>
        <w:tc>
          <w:tcPr>
            <w:tcW w:w="920" w:type="dxa"/>
            <w:vAlign w:val="bottom"/>
          </w:tcPr>
          <w:p>
            <w:pPr>
              <w:jc w:val="right"/>
              <w:ind w:right="41"/>
              <w:spacing w:after="0"/>
              <w:rPr>
                <w:sz w:val="20"/>
                <w:szCs w:val="20"/>
                <w:color w:val="auto"/>
              </w:rPr>
            </w:pPr>
            <w:r>
              <w:rPr>
                <w:rFonts w:ascii="Times New Roman" w:cs="Times New Roman" w:eastAsia="Times New Roman" w:hAnsi="Times New Roman"/>
                <w:sz w:val="16"/>
                <w:szCs w:val="16"/>
                <w:color w:val="auto"/>
              </w:rPr>
              <w:t>1</w:t>
            </w:r>
          </w:p>
        </w:tc>
        <w:tc>
          <w:tcPr>
            <w:tcW w:w="520" w:type="dxa"/>
            <w:vAlign w:val="bottom"/>
          </w:tcPr>
          <w:p>
            <w:pPr>
              <w:jc w:val="right"/>
              <w:ind w:right="240"/>
              <w:spacing w:after="0"/>
              <w:rPr>
                <w:sz w:val="20"/>
                <w:szCs w:val="20"/>
                <w:color w:val="auto"/>
              </w:rPr>
            </w:pPr>
            <w:r>
              <w:rPr>
                <w:rFonts w:ascii="Times New Roman" w:cs="Times New Roman" w:eastAsia="Times New Roman" w:hAnsi="Times New Roman"/>
                <w:sz w:val="16"/>
                <w:szCs w:val="16"/>
                <w:color w:val="auto"/>
              </w:rPr>
              <w:t>2</w:t>
            </w:r>
          </w:p>
        </w:tc>
        <w:tc>
          <w:tcPr>
            <w:tcW w:w="360" w:type="dxa"/>
            <w:vAlign w:val="bottom"/>
          </w:tcPr>
          <w:p>
            <w:pPr>
              <w:jc w:val="right"/>
              <w:ind w:right="40"/>
              <w:spacing w:after="0"/>
              <w:rPr>
                <w:sz w:val="20"/>
                <w:szCs w:val="20"/>
                <w:color w:val="auto"/>
              </w:rPr>
            </w:pPr>
            <w:r>
              <w:rPr>
                <w:rFonts w:ascii="Times New Roman" w:cs="Times New Roman" w:eastAsia="Times New Roman" w:hAnsi="Times New Roman"/>
                <w:sz w:val="16"/>
                <w:szCs w:val="16"/>
                <w:color w:val="auto"/>
              </w:rPr>
              <w:t>3</w:t>
            </w:r>
          </w:p>
        </w:tc>
        <w:tc>
          <w:tcPr>
            <w:tcW w:w="400" w:type="dxa"/>
            <w:vAlign w:val="bottom"/>
          </w:tcPr>
          <w:p>
            <w:pPr>
              <w:jc w:val="right"/>
              <w:ind w:right="120"/>
              <w:spacing w:after="0"/>
              <w:rPr>
                <w:sz w:val="20"/>
                <w:szCs w:val="20"/>
                <w:color w:val="auto"/>
              </w:rPr>
            </w:pPr>
            <w:r>
              <w:rPr>
                <w:rFonts w:ascii="Times New Roman" w:cs="Times New Roman" w:eastAsia="Times New Roman" w:hAnsi="Times New Roman"/>
                <w:sz w:val="16"/>
                <w:szCs w:val="16"/>
                <w:color w:val="auto"/>
              </w:rPr>
              <w:t>4</w:t>
            </w:r>
          </w:p>
        </w:tc>
        <w:tc>
          <w:tcPr>
            <w:tcW w:w="560" w:type="dxa"/>
            <w:vAlign w:val="bottom"/>
          </w:tcPr>
          <w:p>
            <w:pPr>
              <w:jc w:val="right"/>
              <w:ind w:right="45"/>
              <w:spacing w:after="0"/>
              <w:rPr>
                <w:sz w:val="20"/>
                <w:szCs w:val="20"/>
                <w:color w:val="auto"/>
              </w:rPr>
            </w:pPr>
            <w:r>
              <w:rPr>
                <w:rFonts w:ascii="Times New Roman" w:cs="Times New Roman" w:eastAsia="Times New Roman" w:hAnsi="Times New Roman"/>
                <w:sz w:val="16"/>
                <w:szCs w:val="16"/>
                <w:color w:val="auto"/>
              </w:rPr>
              <w:t>5</w:t>
            </w:r>
          </w:p>
        </w:tc>
        <w:tc>
          <w:tcPr>
            <w:tcW w:w="460" w:type="dxa"/>
            <w:vAlign w:val="bottom"/>
          </w:tcPr>
          <w:p>
            <w:pPr>
              <w:jc w:val="right"/>
              <w:ind w:right="180"/>
              <w:spacing w:after="0"/>
              <w:rPr>
                <w:sz w:val="20"/>
                <w:szCs w:val="20"/>
                <w:color w:val="auto"/>
              </w:rPr>
            </w:pPr>
            <w:r>
              <w:rPr>
                <w:rFonts w:ascii="Times New Roman" w:cs="Times New Roman" w:eastAsia="Times New Roman" w:hAnsi="Times New Roman"/>
                <w:sz w:val="16"/>
                <w:szCs w:val="16"/>
                <w:color w:val="auto"/>
              </w:rPr>
              <w:t>6</w:t>
            </w:r>
          </w:p>
        </w:tc>
        <w:tc>
          <w:tcPr>
            <w:tcW w:w="500" w:type="dxa"/>
            <w:vAlign w:val="bottom"/>
          </w:tcPr>
          <w:p>
            <w:pPr>
              <w:jc w:val="right"/>
              <w:ind w:right="45"/>
              <w:spacing w:after="0"/>
              <w:rPr>
                <w:sz w:val="20"/>
                <w:szCs w:val="20"/>
                <w:color w:val="auto"/>
              </w:rPr>
            </w:pPr>
            <w:r>
              <w:rPr>
                <w:rFonts w:ascii="Times New Roman" w:cs="Times New Roman" w:eastAsia="Times New Roman" w:hAnsi="Times New Roman"/>
                <w:sz w:val="16"/>
                <w:szCs w:val="16"/>
                <w:color w:val="auto"/>
              </w:rPr>
              <w:t>7</w:t>
            </w:r>
          </w:p>
        </w:tc>
        <w:tc>
          <w:tcPr>
            <w:tcW w:w="420" w:type="dxa"/>
            <w:vAlign w:val="bottom"/>
          </w:tcPr>
          <w:p>
            <w:pPr>
              <w:jc w:val="right"/>
              <w:ind w:right="140"/>
              <w:spacing w:after="0"/>
              <w:rPr>
                <w:sz w:val="20"/>
                <w:szCs w:val="20"/>
                <w:color w:val="auto"/>
              </w:rPr>
            </w:pPr>
            <w:r>
              <w:rPr>
                <w:rFonts w:ascii="Times New Roman" w:cs="Times New Roman" w:eastAsia="Times New Roman" w:hAnsi="Times New Roman"/>
                <w:sz w:val="16"/>
                <w:szCs w:val="16"/>
                <w:color w:val="auto"/>
              </w:rPr>
              <w:t>8</w:t>
            </w:r>
          </w:p>
        </w:tc>
        <w:tc>
          <w:tcPr>
            <w:tcW w:w="460" w:type="dxa"/>
            <w:vAlign w:val="bottom"/>
          </w:tcPr>
          <w:p>
            <w:pPr>
              <w:jc w:val="right"/>
              <w:ind w:right="5"/>
              <w:spacing w:after="0"/>
              <w:rPr>
                <w:sz w:val="20"/>
                <w:szCs w:val="20"/>
                <w:color w:val="auto"/>
              </w:rPr>
            </w:pPr>
            <w:r>
              <w:rPr>
                <w:rFonts w:ascii="Times New Roman" w:cs="Times New Roman" w:eastAsia="Times New Roman" w:hAnsi="Times New Roman"/>
                <w:sz w:val="16"/>
                <w:szCs w:val="16"/>
                <w:color w:val="auto"/>
              </w:rPr>
              <w:t>9</w:t>
            </w:r>
          </w:p>
        </w:tc>
        <w:tc>
          <w:tcPr>
            <w:tcW w:w="500" w:type="dxa"/>
            <w:vAlign w:val="bottom"/>
          </w:tcPr>
          <w:p>
            <w:pPr>
              <w:jc w:val="right"/>
              <w:ind w:right="180"/>
              <w:spacing w:after="0"/>
              <w:rPr>
                <w:sz w:val="20"/>
                <w:szCs w:val="20"/>
                <w:color w:val="auto"/>
              </w:rPr>
            </w:pPr>
            <w:r>
              <w:rPr>
                <w:rFonts w:ascii="Times New Roman" w:cs="Times New Roman" w:eastAsia="Times New Roman" w:hAnsi="Times New Roman"/>
                <w:sz w:val="16"/>
                <w:szCs w:val="16"/>
                <w:color w:val="auto"/>
              </w:rPr>
              <w:t>10</w:t>
            </w:r>
          </w:p>
        </w:tc>
        <w:tc>
          <w:tcPr>
            <w:tcW w:w="400" w:type="dxa"/>
            <w:vAlign w:val="bottom"/>
          </w:tcPr>
          <w:p>
            <w:pPr>
              <w:jc w:val="right"/>
              <w:ind w:right="25"/>
              <w:spacing w:after="0"/>
              <w:rPr>
                <w:sz w:val="20"/>
                <w:szCs w:val="20"/>
                <w:color w:val="auto"/>
              </w:rPr>
            </w:pPr>
            <w:r>
              <w:rPr>
                <w:rFonts w:ascii="Times New Roman" w:cs="Times New Roman" w:eastAsia="Times New Roman" w:hAnsi="Times New Roman"/>
                <w:sz w:val="16"/>
                <w:szCs w:val="16"/>
                <w:color w:val="auto"/>
              </w:rPr>
              <w:t>11</w:t>
            </w:r>
          </w:p>
        </w:tc>
        <w:tc>
          <w:tcPr>
            <w:tcW w:w="460" w:type="dxa"/>
            <w:vAlign w:val="bottom"/>
          </w:tcPr>
          <w:p>
            <w:pPr>
              <w:jc w:val="right"/>
              <w:ind w:right="120"/>
              <w:spacing w:after="0"/>
              <w:rPr>
                <w:sz w:val="20"/>
                <w:szCs w:val="20"/>
                <w:color w:val="auto"/>
              </w:rPr>
            </w:pPr>
            <w:r>
              <w:rPr>
                <w:rFonts w:ascii="Times New Roman" w:cs="Times New Roman" w:eastAsia="Times New Roman" w:hAnsi="Times New Roman"/>
                <w:sz w:val="16"/>
                <w:szCs w:val="16"/>
                <w:color w:val="auto"/>
              </w:rPr>
              <w:t>12</w:t>
            </w:r>
          </w:p>
        </w:tc>
        <w:tc>
          <w:tcPr>
            <w:tcW w:w="440" w:type="dxa"/>
            <w:vAlign w:val="bottom"/>
          </w:tcPr>
          <w:p>
            <w:pPr>
              <w:ind w:left="200"/>
              <w:spacing w:after="0"/>
              <w:rPr>
                <w:sz w:val="20"/>
                <w:szCs w:val="20"/>
                <w:color w:val="auto"/>
              </w:rPr>
            </w:pPr>
            <w:r>
              <w:rPr>
                <w:rFonts w:ascii="Times New Roman" w:cs="Times New Roman" w:eastAsia="Times New Roman" w:hAnsi="Times New Roman"/>
                <w:sz w:val="16"/>
                <w:szCs w:val="16"/>
                <w:color w:val="auto"/>
              </w:rPr>
              <w:t>13</w:t>
            </w:r>
          </w:p>
        </w:tc>
        <w:tc>
          <w:tcPr>
            <w:tcW w:w="260" w:type="dxa"/>
            <w:vAlign w:val="bottom"/>
          </w:tcPr>
          <w:p>
            <w:pPr>
              <w:jc w:val="right"/>
              <w:spacing w:after="0"/>
              <w:rPr>
                <w:sz w:val="20"/>
                <w:szCs w:val="20"/>
                <w:color w:val="auto"/>
              </w:rPr>
            </w:pPr>
            <w:r>
              <w:rPr>
                <w:rFonts w:ascii="Times New Roman" w:cs="Times New Roman" w:eastAsia="Times New Roman" w:hAnsi="Times New Roman"/>
                <w:sz w:val="16"/>
                <w:szCs w:val="16"/>
                <w:color w:val="auto"/>
              </w:rPr>
              <w:t>14</w:t>
            </w:r>
          </w:p>
        </w:tc>
        <w:tc>
          <w:tcPr>
            <w:tcW w:w="0" w:type="dxa"/>
            <w:vAlign w:val="bottom"/>
          </w:tcPr>
          <w:p>
            <w:pPr>
              <w:spacing w:after="0"/>
              <w:rPr>
                <w:sz w:val="1"/>
                <w:szCs w:val="1"/>
                <w:color w:val="auto"/>
              </w:rPr>
            </w:pPr>
          </w:p>
        </w:tc>
      </w:tr>
    </w:tbl>
    <w:p>
      <w:pPr>
        <w:spacing w:after="0" w:line="86" w:lineRule="exact"/>
        <w:rPr>
          <w:sz w:val="20"/>
          <w:szCs w:val="20"/>
          <w:color w:val="auto"/>
        </w:rPr>
      </w:pPr>
    </w:p>
    <w:p>
      <w:pPr>
        <w:ind w:left="3340"/>
        <w:spacing w:after="0"/>
        <w:rPr>
          <w:sz w:val="20"/>
          <w:szCs w:val="20"/>
          <w:color w:val="auto"/>
        </w:rPr>
      </w:pPr>
      <w:r>
        <w:rPr>
          <w:rFonts w:ascii="Times New Roman" w:cs="Times New Roman" w:eastAsia="Times New Roman" w:hAnsi="Times New Roman"/>
          <w:sz w:val="16"/>
          <w:szCs w:val="16"/>
          <w:color w:val="auto"/>
        </w:rPr>
        <w:t>Especies/sexo</w:t>
      </w:r>
    </w:p>
    <w:p>
      <w:pPr>
        <w:sectPr>
          <w:pgSz w:w="9360" w:h="13039" w:orient="portrait"/>
          <w:cols w:equalWidth="0" w:num="2">
            <w:col w:w="161" w:space="128"/>
            <w:col w:w="6660"/>
          </w:cols>
          <w:pgMar w:left="1151" w:top="905" w:right="1260" w:bottom="437" w:gutter="0" w:footer="0" w:header="0"/>
          <w:type w:val="continuous"/>
        </w:sectPr>
      </w:pPr>
    </w:p>
    <w:p>
      <w:pPr>
        <w:spacing w:after="0" w:line="248" w:lineRule="exact"/>
        <w:rPr>
          <w:sz w:val="20"/>
          <w:szCs w:val="20"/>
          <w:color w:val="auto"/>
        </w:rPr>
      </w:pPr>
    </w:p>
    <w:p>
      <w:pPr>
        <w:jc w:val="both"/>
        <w:spacing w:after="0" w:line="320" w:lineRule="auto"/>
        <w:rPr>
          <w:sz w:val="20"/>
          <w:szCs w:val="20"/>
          <w:color w:val="auto"/>
        </w:rPr>
      </w:pPr>
      <w:r>
        <w:rPr>
          <w:rFonts w:ascii="Times New Roman" w:cs="Times New Roman" w:eastAsia="Times New Roman" w:hAnsi="Times New Roman"/>
          <w:sz w:val="15"/>
          <w:szCs w:val="15"/>
          <w:color w:val="auto"/>
        </w:rPr>
        <w:t>Ancova utilizando la lhc como variable covariada y los diferentes sexos de cada especie. Se observa que no existe un dimorfismo sexual marcado con respecto a la velocidad de escape. Cada recuadro simboliza una especie distinta; los números impares representan a las hembras; los números pares, a los machos. Los cuadros indican la media de la velocidad y las líneas horizontales señalan los valores máximos y mínimos (Fuente: Suárez, 2010).</w:t>
      </w:r>
    </w:p>
    <w:p>
      <w:pPr>
        <w:sectPr>
          <w:pgSz w:w="9360" w:h="13039" w:orient="portrait"/>
          <w:cols w:equalWidth="0" w:num="1">
            <w:col w:w="7200"/>
          </w:cols>
          <w:pgMar w:left="1080" w:top="905" w:right="1080" w:bottom="437" w:gutter="0" w:footer="0" w:header="0"/>
          <w:type w:val="continuous"/>
        </w:sectPr>
      </w:pPr>
    </w:p>
    <w:p>
      <w:pPr>
        <w:spacing w:after="0" w:line="200" w:lineRule="exact"/>
        <w:rPr>
          <w:sz w:val="20"/>
          <w:szCs w:val="20"/>
          <w:color w:val="auto"/>
        </w:rPr>
      </w:pPr>
    </w:p>
    <w:p>
      <w:pPr>
        <w:spacing w:after="0" w:line="377"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66" w:name="page67"/>
    <w:bookmarkEnd w:id="66"/>
    <w:p>
      <w:pPr>
        <w:spacing w:after="0"/>
        <w:tabs>
          <w:tab w:leader="none" w:pos="1960" w:val="left"/>
          <w:tab w:leader="none" w:pos="3100" w:val="left"/>
          <w:tab w:leader="none" w:pos="4260" w:val="left"/>
        </w:tabs>
        <w:rPr>
          <w:sz w:val="20"/>
          <w:szCs w:val="20"/>
          <w:color w:val="auto"/>
        </w:rPr>
      </w:pPr>
      <w:r>
        <w:rPr>
          <w:rFonts w:ascii="Arial Narrow" w:cs="Arial Narrow" w:eastAsia="Arial Narrow" w:hAnsi="Arial Narrow"/>
          <w:sz w:val="16"/>
          <w:szCs w:val="16"/>
          <w:color w:val="auto"/>
        </w:rPr>
        <w:t>66</w:t>
      </w:r>
      <w:r>
        <w:rPr>
          <w:sz w:val="20"/>
          <w:szCs w:val="20"/>
          <w:color w:val="auto"/>
        </w:rPr>
        <w:tab/>
      </w: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1945640</wp:posOffset>
                </wp:positionH>
                <wp:positionV relativeFrom="paragraph">
                  <wp:posOffset>-76835</wp:posOffset>
                </wp:positionV>
                <wp:extent cx="0" cy="88900"/>
                <wp:wrapNone/>
                <wp:docPr id="140" name="Shape 14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40" o:spid="_x0000_s116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3.2pt,-6.0499pt" to="153.2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2689225</wp:posOffset>
                </wp:positionH>
                <wp:positionV relativeFrom="paragraph">
                  <wp:posOffset>-76835</wp:posOffset>
                </wp:positionV>
                <wp:extent cx="0" cy="88900"/>
                <wp:wrapNone/>
                <wp:docPr id="141" name="Shape 14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41" o:spid="_x0000_s116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1.75pt,-6.0499pt" to="211.75pt,0.95pt" o:allowincell="f" strokecolor="#000000" strokeweight="0.4pt"/>
            </w:pict>
          </mc:Fallback>
        </mc:AlternateContent>
      </w:r>
    </w:p>
    <w:p>
      <w:pPr>
        <w:spacing w:after="0" w:line="34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Estructura del hábitat y altitud</w:t>
      </w:r>
    </w:p>
    <w:p>
      <w:pPr>
        <w:spacing w:after="0" w:line="371" w:lineRule="exact"/>
        <w:rPr>
          <w:sz w:val="20"/>
          <w:szCs w:val="20"/>
          <w:color w:val="auto"/>
        </w:rPr>
      </w:pPr>
    </w:p>
    <w:p>
      <w:pPr>
        <w:jc w:val="both"/>
        <w:spacing w:after="0" w:line="332" w:lineRule="auto"/>
        <w:rPr>
          <w:sz w:val="20"/>
          <w:szCs w:val="20"/>
          <w:color w:val="auto"/>
        </w:rPr>
      </w:pPr>
      <w:r>
        <w:rPr>
          <w:rFonts w:ascii="Times New Roman" w:cs="Times New Roman" w:eastAsia="Times New Roman" w:hAnsi="Times New Roman"/>
          <w:sz w:val="20"/>
          <w:szCs w:val="20"/>
          <w:color w:val="auto"/>
        </w:rPr>
        <w:t>El Anova reveló que la media de la velocidad fue diferente en las siete especies de lagartijas con respecto al gradiente altitudinal (</w:t>
      </w:r>
      <w:r>
        <w:rPr>
          <w:rFonts w:ascii="Times New Roman" w:cs="Times New Roman" w:eastAsia="Times New Roman" w:hAnsi="Times New Roman"/>
          <w:sz w:val="20"/>
          <w:szCs w:val="20"/>
          <w:i w:val="1"/>
          <w:iCs w:val="1"/>
          <w:color w:val="auto"/>
        </w:rPr>
        <w:t>F</w:t>
      </w:r>
      <w:r>
        <w:rPr>
          <w:rFonts w:ascii="Times New Roman" w:cs="Times New Roman" w:eastAsia="Times New Roman" w:hAnsi="Times New Roman"/>
          <w:sz w:val="20"/>
          <w:szCs w:val="20"/>
          <w:color w:val="auto"/>
        </w:rPr>
        <w:t xml:space="preserve"> = 18.12, </w:t>
      </w:r>
      <w:r>
        <w:rPr>
          <w:rFonts w:ascii="Times New Roman" w:cs="Times New Roman" w:eastAsia="Times New Roman" w:hAnsi="Times New Roman"/>
          <w:sz w:val="20"/>
          <w:szCs w:val="20"/>
          <w:i w:val="1"/>
          <w:iCs w:val="1"/>
          <w:color w:val="auto"/>
        </w:rPr>
        <w:t>gl</w:t>
      </w:r>
      <w:r>
        <w:rPr>
          <w:rFonts w:ascii="Times New Roman" w:cs="Times New Roman" w:eastAsia="Times New Roman" w:hAnsi="Times New Roman"/>
          <w:sz w:val="20"/>
          <w:szCs w:val="20"/>
          <w:color w:val="auto"/>
        </w:rPr>
        <w:t xml:space="preserve"> = 9, </w:t>
      </w:r>
      <w:r>
        <w:rPr>
          <w:rFonts w:ascii="Times New Roman" w:cs="Times New Roman" w:eastAsia="Times New Roman" w:hAnsi="Times New Roman"/>
          <w:sz w:val="20"/>
          <w:szCs w:val="20"/>
          <w:i w:val="1"/>
          <w:iCs w:val="1"/>
          <w:color w:val="auto"/>
        </w:rPr>
        <w:t>p</w:t>
      </w:r>
      <w:r>
        <w:rPr>
          <w:rFonts w:ascii="Times New Roman" w:cs="Times New Roman" w:eastAsia="Times New Roman" w:hAnsi="Times New Roman"/>
          <w:sz w:val="20"/>
          <w:szCs w:val="20"/>
          <w:color w:val="auto"/>
        </w:rPr>
        <w:t xml:space="preserve"> = 0.000): aquellas que habitan a menores altitudes presentan mayor velocidad en comparación con las especies de mayores altitudes. La especie </w:t>
      </w:r>
      <w:r>
        <w:rPr>
          <w:rFonts w:ascii="Times New Roman" w:cs="Times New Roman" w:eastAsia="Times New Roman" w:hAnsi="Times New Roman"/>
          <w:sz w:val="20"/>
          <w:szCs w:val="20"/>
          <w:i w:val="1"/>
          <w:iCs w:val="1"/>
          <w:color w:val="auto"/>
        </w:rPr>
        <w:t>S. aeneus</w:t>
      </w:r>
      <w:r>
        <w:rPr>
          <w:rFonts w:ascii="Times New Roman" w:cs="Times New Roman" w:eastAsia="Times New Roman" w:hAnsi="Times New Roman"/>
          <w:sz w:val="20"/>
          <w:szCs w:val="20"/>
          <w:color w:val="auto"/>
        </w:rPr>
        <w:t xml:space="preserve"> de la localidad del Parque Hermenegildo Galeana mostró la velocidad de escape más lenta, aunque habita a una altitud menor (2 478 msnm) que la de El Mapa (3 200 msnm); para el caso de </w:t>
      </w:r>
      <w:r>
        <w:rPr>
          <w:rFonts w:ascii="Times New Roman" w:cs="Times New Roman" w:eastAsia="Times New Roman" w:hAnsi="Times New Roman"/>
          <w:sz w:val="20"/>
          <w:szCs w:val="20"/>
          <w:i w:val="1"/>
          <w:iCs w:val="1"/>
          <w:color w:val="auto"/>
        </w:rPr>
        <w:t>B. imbricata</w:t>
      </w:r>
      <w:r>
        <w:rPr>
          <w:rFonts w:ascii="Times New Roman" w:cs="Times New Roman" w:eastAsia="Times New Roman" w:hAnsi="Times New Roman"/>
          <w:sz w:val="20"/>
          <w:szCs w:val="20"/>
          <w:color w:val="auto"/>
        </w:rPr>
        <w:t xml:space="preserve"> se obtuvo estadísticamente la misma velocidad en las tres localidades, Parque Sierra Morelos (2 733 msnm), El Mapa (3 200 msnm) y Nevado de Toluca (4 200 msnm) (figura 7).</w:t>
      </w:r>
    </w:p>
    <w:p>
      <w:pPr>
        <w:spacing w:after="0" w:line="216" w:lineRule="exact"/>
        <w:rPr>
          <w:sz w:val="20"/>
          <w:szCs w:val="20"/>
          <w:color w:val="auto"/>
        </w:rPr>
      </w:pPr>
    </w:p>
    <w:p>
      <w:pPr>
        <w:ind w:left="3320"/>
        <w:spacing w:after="0"/>
        <w:rPr>
          <w:sz w:val="20"/>
          <w:szCs w:val="20"/>
          <w:color w:val="auto"/>
        </w:rPr>
      </w:pPr>
      <w:r>
        <w:rPr>
          <w:rFonts w:ascii="Times New Roman" w:cs="Times New Roman" w:eastAsia="Times New Roman" w:hAnsi="Times New Roman"/>
          <w:sz w:val="18"/>
          <w:szCs w:val="18"/>
          <w:i w:val="1"/>
          <w:iCs w:val="1"/>
          <w:color w:val="auto"/>
        </w:rPr>
        <w:t>Figura 7</w:t>
      </w:r>
    </w:p>
    <w:p>
      <w:pPr>
        <w:spacing w:after="0" w:line="33" w:lineRule="exact"/>
        <w:rPr>
          <w:sz w:val="20"/>
          <w:szCs w:val="20"/>
          <w:color w:val="auto"/>
        </w:rPr>
      </w:pPr>
    </w:p>
    <w:p>
      <w:pPr>
        <w:ind w:left="3020"/>
        <w:spacing w:after="0"/>
        <w:rPr>
          <w:sz w:val="20"/>
          <w:szCs w:val="20"/>
          <w:color w:val="auto"/>
        </w:rPr>
      </w:pPr>
      <w:r>
        <w:rPr>
          <w:rFonts w:ascii="Times New Roman" w:cs="Times New Roman" w:eastAsia="Times New Roman" w:hAnsi="Times New Roman"/>
          <w:sz w:val="18"/>
          <w:szCs w:val="18"/>
          <w:color w:val="auto"/>
        </w:rPr>
        <w:t>Tipo de hábitat</w:t>
      </w:r>
    </w:p>
    <w:p>
      <w:pPr>
        <w:ind w:left="3020"/>
        <w:spacing w:after="0"/>
        <w:rPr>
          <w:sz w:val="20"/>
          <w:szCs w:val="20"/>
          <w:color w:val="auto"/>
        </w:rPr>
        <w:sectPr>
          <w:pgSz w:w="9360" w:h="13039" w:orient="portrait"/>
          <w:cols w:equalWidth="0" w:num="1">
            <w:col w:w="7200"/>
          </w:cols>
          <w:pgMar w:left="1080" w:top="906" w:right="1080" w:bottom="437" w:gutter="0" w:footer="0" w:header="0"/>
        </w:sectPr>
      </w:pPr>
      <w:r>
        <w:rPr>
          <w:sz w:val="20"/>
          <w:szCs w:val="20"/>
          <w:color w:val="auto"/>
        </w:rPr>
        <w:drawing>
          <wp:anchor simplePos="0" relativeHeight="251657728" behindDoc="1" locked="0" layoutInCell="0" allowOverlap="1">
            <wp:simplePos x="0" y="0"/>
            <wp:positionH relativeFrom="column">
              <wp:posOffset>-2540</wp:posOffset>
            </wp:positionH>
            <wp:positionV relativeFrom="paragraph">
              <wp:posOffset>113030</wp:posOffset>
            </wp:positionV>
            <wp:extent cx="4574540" cy="3338830"/>
            <wp:wrapNone/>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41">
                      <a:extLst>
                        <a:ext uri="{28A0092B-C50C-407E-A947-70E740481C1C}"/>
                      </a:extLst>
                    </a:blip>
                    <a:srcRect/>
                    <a:stretch>
                      <a:fillRect/>
                    </a:stretch>
                  </pic:blipFill>
                  <pic:spPr bwMode="auto">
                    <a:xfrm>
                      <a:off x="0" y="0"/>
                      <a:ext cx="4574540" cy="333883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0" w:lineRule="exact"/>
        <w:rPr>
          <w:sz w:val="20"/>
          <w:szCs w:val="20"/>
          <w:color w:val="auto"/>
        </w:rPr>
      </w:pPr>
    </w:p>
    <w:tbl>
      <w:tblPr>
        <w:tblLayout w:type="fixed"/>
        <w:tblInd w:w="0" w:type="dxa"/>
        <w:tblCellMar>
          <w:top w:w="0" w:type="dxa"/>
          <w:left w:w="0" w:type="dxa"/>
          <w:bottom w:w="0" w:type="dxa"/>
          <w:right w:w="0" w:type="dxa"/>
        </w:tblCellMar>
      </w:tblPr>
      <w:tr>
        <w:trPr>
          <w:trHeight w:val="1420"/>
          <w:jc w:val="center"/>
        </w:trPr>
        <w:tc>
          <w:tcPr>
            <w:tcW w:w="138" w:type="dxa"/>
            <w:vAlign w:val="bottom"/>
            <w:textDirection w:val="btLr"/>
          </w:tcPr>
          <w:p>
            <w:pPr>
              <w:spacing w:after="0"/>
              <w:rPr>
                <w:sz w:val="20"/>
                <w:szCs w:val="20"/>
                <w:color w:val="auto"/>
              </w:rPr>
            </w:pPr>
            <w:r>
              <w:rPr>
                <w:rFonts w:ascii="Times New Roman" w:cs="Times New Roman" w:eastAsia="Times New Roman" w:hAnsi="Times New Roman"/>
                <w:sz w:val="12"/>
                <w:szCs w:val="12"/>
                <w:color w:val="auto"/>
              </w:rPr>
              <w:t xml:space="preserve">Velocidad de escape cm s </w:t>
            </w:r>
            <w:r>
              <w:rPr>
                <w:rFonts w:ascii="Times New Roman" w:cs="Times New Roman" w:eastAsia="Times New Roman" w:hAnsi="Times New Roman"/>
                <w:sz w:val="7"/>
                <w:szCs w:val="7"/>
                <w:color w:val="auto"/>
              </w:rPr>
              <w:t>-1</w:t>
            </w:r>
          </w:p>
        </w:tc>
      </w:tr>
    </w:tbl>
    <w:p>
      <w:pPr>
        <w:spacing w:after="0" w:line="264" w:lineRule="exact"/>
        <w:rPr>
          <w:sz w:val="20"/>
          <w:szCs w:val="20"/>
          <w:color w:val="auto"/>
        </w:rPr>
      </w:pPr>
      <w:r>
        <w:rPr>
          <w:sz w:val="20"/>
          <w:szCs w:val="20"/>
          <w:color w:val="auto"/>
        </w:rPr>
        <w:br w:type="column"/>
      </w:r>
    </w:p>
    <w:p>
      <w:pPr>
        <w:spacing w:after="0" w:line="1" w:lineRule="exact"/>
        <w:rPr>
          <w:sz w:val="1"/>
          <w:szCs w:val="1"/>
          <w:color w:val="auto"/>
        </w:rPr>
      </w:pPr>
    </w:p>
    <w:tbl>
      <w:tblPr>
        <w:tblLayout w:type="fixed"/>
        <w:tblInd w:w="0" w:type="dxa"/>
        <w:tblCellMar>
          <w:top w:w="0" w:type="dxa"/>
          <w:left w:w="0" w:type="dxa"/>
          <w:bottom w:w="0" w:type="dxa"/>
          <w:right w:w="0" w:type="dxa"/>
        </w:tblCellMar>
      </w:tblPr>
      <w:tr>
        <w:trPr>
          <w:trHeight w:val="176"/>
        </w:trPr>
        <w:tc>
          <w:tcPr>
            <w:tcW w:w="1420" w:type="dxa"/>
            <w:vAlign w:val="bottom"/>
          </w:tcPr>
          <w:p>
            <w:pPr>
              <w:jc w:val="right"/>
              <w:ind w:right="1150"/>
              <w:spacing w:after="0"/>
              <w:rPr>
                <w:sz w:val="20"/>
                <w:szCs w:val="20"/>
                <w:color w:val="auto"/>
              </w:rPr>
            </w:pPr>
            <w:r>
              <w:rPr>
                <w:rFonts w:ascii="Times New Roman" w:cs="Times New Roman" w:eastAsia="Times New Roman" w:hAnsi="Times New Roman"/>
                <w:sz w:val="14"/>
                <w:szCs w:val="14"/>
                <w:color w:val="auto"/>
                <w:w w:val="85"/>
              </w:rPr>
              <w:t>120</w:t>
            </w:r>
          </w:p>
        </w:tc>
        <w:tc>
          <w:tcPr>
            <w:tcW w:w="520" w:type="dxa"/>
            <w:vAlign w:val="bottom"/>
          </w:tcPr>
          <w:p>
            <w:pPr>
              <w:spacing w:after="0"/>
              <w:rPr>
                <w:sz w:val="15"/>
                <w:szCs w:val="15"/>
                <w:color w:val="auto"/>
              </w:rPr>
            </w:pPr>
          </w:p>
        </w:tc>
        <w:tc>
          <w:tcPr>
            <w:tcW w:w="660" w:type="dxa"/>
            <w:vAlign w:val="bottom"/>
          </w:tcPr>
          <w:p>
            <w:pPr>
              <w:spacing w:after="0"/>
              <w:rPr>
                <w:sz w:val="15"/>
                <w:szCs w:val="15"/>
                <w:color w:val="auto"/>
              </w:rPr>
            </w:pPr>
          </w:p>
        </w:tc>
        <w:tc>
          <w:tcPr>
            <w:tcW w:w="520" w:type="dxa"/>
            <w:vAlign w:val="bottom"/>
          </w:tcPr>
          <w:p>
            <w:pPr>
              <w:spacing w:after="0"/>
              <w:rPr>
                <w:sz w:val="15"/>
                <w:szCs w:val="15"/>
                <w:color w:val="auto"/>
              </w:rPr>
            </w:pPr>
          </w:p>
        </w:tc>
        <w:tc>
          <w:tcPr>
            <w:tcW w:w="460" w:type="dxa"/>
            <w:vAlign w:val="bottom"/>
          </w:tcPr>
          <w:p>
            <w:pPr>
              <w:spacing w:after="0"/>
              <w:rPr>
                <w:sz w:val="15"/>
                <w:szCs w:val="15"/>
                <w:color w:val="auto"/>
              </w:rPr>
            </w:pPr>
          </w:p>
        </w:tc>
        <w:tc>
          <w:tcPr>
            <w:tcW w:w="600" w:type="dxa"/>
            <w:vAlign w:val="bottom"/>
          </w:tcPr>
          <w:p>
            <w:pPr>
              <w:spacing w:after="0"/>
              <w:rPr>
                <w:sz w:val="15"/>
                <w:szCs w:val="15"/>
                <w:color w:val="auto"/>
              </w:rPr>
            </w:pPr>
          </w:p>
        </w:tc>
        <w:tc>
          <w:tcPr>
            <w:tcW w:w="820" w:type="dxa"/>
            <w:vAlign w:val="bottom"/>
          </w:tcPr>
          <w:p>
            <w:pPr>
              <w:spacing w:after="0"/>
              <w:rPr>
                <w:sz w:val="15"/>
                <w:szCs w:val="15"/>
                <w:color w:val="auto"/>
              </w:rPr>
            </w:pPr>
          </w:p>
        </w:tc>
        <w:tc>
          <w:tcPr>
            <w:tcW w:w="500" w:type="dxa"/>
            <w:vAlign w:val="bottom"/>
          </w:tcPr>
          <w:p>
            <w:pPr>
              <w:spacing w:after="0"/>
              <w:rPr>
                <w:sz w:val="15"/>
                <w:szCs w:val="15"/>
                <w:color w:val="auto"/>
              </w:rPr>
            </w:pPr>
          </w:p>
        </w:tc>
        <w:tc>
          <w:tcPr>
            <w:tcW w:w="680" w:type="dxa"/>
            <w:vAlign w:val="bottom"/>
          </w:tcPr>
          <w:p>
            <w:pPr>
              <w:spacing w:after="0"/>
              <w:rPr>
                <w:sz w:val="15"/>
                <w:szCs w:val="15"/>
                <w:color w:val="auto"/>
              </w:rPr>
            </w:pPr>
          </w:p>
        </w:tc>
        <w:tc>
          <w:tcPr>
            <w:tcW w:w="480" w:type="dxa"/>
            <w:vAlign w:val="bottom"/>
          </w:tcPr>
          <w:p>
            <w:pPr>
              <w:spacing w:after="0"/>
              <w:rPr>
                <w:sz w:val="15"/>
                <w:szCs w:val="15"/>
                <w:color w:val="auto"/>
              </w:rPr>
            </w:pPr>
          </w:p>
        </w:tc>
        <w:tc>
          <w:tcPr>
            <w:tcW w:w="0" w:type="dxa"/>
            <w:vAlign w:val="bottom"/>
          </w:tcPr>
          <w:p>
            <w:pPr>
              <w:spacing w:after="0"/>
              <w:rPr>
                <w:sz w:val="1"/>
                <w:szCs w:val="1"/>
                <w:color w:val="auto"/>
              </w:rPr>
            </w:pPr>
          </w:p>
        </w:tc>
      </w:tr>
      <w:tr>
        <w:trPr>
          <w:trHeight w:val="437"/>
        </w:trPr>
        <w:tc>
          <w:tcPr>
            <w:tcW w:w="1420" w:type="dxa"/>
            <w:vAlign w:val="bottom"/>
            <w:vMerge w:val="restart"/>
          </w:tcPr>
          <w:p>
            <w:pPr>
              <w:jc w:val="right"/>
              <w:ind w:right="1150"/>
              <w:spacing w:after="0"/>
              <w:rPr>
                <w:sz w:val="20"/>
                <w:szCs w:val="20"/>
                <w:color w:val="auto"/>
              </w:rPr>
            </w:pPr>
            <w:r>
              <w:rPr>
                <w:rFonts w:ascii="Times New Roman" w:cs="Times New Roman" w:eastAsia="Times New Roman" w:hAnsi="Times New Roman"/>
                <w:sz w:val="14"/>
                <w:szCs w:val="14"/>
                <w:color w:val="auto"/>
                <w:w w:val="85"/>
              </w:rPr>
              <w:t>100</w:t>
            </w:r>
          </w:p>
        </w:tc>
        <w:tc>
          <w:tcPr>
            <w:tcW w:w="520" w:type="dxa"/>
            <w:vAlign w:val="bottom"/>
          </w:tcPr>
          <w:p>
            <w:pPr>
              <w:spacing w:after="0"/>
              <w:rPr>
                <w:sz w:val="20"/>
                <w:szCs w:val="20"/>
                <w:color w:val="auto"/>
              </w:rPr>
            </w:pPr>
            <w:r>
              <w:rPr>
                <w:rFonts w:ascii="Times New Roman" w:cs="Times New Roman" w:eastAsia="Times New Roman" w:hAnsi="Times New Roman"/>
                <w:sz w:val="14"/>
                <w:szCs w:val="14"/>
                <w:i w:val="1"/>
                <w:iCs w:val="1"/>
                <w:color w:val="auto"/>
                <w:w w:val="89"/>
              </w:rPr>
              <w:t>A. costata</w:t>
            </w:r>
          </w:p>
        </w:tc>
        <w:tc>
          <w:tcPr>
            <w:tcW w:w="66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46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820" w:type="dxa"/>
            <w:vAlign w:val="bottom"/>
          </w:tcPr>
          <w:p>
            <w:pPr>
              <w:spacing w:after="0"/>
              <w:rPr>
                <w:sz w:val="24"/>
                <w:szCs w:val="24"/>
                <w:color w:val="auto"/>
              </w:rPr>
            </w:pPr>
          </w:p>
        </w:tc>
        <w:tc>
          <w:tcPr>
            <w:tcW w:w="500" w:type="dxa"/>
            <w:vAlign w:val="bottom"/>
          </w:tcPr>
          <w:p>
            <w:pPr>
              <w:spacing w:after="0"/>
              <w:rPr>
                <w:sz w:val="24"/>
                <w:szCs w:val="24"/>
                <w:color w:val="auto"/>
              </w:rPr>
            </w:pPr>
          </w:p>
        </w:tc>
        <w:tc>
          <w:tcPr>
            <w:tcW w:w="680" w:type="dxa"/>
            <w:vAlign w:val="bottom"/>
          </w:tcPr>
          <w:p>
            <w:pPr>
              <w:spacing w:after="0"/>
              <w:rPr>
                <w:sz w:val="24"/>
                <w:szCs w:val="24"/>
                <w:color w:val="auto"/>
              </w:rPr>
            </w:pP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63"/>
        </w:trPr>
        <w:tc>
          <w:tcPr>
            <w:tcW w:w="1420" w:type="dxa"/>
            <w:vAlign w:val="bottom"/>
            <w:vMerge w:val="continue"/>
          </w:tcPr>
          <w:p>
            <w:pPr>
              <w:spacing w:after="0"/>
              <w:rPr>
                <w:sz w:val="14"/>
                <w:szCs w:val="14"/>
                <w:color w:val="auto"/>
              </w:rPr>
            </w:pPr>
          </w:p>
        </w:tc>
        <w:tc>
          <w:tcPr>
            <w:tcW w:w="520" w:type="dxa"/>
            <w:vAlign w:val="bottom"/>
          </w:tcPr>
          <w:p>
            <w:pPr>
              <w:spacing w:after="0"/>
              <w:rPr>
                <w:sz w:val="14"/>
                <w:szCs w:val="14"/>
                <w:color w:val="auto"/>
              </w:rPr>
            </w:pPr>
          </w:p>
        </w:tc>
        <w:tc>
          <w:tcPr>
            <w:tcW w:w="660" w:type="dxa"/>
            <w:vAlign w:val="bottom"/>
          </w:tcPr>
          <w:p>
            <w:pPr>
              <w:spacing w:after="0"/>
              <w:rPr>
                <w:sz w:val="14"/>
                <w:szCs w:val="14"/>
                <w:color w:val="auto"/>
              </w:rPr>
            </w:pPr>
          </w:p>
        </w:tc>
        <w:tc>
          <w:tcPr>
            <w:tcW w:w="520" w:type="dxa"/>
            <w:vAlign w:val="bottom"/>
          </w:tcPr>
          <w:p>
            <w:pPr>
              <w:spacing w:after="0"/>
              <w:rPr>
                <w:sz w:val="14"/>
                <w:szCs w:val="14"/>
                <w:color w:val="auto"/>
              </w:rPr>
            </w:pPr>
          </w:p>
        </w:tc>
        <w:tc>
          <w:tcPr>
            <w:tcW w:w="460" w:type="dxa"/>
            <w:vAlign w:val="bottom"/>
          </w:tcPr>
          <w:p>
            <w:pPr>
              <w:spacing w:after="0"/>
              <w:rPr>
                <w:sz w:val="14"/>
                <w:szCs w:val="14"/>
                <w:color w:val="auto"/>
              </w:rPr>
            </w:pPr>
          </w:p>
        </w:tc>
        <w:tc>
          <w:tcPr>
            <w:tcW w:w="600" w:type="dxa"/>
            <w:vAlign w:val="bottom"/>
          </w:tcPr>
          <w:p>
            <w:pPr>
              <w:spacing w:after="0"/>
              <w:rPr>
                <w:sz w:val="14"/>
                <w:szCs w:val="14"/>
                <w:color w:val="auto"/>
              </w:rPr>
            </w:pPr>
          </w:p>
        </w:tc>
        <w:tc>
          <w:tcPr>
            <w:tcW w:w="820" w:type="dxa"/>
            <w:vAlign w:val="bottom"/>
          </w:tcPr>
          <w:p>
            <w:pPr>
              <w:spacing w:after="0"/>
              <w:rPr>
                <w:sz w:val="14"/>
                <w:szCs w:val="14"/>
                <w:color w:val="auto"/>
              </w:rPr>
            </w:pPr>
          </w:p>
        </w:tc>
        <w:tc>
          <w:tcPr>
            <w:tcW w:w="500" w:type="dxa"/>
            <w:vAlign w:val="bottom"/>
          </w:tcPr>
          <w:p>
            <w:pPr>
              <w:spacing w:after="0"/>
              <w:rPr>
                <w:sz w:val="14"/>
                <w:szCs w:val="14"/>
                <w:color w:val="auto"/>
              </w:rPr>
            </w:pPr>
          </w:p>
        </w:tc>
        <w:tc>
          <w:tcPr>
            <w:tcW w:w="680" w:type="dxa"/>
            <w:vAlign w:val="bottom"/>
          </w:tcPr>
          <w:p>
            <w:pPr>
              <w:spacing w:after="0"/>
              <w:rPr>
                <w:sz w:val="14"/>
                <w:szCs w:val="14"/>
                <w:color w:val="auto"/>
              </w:rPr>
            </w:pPr>
          </w:p>
        </w:tc>
        <w:tc>
          <w:tcPr>
            <w:tcW w:w="480" w:type="dxa"/>
            <w:vAlign w:val="bottom"/>
          </w:tcPr>
          <w:p>
            <w:pPr>
              <w:spacing w:after="0"/>
              <w:rPr>
                <w:sz w:val="14"/>
                <w:szCs w:val="14"/>
                <w:color w:val="auto"/>
              </w:rPr>
            </w:pPr>
          </w:p>
        </w:tc>
        <w:tc>
          <w:tcPr>
            <w:tcW w:w="0" w:type="dxa"/>
            <w:vAlign w:val="bottom"/>
          </w:tcPr>
          <w:p>
            <w:pPr>
              <w:spacing w:after="0"/>
              <w:rPr>
                <w:sz w:val="1"/>
                <w:szCs w:val="1"/>
                <w:color w:val="auto"/>
              </w:rPr>
            </w:pPr>
          </w:p>
        </w:tc>
      </w:tr>
      <w:tr>
        <w:trPr>
          <w:trHeight w:val="369"/>
        </w:trPr>
        <w:tc>
          <w:tcPr>
            <w:tcW w:w="1420" w:type="dxa"/>
            <w:vAlign w:val="bottom"/>
          </w:tcPr>
          <w:p>
            <w:pPr>
              <w:jc w:val="right"/>
              <w:spacing w:after="0"/>
              <w:rPr>
                <w:sz w:val="20"/>
                <w:szCs w:val="20"/>
                <w:color w:val="auto"/>
              </w:rPr>
            </w:pPr>
            <w:r>
              <w:rPr>
                <w:rFonts w:ascii="Times New Roman" w:cs="Times New Roman" w:eastAsia="Times New Roman" w:hAnsi="Times New Roman"/>
                <w:sz w:val="14"/>
                <w:szCs w:val="14"/>
                <w:i w:val="1"/>
                <w:iCs w:val="1"/>
                <w:color w:val="auto"/>
              </w:rPr>
              <w:t>S. grammicus</w:t>
            </w:r>
          </w:p>
        </w:tc>
        <w:tc>
          <w:tcPr>
            <w:tcW w:w="52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46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820" w:type="dxa"/>
            <w:vAlign w:val="bottom"/>
          </w:tcPr>
          <w:p>
            <w:pPr>
              <w:spacing w:after="0"/>
              <w:rPr>
                <w:sz w:val="24"/>
                <w:szCs w:val="24"/>
                <w:color w:val="auto"/>
              </w:rPr>
            </w:pPr>
          </w:p>
        </w:tc>
        <w:tc>
          <w:tcPr>
            <w:tcW w:w="500" w:type="dxa"/>
            <w:vAlign w:val="bottom"/>
          </w:tcPr>
          <w:p>
            <w:pPr>
              <w:spacing w:after="0"/>
              <w:rPr>
                <w:sz w:val="24"/>
                <w:szCs w:val="24"/>
                <w:color w:val="auto"/>
              </w:rPr>
            </w:pPr>
          </w:p>
        </w:tc>
        <w:tc>
          <w:tcPr>
            <w:tcW w:w="680" w:type="dxa"/>
            <w:vAlign w:val="bottom"/>
          </w:tcPr>
          <w:p>
            <w:pPr>
              <w:spacing w:after="0"/>
              <w:rPr>
                <w:sz w:val="24"/>
                <w:szCs w:val="24"/>
                <w:color w:val="auto"/>
              </w:rPr>
            </w:pP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31"/>
        </w:trPr>
        <w:tc>
          <w:tcPr>
            <w:tcW w:w="1420" w:type="dxa"/>
            <w:vAlign w:val="bottom"/>
          </w:tcPr>
          <w:p>
            <w:pPr>
              <w:jc w:val="right"/>
              <w:ind w:right="1150"/>
              <w:spacing w:after="0"/>
              <w:rPr>
                <w:sz w:val="20"/>
                <w:szCs w:val="20"/>
                <w:color w:val="auto"/>
              </w:rPr>
            </w:pPr>
            <w:r>
              <w:rPr>
                <w:rFonts w:ascii="Times New Roman" w:cs="Times New Roman" w:eastAsia="Times New Roman" w:hAnsi="Times New Roman"/>
                <w:sz w:val="14"/>
                <w:szCs w:val="14"/>
                <w:color w:val="auto"/>
              </w:rPr>
              <w:t>80</w:t>
            </w:r>
          </w:p>
        </w:tc>
        <w:tc>
          <w:tcPr>
            <w:tcW w:w="520" w:type="dxa"/>
            <w:vAlign w:val="bottom"/>
          </w:tcPr>
          <w:p>
            <w:pPr>
              <w:spacing w:after="0"/>
              <w:rPr>
                <w:sz w:val="20"/>
                <w:szCs w:val="20"/>
                <w:color w:val="auto"/>
              </w:rPr>
            </w:pPr>
          </w:p>
        </w:tc>
        <w:tc>
          <w:tcPr>
            <w:tcW w:w="660" w:type="dxa"/>
            <w:vAlign w:val="bottom"/>
          </w:tcPr>
          <w:p>
            <w:pPr>
              <w:spacing w:after="0"/>
              <w:rPr>
                <w:sz w:val="20"/>
                <w:szCs w:val="20"/>
                <w:color w:val="auto"/>
              </w:rPr>
            </w:pPr>
          </w:p>
        </w:tc>
        <w:tc>
          <w:tcPr>
            <w:tcW w:w="520" w:type="dxa"/>
            <w:vAlign w:val="bottom"/>
          </w:tcPr>
          <w:p>
            <w:pPr>
              <w:spacing w:after="0"/>
              <w:rPr>
                <w:sz w:val="20"/>
                <w:szCs w:val="20"/>
                <w:color w:val="auto"/>
              </w:rPr>
            </w:pPr>
          </w:p>
        </w:tc>
        <w:tc>
          <w:tcPr>
            <w:tcW w:w="460" w:type="dxa"/>
            <w:vAlign w:val="bottom"/>
          </w:tcPr>
          <w:p>
            <w:pPr>
              <w:spacing w:after="0"/>
              <w:rPr>
                <w:sz w:val="20"/>
                <w:szCs w:val="20"/>
                <w:color w:val="auto"/>
              </w:rPr>
            </w:pPr>
          </w:p>
        </w:tc>
        <w:tc>
          <w:tcPr>
            <w:tcW w:w="600" w:type="dxa"/>
            <w:vAlign w:val="bottom"/>
          </w:tcPr>
          <w:p>
            <w:pPr>
              <w:spacing w:after="0"/>
              <w:rPr>
                <w:sz w:val="20"/>
                <w:szCs w:val="20"/>
                <w:color w:val="auto"/>
              </w:rPr>
            </w:pPr>
          </w:p>
        </w:tc>
        <w:tc>
          <w:tcPr>
            <w:tcW w:w="820" w:type="dxa"/>
            <w:vAlign w:val="bottom"/>
          </w:tcPr>
          <w:p>
            <w:pPr>
              <w:spacing w:after="0"/>
              <w:rPr>
                <w:sz w:val="20"/>
                <w:szCs w:val="20"/>
                <w:color w:val="auto"/>
              </w:rPr>
            </w:pPr>
          </w:p>
        </w:tc>
        <w:tc>
          <w:tcPr>
            <w:tcW w:w="500" w:type="dxa"/>
            <w:vAlign w:val="bottom"/>
          </w:tcPr>
          <w:p>
            <w:pPr>
              <w:spacing w:after="0"/>
              <w:rPr>
                <w:sz w:val="20"/>
                <w:szCs w:val="20"/>
                <w:color w:val="auto"/>
              </w:rPr>
            </w:pPr>
          </w:p>
        </w:tc>
        <w:tc>
          <w:tcPr>
            <w:tcW w:w="680" w:type="dxa"/>
            <w:vAlign w:val="bottom"/>
          </w:tcPr>
          <w:p>
            <w:pPr>
              <w:spacing w:after="0"/>
              <w:rPr>
                <w:sz w:val="20"/>
                <w:szCs w:val="20"/>
                <w:color w:val="auto"/>
              </w:rPr>
            </w:pPr>
          </w:p>
        </w:tc>
        <w:tc>
          <w:tcPr>
            <w:tcW w:w="480" w:type="dxa"/>
            <w:vAlign w:val="bottom"/>
          </w:tcPr>
          <w:p>
            <w:pPr>
              <w:spacing w:after="0"/>
              <w:rPr>
                <w:sz w:val="20"/>
                <w:szCs w:val="20"/>
                <w:color w:val="auto"/>
              </w:rPr>
            </w:pPr>
          </w:p>
        </w:tc>
        <w:tc>
          <w:tcPr>
            <w:tcW w:w="0" w:type="dxa"/>
            <w:vAlign w:val="bottom"/>
          </w:tcPr>
          <w:p>
            <w:pPr>
              <w:spacing w:after="0"/>
              <w:rPr>
                <w:sz w:val="1"/>
                <w:szCs w:val="1"/>
                <w:color w:val="auto"/>
              </w:rPr>
            </w:pPr>
          </w:p>
        </w:tc>
      </w:tr>
      <w:tr>
        <w:trPr>
          <w:trHeight w:val="289"/>
        </w:trPr>
        <w:tc>
          <w:tcPr>
            <w:tcW w:w="14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660" w:type="dxa"/>
            <w:vAlign w:val="bottom"/>
            <w:vMerge w:val="restart"/>
          </w:tcPr>
          <w:p>
            <w:pPr>
              <w:jc w:val="center"/>
              <w:spacing w:after="0"/>
              <w:rPr>
                <w:sz w:val="20"/>
                <w:szCs w:val="20"/>
                <w:color w:val="auto"/>
              </w:rPr>
            </w:pPr>
            <w:r>
              <w:rPr>
                <w:rFonts w:ascii="Times New Roman" w:cs="Times New Roman" w:eastAsia="Times New Roman" w:hAnsi="Times New Roman"/>
                <w:sz w:val="14"/>
                <w:szCs w:val="14"/>
                <w:i w:val="1"/>
                <w:iCs w:val="1"/>
                <w:color w:val="auto"/>
                <w:w w:val="85"/>
              </w:rPr>
              <w:t>P. orbiculare</w:t>
            </w:r>
          </w:p>
        </w:tc>
        <w:tc>
          <w:tcPr>
            <w:tcW w:w="520" w:type="dxa"/>
            <w:vAlign w:val="bottom"/>
          </w:tcPr>
          <w:p>
            <w:pPr>
              <w:spacing w:after="0"/>
              <w:rPr>
                <w:sz w:val="24"/>
                <w:szCs w:val="24"/>
                <w:color w:val="auto"/>
              </w:rPr>
            </w:pPr>
          </w:p>
        </w:tc>
        <w:tc>
          <w:tcPr>
            <w:tcW w:w="1060" w:type="dxa"/>
            <w:vAlign w:val="bottom"/>
            <w:gridSpan w:val="2"/>
          </w:tcPr>
          <w:p>
            <w:pPr>
              <w:ind w:left="20"/>
              <w:spacing w:after="0"/>
              <w:rPr>
                <w:sz w:val="20"/>
                <w:szCs w:val="20"/>
                <w:color w:val="auto"/>
              </w:rPr>
            </w:pPr>
            <w:r>
              <w:rPr>
                <w:rFonts w:ascii="Times New Roman" w:cs="Times New Roman" w:eastAsia="Times New Roman" w:hAnsi="Times New Roman"/>
                <w:sz w:val="14"/>
                <w:szCs w:val="14"/>
                <w:i w:val="1"/>
                <w:iCs w:val="1"/>
                <w:color w:val="auto"/>
              </w:rPr>
              <w:t>B. imbricata</w:t>
            </w:r>
          </w:p>
        </w:tc>
        <w:tc>
          <w:tcPr>
            <w:tcW w:w="820" w:type="dxa"/>
            <w:vAlign w:val="bottom"/>
          </w:tcPr>
          <w:p>
            <w:pPr>
              <w:spacing w:after="0"/>
              <w:rPr>
                <w:sz w:val="24"/>
                <w:szCs w:val="24"/>
                <w:color w:val="auto"/>
              </w:rPr>
            </w:pPr>
          </w:p>
        </w:tc>
        <w:tc>
          <w:tcPr>
            <w:tcW w:w="500" w:type="dxa"/>
            <w:vAlign w:val="bottom"/>
          </w:tcPr>
          <w:p>
            <w:pPr>
              <w:spacing w:after="0"/>
              <w:rPr>
                <w:sz w:val="24"/>
                <w:szCs w:val="24"/>
                <w:color w:val="auto"/>
              </w:rPr>
            </w:pPr>
          </w:p>
        </w:tc>
        <w:tc>
          <w:tcPr>
            <w:tcW w:w="680" w:type="dxa"/>
            <w:vAlign w:val="bottom"/>
            <w:vMerge w:val="restart"/>
          </w:tcPr>
          <w:p>
            <w:pPr>
              <w:ind w:left="20"/>
              <w:spacing w:after="0"/>
              <w:rPr>
                <w:sz w:val="20"/>
                <w:szCs w:val="20"/>
                <w:color w:val="auto"/>
              </w:rPr>
            </w:pPr>
            <w:r>
              <w:rPr>
                <w:rFonts w:ascii="Times New Roman" w:cs="Times New Roman" w:eastAsia="Times New Roman" w:hAnsi="Times New Roman"/>
                <w:sz w:val="14"/>
                <w:szCs w:val="14"/>
                <w:i w:val="1"/>
                <w:iCs w:val="1"/>
                <w:color w:val="auto"/>
                <w:w w:val="91"/>
              </w:rPr>
              <w:t>B. imbricata</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9"/>
        </w:trPr>
        <w:tc>
          <w:tcPr>
            <w:tcW w:w="1420" w:type="dxa"/>
            <w:vAlign w:val="bottom"/>
          </w:tcPr>
          <w:p>
            <w:pPr>
              <w:spacing w:after="0"/>
              <w:rPr>
                <w:sz w:val="4"/>
                <w:szCs w:val="4"/>
                <w:color w:val="auto"/>
              </w:rPr>
            </w:pPr>
          </w:p>
        </w:tc>
        <w:tc>
          <w:tcPr>
            <w:tcW w:w="520" w:type="dxa"/>
            <w:vAlign w:val="bottom"/>
          </w:tcPr>
          <w:p>
            <w:pPr>
              <w:spacing w:after="0"/>
              <w:rPr>
                <w:sz w:val="4"/>
                <w:szCs w:val="4"/>
                <w:color w:val="auto"/>
              </w:rPr>
            </w:pPr>
          </w:p>
        </w:tc>
        <w:tc>
          <w:tcPr>
            <w:tcW w:w="660" w:type="dxa"/>
            <w:vAlign w:val="bottom"/>
            <w:vMerge w:val="continue"/>
          </w:tcPr>
          <w:p>
            <w:pPr>
              <w:spacing w:after="0"/>
              <w:rPr>
                <w:sz w:val="4"/>
                <w:szCs w:val="4"/>
                <w:color w:val="auto"/>
              </w:rPr>
            </w:pPr>
          </w:p>
        </w:tc>
        <w:tc>
          <w:tcPr>
            <w:tcW w:w="520" w:type="dxa"/>
            <w:vAlign w:val="bottom"/>
          </w:tcPr>
          <w:p>
            <w:pPr>
              <w:spacing w:after="0"/>
              <w:rPr>
                <w:sz w:val="4"/>
                <w:szCs w:val="4"/>
                <w:color w:val="auto"/>
              </w:rPr>
            </w:pPr>
          </w:p>
        </w:tc>
        <w:tc>
          <w:tcPr>
            <w:tcW w:w="460" w:type="dxa"/>
            <w:vAlign w:val="bottom"/>
          </w:tcPr>
          <w:p>
            <w:pPr>
              <w:spacing w:after="0"/>
              <w:rPr>
                <w:sz w:val="4"/>
                <w:szCs w:val="4"/>
                <w:color w:val="auto"/>
              </w:rPr>
            </w:pPr>
          </w:p>
        </w:tc>
        <w:tc>
          <w:tcPr>
            <w:tcW w:w="600" w:type="dxa"/>
            <w:vAlign w:val="bottom"/>
          </w:tcPr>
          <w:p>
            <w:pPr>
              <w:spacing w:after="0"/>
              <w:rPr>
                <w:sz w:val="4"/>
                <w:szCs w:val="4"/>
                <w:color w:val="auto"/>
              </w:rPr>
            </w:pPr>
          </w:p>
        </w:tc>
        <w:tc>
          <w:tcPr>
            <w:tcW w:w="820" w:type="dxa"/>
            <w:vAlign w:val="bottom"/>
          </w:tcPr>
          <w:p>
            <w:pPr>
              <w:spacing w:after="0"/>
              <w:rPr>
                <w:sz w:val="4"/>
                <w:szCs w:val="4"/>
                <w:color w:val="auto"/>
              </w:rPr>
            </w:pPr>
          </w:p>
        </w:tc>
        <w:tc>
          <w:tcPr>
            <w:tcW w:w="500" w:type="dxa"/>
            <w:vAlign w:val="bottom"/>
          </w:tcPr>
          <w:p>
            <w:pPr>
              <w:spacing w:after="0"/>
              <w:rPr>
                <w:sz w:val="4"/>
                <w:szCs w:val="4"/>
                <w:color w:val="auto"/>
              </w:rPr>
            </w:pPr>
          </w:p>
        </w:tc>
        <w:tc>
          <w:tcPr>
            <w:tcW w:w="680" w:type="dxa"/>
            <w:vAlign w:val="bottom"/>
            <w:vMerge w:val="continue"/>
          </w:tcPr>
          <w:p>
            <w:pPr>
              <w:spacing w:after="0"/>
              <w:rPr>
                <w:sz w:val="4"/>
                <w:szCs w:val="4"/>
                <w:color w:val="auto"/>
              </w:rPr>
            </w:pPr>
          </w:p>
        </w:tc>
        <w:tc>
          <w:tcPr>
            <w:tcW w:w="480" w:type="dxa"/>
            <w:vAlign w:val="bottom"/>
          </w:tcPr>
          <w:p>
            <w:pPr>
              <w:spacing w:after="0"/>
              <w:rPr>
                <w:sz w:val="4"/>
                <w:szCs w:val="4"/>
                <w:color w:val="auto"/>
              </w:rPr>
            </w:pPr>
          </w:p>
        </w:tc>
        <w:tc>
          <w:tcPr>
            <w:tcW w:w="0" w:type="dxa"/>
            <w:vAlign w:val="bottom"/>
          </w:tcPr>
          <w:p>
            <w:pPr>
              <w:spacing w:after="0"/>
              <w:rPr>
                <w:sz w:val="1"/>
                <w:szCs w:val="1"/>
                <w:color w:val="auto"/>
              </w:rPr>
            </w:pPr>
          </w:p>
        </w:tc>
      </w:tr>
      <w:tr>
        <w:trPr>
          <w:trHeight w:val="242"/>
        </w:trPr>
        <w:tc>
          <w:tcPr>
            <w:tcW w:w="1420" w:type="dxa"/>
            <w:vAlign w:val="bottom"/>
          </w:tcPr>
          <w:p>
            <w:pPr>
              <w:jc w:val="right"/>
              <w:ind w:right="1150"/>
              <w:spacing w:after="0"/>
              <w:rPr>
                <w:sz w:val="20"/>
                <w:szCs w:val="20"/>
                <w:color w:val="auto"/>
              </w:rPr>
            </w:pPr>
            <w:r>
              <w:rPr>
                <w:rFonts w:ascii="Times New Roman" w:cs="Times New Roman" w:eastAsia="Times New Roman" w:hAnsi="Times New Roman"/>
                <w:sz w:val="14"/>
                <w:szCs w:val="14"/>
                <w:color w:val="auto"/>
              </w:rPr>
              <w:t>60</w:t>
            </w:r>
          </w:p>
        </w:tc>
        <w:tc>
          <w:tcPr>
            <w:tcW w:w="520" w:type="dxa"/>
            <w:vAlign w:val="bottom"/>
          </w:tcPr>
          <w:p>
            <w:pPr>
              <w:spacing w:after="0"/>
              <w:rPr>
                <w:sz w:val="21"/>
                <w:szCs w:val="21"/>
                <w:color w:val="auto"/>
              </w:rPr>
            </w:pPr>
          </w:p>
        </w:tc>
        <w:tc>
          <w:tcPr>
            <w:tcW w:w="660" w:type="dxa"/>
            <w:vAlign w:val="bottom"/>
          </w:tcPr>
          <w:p>
            <w:pPr>
              <w:spacing w:after="0"/>
              <w:rPr>
                <w:sz w:val="21"/>
                <w:szCs w:val="21"/>
                <w:color w:val="auto"/>
              </w:rPr>
            </w:pPr>
          </w:p>
        </w:tc>
        <w:tc>
          <w:tcPr>
            <w:tcW w:w="520" w:type="dxa"/>
            <w:vAlign w:val="bottom"/>
          </w:tcPr>
          <w:p>
            <w:pPr>
              <w:spacing w:after="0"/>
              <w:rPr>
                <w:sz w:val="21"/>
                <w:szCs w:val="21"/>
                <w:color w:val="auto"/>
              </w:rPr>
            </w:pPr>
          </w:p>
        </w:tc>
        <w:tc>
          <w:tcPr>
            <w:tcW w:w="460" w:type="dxa"/>
            <w:vAlign w:val="bottom"/>
          </w:tcPr>
          <w:p>
            <w:pPr>
              <w:spacing w:after="0"/>
              <w:rPr>
                <w:sz w:val="21"/>
                <w:szCs w:val="21"/>
                <w:color w:val="auto"/>
              </w:rPr>
            </w:pPr>
          </w:p>
        </w:tc>
        <w:tc>
          <w:tcPr>
            <w:tcW w:w="1420" w:type="dxa"/>
            <w:vAlign w:val="bottom"/>
            <w:gridSpan w:val="2"/>
          </w:tcPr>
          <w:p>
            <w:pPr>
              <w:ind w:left="140"/>
              <w:spacing w:after="0"/>
              <w:rPr>
                <w:sz w:val="20"/>
                <w:szCs w:val="20"/>
                <w:color w:val="auto"/>
              </w:rPr>
            </w:pPr>
            <w:r>
              <w:rPr>
                <w:rFonts w:ascii="Times New Roman" w:cs="Times New Roman" w:eastAsia="Times New Roman" w:hAnsi="Times New Roman"/>
                <w:sz w:val="14"/>
                <w:szCs w:val="14"/>
                <w:i w:val="1"/>
                <w:iCs w:val="1"/>
                <w:color w:val="auto"/>
              </w:rPr>
              <w:t>B. imbricata</w:t>
            </w:r>
          </w:p>
        </w:tc>
        <w:tc>
          <w:tcPr>
            <w:tcW w:w="500" w:type="dxa"/>
            <w:vAlign w:val="bottom"/>
          </w:tcPr>
          <w:p>
            <w:pPr>
              <w:spacing w:after="0"/>
              <w:rPr>
                <w:sz w:val="21"/>
                <w:szCs w:val="21"/>
                <w:color w:val="auto"/>
              </w:rPr>
            </w:pPr>
          </w:p>
        </w:tc>
        <w:tc>
          <w:tcPr>
            <w:tcW w:w="680" w:type="dxa"/>
            <w:vAlign w:val="bottom"/>
          </w:tcPr>
          <w:p>
            <w:pPr>
              <w:spacing w:after="0"/>
              <w:rPr>
                <w:sz w:val="21"/>
                <w:szCs w:val="21"/>
                <w:color w:val="auto"/>
              </w:rPr>
            </w:pPr>
          </w:p>
        </w:tc>
        <w:tc>
          <w:tcPr>
            <w:tcW w:w="480" w:type="dxa"/>
            <w:vAlign w:val="bottom"/>
          </w:tcPr>
          <w:p>
            <w:pPr>
              <w:spacing w:after="0"/>
              <w:rPr>
                <w:sz w:val="21"/>
                <w:szCs w:val="21"/>
                <w:color w:val="auto"/>
              </w:rPr>
            </w:pPr>
          </w:p>
        </w:tc>
        <w:tc>
          <w:tcPr>
            <w:tcW w:w="0" w:type="dxa"/>
            <w:vAlign w:val="bottom"/>
          </w:tcPr>
          <w:p>
            <w:pPr>
              <w:spacing w:after="0"/>
              <w:rPr>
                <w:sz w:val="1"/>
                <w:szCs w:val="1"/>
                <w:color w:val="auto"/>
              </w:rPr>
            </w:pPr>
          </w:p>
        </w:tc>
      </w:tr>
      <w:tr>
        <w:trPr>
          <w:trHeight w:val="435"/>
        </w:trPr>
        <w:tc>
          <w:tcPr>
            <w:tcW w:w="1420" w:type="dxa"/>
            <w:vAlign w:val="bottom"/>
            <w:vMerge w:val="restart"/>
          </w:tcPr>
          <w:p>
            <w:pPr>
              <w:jc w:val="right"/>
              <w:ind w:right="1150"/>
              <w:spacing w:after="0"/>
              <w:rPr>
                <w:sz w:val="20"/>
                <w:szCs w:val="20"/>
                <w:color w:val="auto"/>
              </w:rPr>
            </w:pPr>
            <w:r>
              <w:rPr>
                <w:rFonts w:ascii="Times New Roman" w:cs="Times New Roman" w:eastAsia="Times New Roman" w:hAnsi="Times New Roman"/>
                <w:sz w:val="14"/>
                <w:szCs w:val="14"/>
                <w:color w:val="auto"/>
              </w:rPr>
              <w:t>40</w:t>
            </w:r>
          </w:p>
        </w:tc>
        <w:tc>
          <w:tcPr>
            <w:tcW w:w="52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520" w:type="dxa"/>
            <w:vAlign w:val="bottom"/>
            <w:vMerge w:val="restart"/>
          </w:tcPr>
          <w:p>
            <w:pPr>
              <w:jc w:val="center"/>
              <w:spacing w:after="0"/>
              <w:rPr>
                <w:sz w:val="20"/>
                <w:szCs w:val="20"/>
                <w:color w:val="auto"/>
              </w:rPr>
            </w:pPr>
            <w:r>
              <w:rPr>
                <w:rFonts w:ascii="Times New Roman" w:cs="Times New Roman" w:eastAsia="Times New Roman" w:hAnsi="Times New Roman"/>
                <w:sz w:val="14"/>
                <w:szCs w:val="14"/>
                <w:i w:val="1"/>
                <w:iCs w:val="1"/>
                <w:color w:val="auto"/>
                <w:w w:val="85"/>
              </w:rPr>
              <w:t>S. scalaris</w:t>
            </w:r>
          </w:p>
        </w:tc>
        <w:tc>
          <w:tcPr>
            <w:tcW w:w="46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820" w:type="dxa"/>
            <w:vAlign w:val="bottom"/>
          </w:tcPr>
          <w:p>
            <w:pPr>
              <w:jc w:val="center"/>
              <w:ind w:left="60"/>
              <w:spacing w:after="0"/>
              <w:rPr>
                <w:sz w:val="20"/>
                <w:szCs w:val="20"/>
                <w:color w:val="auto"/>
              </w:rPr>
            </w:pPr>
            <w:r>
              <w:rPr>
                <w:rFonts w:ascii="Times New Roman" w:cs="Times New Roman" w:eastAsia="Times New Roman" w:hAnsi="Times New Roman"/>
                <w:sz w:val="14"/>
                <w:szCs w:val="14"/>
                <w:i w:val="1"/>
                <w:iCs w:val="1"/>
                <w:color w:val="auto"/>
                <w:w w:val="91"/>
              </w:rPr>
              <w:t>S. bicanthalis</w:t>
            </w:r>
          </w:p>
        </w:tc>
        <w:tc>
          <w:tcPr>
            <w:tcW w:w="500" w:type="dxa"/>
            <w:vAlign w:val="bottom"/>
          </w:tcPr>
          <w:p>
            <w:pPr>
              <w:spacing w:after="0"/>
              <w:rPr>
                <w:sz w:val="24"/>
                <w:szCs w:val="24"/>
                <w:color w:val="auto"/>
              </w:rPr>
            </w:pPr>
          </w:p>
        </w:tc>
        <w:tc>
          <w:tcPr>
            <w:tcW w:w="680" w:type="dxa"/>
            <w:vAlign w:val="bottom"/>
          </w:tcPr>
          <w:p>
            <w:pPr>
              <w:spacing w:after="0"/>
              <w:rPr>
                <w:sz w:val="24"/>
                <w:szCs w:val="24"/>
                <w:color w:val="auto"/>
              </w:rPr>
            </w:pPr>
          </w:p>
        </w:tc>
        <w:tc>
          <w:tcPr>
            <w:tcW w:w="480" w:type="dxa"/>
            <w:vAlign w:val="bottom"/>
          </w:tcPr>
          <w:p>
            <w:pPr>
              <w:spacing w:after="0"/>
              <w:rPr>
                <w:sz w:val="20"/>
                <w:szCs w:val="20"/>
                <w:color w:val="auto"/>
              </w:rPr>
            </w:pPr>
            <w:r>
              <w:rPr>
                <w:rFonts w:ascii="Times New Roman" w:cs="Times New Roman" w:eastAsia="Times New Roman" w:hAnsi="Times New Roman"/>
                <w:sz w:val="14"/>
                <w:szCs w:val="14"/>
                <w:i w:val="1"/>
                <w:iCs w:val="1"/>
                <w:color w:val="auto"/>
                <w:w w:val="86"/>
              </w:rPr>
              <w:t>S. aeneus</w:t>
            </w:r>
          </w:p>
        </w:tc>
        <w:tc>
          <w:tcPr>
            <w:tcW w:w="0" w:type="dxa"/>
            <w:vAlign w:val="bottom"/>
          </w:tcPr>
          <w:p>
            <w:pPr>
              <w:spacing w:after="0"/>
              <w:rPr>
                <w:sz w:val="1"/>
                <w:szCs w:val="1"/>
                <w:color w:val="auto"/>
              </w:rPr>
            </w:pPr>
          </w:p>
        </w:tc>
      </w:tr>
      <w:tr>
        <w:trPr>
          <w:trHeight w:val="46"/>
        </w:trPr>
        <w:tc>
          <w:tcPr>
            <w:tcW w:w="1420" w:type="dxa"/>
            <w:vAlign w:val="bottom"/>
            <w:vMerge w:val="continue"/>
          </w:tcPr>
          <w:p>
            <w:pPr>
              <w:spacing w:after="0"/>
              <w:rPr>
                <w:sz w:val="4"/>
                <w:szCs w:val="4"/>
                <w:color w:val="auto"/>
              </w:rPr>
            </w:pPr>
          </w:p>
        </w:tc>
        <w:tc>
          <w:tcPr>
            <w:tcW w:w="520" w:type="dxa"/>
            <w:vAlign w:val="bottom"/>
          </w:tcPr>
          <w:p>
            <w:pPr>
              <w:spacing w:after="0"/>
              <w:rPr>
                <w:sz w:val="4"/>
                <w:szCs w:val="4"/>
                <w:color w:val="auto"/>
              </w:rPr>
            </w:pPr>
          </w:p>
        </w:tc>
        <w:tc>
          <w:tcPr>
            <w:tcW w:w="660" w:type="dxa"/>
            <w:vAlign w:val="bottom"/>
          </w:tcPr>
          <w:p>
            <w:pPr>
              <w:spacing w:after="0"/>
              <w:rPr>
                <w:sz w:val="4"/>
                <w:szCs w:val="4"/>
                <w:color w:val="auto"/>
              </w:rPr>
            </w:pPr>
          </w:p>
        </w:tc>
        <w:tc>
          <w:tcPr>
            <w:tcW w:w="520" w:type="dxa"/>
            <w:vAlign w:val="bottom"/>
            <w:vMerge w:val="continue"/>
          </w:tcPr>
          <w:p>
            <w:pPr>
              <w:spacing w:after="0"/>
              <w:rPr>
                <w:sz w:val="4"/>
                <w:szCs w:val="4"/>
                <w:color w:val="auto"/>
              </w:rPr>
            </w:pPr>
          </w:p>
        </w:tc>
        <w:tc>
          <w:tcPr>
            <w:tcW w:w="460" w:type="dxa"/>
            <w:vAlign w:val="bottom"/>
          </w:tcPr>
          <w:p>
            <w:pPr>
              <w:spacing w:after="0"/>
              <w:rPr>
                <w:sz w:val="4"/>
                <w:szCs w:val="4"/>
                <w:color w:val="auto"/>
              </w:rPr>
            </w:pPr>
          </w:p>
        </w:tc>
        <w:tc>
          <w:tcPr>
            <w:tcW w:w="600" w:type="dxa"/>
            <w:vAlign w:val="bottom"/>
          </w:tcPr>
          <w:p>
            <w:pPr>
              <w:spacing w:after="0"/>
              <w:rPr>
                <w:sz w:val="4"/>
                <w:szCs w:val="4"/>
                <w:color w:val="auto"/>
              </w:rPr>
            </w:pPr>
          </w:p>
        </w:tc>
        <w:tc>
          <w:tcPr>
            <w:tcW w:w="820" w:type="dxa"/>
            <w:vAlign w:val="bottom"/>
          </w:tcPr>
          <w:p>
            <w:pPr>
              <w:spacing w:after="0"/>
              <w:rPr>
                <w:sz w:val="4"/>
                <w:szCs w:val="4"/>
                <w:color w:val="auto"/>
              </w:rPr>
            </w:pPr>
          </w:p>
        </w:tc>
        <w:tc>
          <w:tcPr>
            <w:tcW w:w="500" w:type="dxa"/>
            <w:vAlign w:val="bottom"/>
          </w:tcPr>
          <w:p>
            <w:pPr>
              <w:spacing w:after="0"/>
              <w:rPr>
                <w:sz w:val="4"/>
                <w:szCs w:val="4"/>
                <w:color w:val="auto"/>
              </w:rPr>
            </w:pPr>
          </w:p>
        </w:tc>
        <w:tc>
          <w:tcPr>
            <w:tcW w:w="680" w:type="dxa"/>
            <w:vAlign w:val="bottom"/>
          </w:tcPr>
          <w:p>
            <w:pPr>
              <w:spacing w:after="0"/>
              <w:rPr>
                <w:sz w:val="4"/>
                <w:szCs w:val="4"/>
                <w:color w:val="auto"/>
              </w:rPr>
            </w:pPr>
          </w:p>
        </w:tc>
        <w:tc>
          <w:tcPr>
            <w:tcW w:w="480" w:type="dxa"/>
            <w:vAlign w:val="bottom"/>
          </w:tcPr>
          <w:p>
            <w:pPr>
              <w:spacing w:after="0"/>
              <w:rPr>
                <w:sz w:val="4"/>
                <w:szCs w:val="4"/>
                <w:color w:val="auto"/>
              </w:rPr>
            </w:pPr>
          </w:p>
        </w:tc>
        <w:tc>
          <w:tcPr>
            <w:tcW w:w="0" w:type="dxa"/>
            <w:vAlign w:val="bottom"/>
          </w:tcPr>
          <w:p>
            <w:pPr>
              <w:spacing w:after="0"/>
              <w:rPr>
                <w:sz w:val="1"/>
                <w:szCs w:val="1"/>
                <w:color w:val="auto"/>
              </w:rPr>
            </w:pPr>
          </w:p>
        </w:tc>
      </w:tr>
      <w:tr>
        <w:trPr>
          <w:trHeight w:val="119"/>
        </w:trPr>
        <w:tc>
          <w:tcPr>
            <w:tcW w:w="1420" w:type="dxa"/>
            <w:vAlign w:val="bottom"/>
            <w:vMerge w:val="continue"/>
          </w:tcPr>
          <w:p>
            <w:pPr>
              <w:spacing w:after="0"/>
              <w:rPr>
                <w:sz w:val="10"/>
                <w:szCs w:val="10"/>
                <w:color w:val="auto"/>
              </w:rPr>
            </w:pPr>
          </w:p>
        </w:tc>
        <w:tc>
          <w:tcPr>
            <w:tcW w:w="520" w:type="dxa"/>
            <w:vAlign w:val="bottom"/>
          </w:tcPr>
          <w:p>
            <w:pPr>
              <w:spacing w:after="0"/>
              <w:rPr>
                <w:sz w:val="10"/>
                <w:szCs w:val="10"/>
                <w:color w:val="auto"/>
              </w:rPr>
            </w:pPr>
          </w:p>
        </w:tc>
        <w:tc>
          <w:tcPr>
            <w:tcW w:w="660" w:type="dxa"/>
            <w:vAlign w:val="bottom"/>
          </w:tcPr>
          <w:p>
            <w:pPr>
              <w:spacing w:after="0"/>
              <w:rPr>
                <w:sz w:val="10"/>
                <w:szCs w:val="10"/>
                <w:color w:val="auto"/>
              </w:rPr>
            </w:pPr>
          </w:p>
        </w:tc>
        <w:tc>
          <w:tcPr>
            <w:tcW w:w="520" w:type="dxa"/>
            <w:vAlign w:val="bottom"/>
          </w:tcPr>
          <w:p>
            <w:pPr>
              <w:spacing w:after="0"/>
              <w:rPr>
                <w:sz w:val="10"/>
                <w:szCs w:val="10"/>
                <w:color w:val="auto"/>
              </w:rPr>
            </w:pPr>
          </w:p>
        </w:tc>
        <w:tc>
          <w:tcPr>
            <w:tcW w:w="460" w:type="dxa"/>
            <w:vAlign w:val="bottom"/>
          </w:tcPr>
          <w:p>
            <w:pPr>
              <w:spacing w:after="0"/>
              <w:rPr>
                <w:sz w:val="10"/>
                <w:szCs w:val="10"/>
                <w:color w:val="auto"/>
              </w:rPr>
            </w:pPr>
          </w:p>
        </w:tc>
        <w:tc>
          <w:tcPr>
            <w:tcW w:w="600" w:type="dxa"/>
            <w:vAlign w:val="bottom"/>
          </w:tcPr>
          <w:p>
            <w:pPr>
              <w:spacing w:after="0"/>
              <w:rPr>
                <w:sz w:val="10"/>
                <w:szCs w:val="10"/>
                <w:color w:val="auto"/>
              </w:rPr>
            </w:pPr>
          </w:p>
        </w:tc>
        <w:tc>
          <w:tcPr>
            <w:tcW w:w="820" w:type="dxa"/>
            <w:vAlign w:val="bottom"/>
          </w:tcPr>
          <w:p>
            <w:pPr>
              <w:spacing w:after="0"/>
              <w:rPr>
                <w:sz w:val="10"/>
                <w:szCs w:val="10"/>
                <w:color w:val="auto"/>
              </w:rPr>
            </w:pPr>
          </w:p>
        </w:tc>
        <w:tc>
          <w:tcPr>
            <w:tcW w:w="500" w:type="dxa"/>
            <w:vAlign w:val="bottom"/>
            <w:vMerge w:val="restart"/>
          </w:tcPr>
          <w:p>
            <w:pPr>
              <w:jc w:val="center"/>
              <w:spacing w:after="0"/>
              <w:rPr>
                <w:sz w:val="20"/>
                <w:szCs w:val="20"/>
                <w:color w:val="auto"/>
              </w:rPr>
            </w:pPr>
            <w:r>
              <w:rPr>
                <w:rFonts w:ascii="Times New Roman" w:cs="Times New Roman" w:eastAsia="Times New Roman" w:hAnsi="Times New Roman"/>
                <w:sz w:val="14"/>
                <w:szCs w:val="14"/>
                <w:i w:val="1"/>
                <w:iCs w:val="1"/>
                <w:color w:val="auto"/>
                <w:w w:val="86"/>
              </w:rPr>
              <w:t>S. aeneus</w:t>
            </w:r>
          </w:p>
        </w:tc>
        <w:tc>
          <w:tcPr>
            <w:tcW w:w="680" w:type="dxa"/>
            <w:vAlign w:val="bottom"/>
          </w:tcPr>
          <w:p>
            <w:pPr>
              <w:spacing w:after="0"/>
              <w:rPr>
                <w:sz w:val="10"/>
                <w:szCs w:val="10"/>
                <w:color w:val="auto"/>
              </w:rPr>
            </w:pPr>
          </w:p>
        </w:tc>
        <w:tc>
          <w:tcPr>
            <w:tcW w:w="480" w:type="dxa"/>
            <w:vAlign w:val="bottom"/>
          </w:tcPr>
          <w:p>
            <w:pPr>
              <w:spacing w:after="0"/>
              <w:rPr>
                <w:sz w:val="10"/>
                <w:szCs w:val="10"/>
                <w:color w:val="auto"/>
              </w:rPr>
            </w:pPr>
          </w:p>
        </w:tc>
        <w:tc>
          <w:tcPr>
            <w:tcW w:w="0" w:type="dxa"/>
            <w:vAlign w:val="bottom"/>
          </w:tcPr>
          <w:p>
            <w:pPr>
              <w:spacing w:after="0"/>
              <w:rPr>
                <w:sz w:val="1"/>
                <w:szCs w:val="1"/>
                <w:color w:val="auto"/>
              </w:rPr>
            </w:pPr>
          </w:p>
        </w:tc>
      </w:tr>
      <w:tr>
        <w:trPr>
          <w:trHeight w:val="66"/>
        </w:trPr>
        <w:tc>
          <w:tcPr>
            <w:tcW w:w="1420" w:type="dxa"/>
            <w:vAlign w:val="bottom"/>
          </w:tcPr>
          <w:p>
            <w:pPr>
              <w:spacing w:after="0"/>
              <w:rPr>
                <w:sz w:val="5"/>
                <w:szCs w:val="5"/>
                <w:color w:val="auto"/>
              </w:rPr>
            </w:pPr>
          </w:p>
        </w:tc>
        <w:tc>
          <w:tcPr>
            <w:tcW w:w="520" w:type="dxa"/>
            <w:vAlign w:val="bottom"/>
          </w:tcPr>
          <w:p>
            <w:pPr>
              <w:spacing w:after="0"/>
              <w:rPr>
                <w:sz w:val="5"/>
                <w:szCs w:val="5"/>
                <w:color w:val="auto"/>
              </w:rPr>
            </w:pPr>
          </w:p>
        </w:tc>
        <w:tc>
          <w:tcPr>
            <w:tcW w:w="660" w:type="dxa"/>
            <w:vAlign w:val="bottom"/>
          </w:tcPr>
          <w:p>
            <w:pPr>
              <w:spacing w:after="0"/>
              <w:rPr>
                <w:sz w:val="5"/>
                <w:szCs w:val="5"/>
                <w:color w:val="auto"/>
              </w:rPr>
            </w:pPr>
          </w:p>
        </w:tc>
        <w:tc>
          <w:tcPr>
            <w:tcW w:w="520" w:type="dxa"/>
            <w:vAlign w:val="bottom"/>
          </w:tcPr>
          <w:p>
            <w:pPr>
              <w:spacing w:after="0"/>
              <w:rPr>
                <w:sz w:val="5"/>
                <w:szCs w:val="5"/>
                <w:color w:val="auto"/>
              </w:rPr>
            </w:pPr>
          </w:p>
        </w:tc>
        <w:tc>
          <w:tcPr>
            <w:tcW w:w="460" w:type="dxa"/>
            <w:vAlign w:val="bottom"/>
          </w:tcPr>
          <w:p>
            <w:pPr>
              <w:spacing w:after="0"/>
              <w:rPr>
                <w:sz w:val="5"/>
                <w:szCs w:val="5"/>
                <w:color w:val="auto"/>
              </w:rPr>
            </w:pPr>
          </w:p>
        </w:tc>
        <w:tc>
          <w:tcPr>
            <w:tcW w:w="600" w:type="dxa"/>
            <w:vAlign w:val="bottom"/>
          </w:tcPr>
          <w:p>
            <w:pPr>
              <w:spacing w:after="0"/>
              <w:rPr>
                <w:sz w:val="5"/>
                <w:szCs w:val="5"/>
                <w:color w:val="auto"/>
              </w:rPr>
            </w:pPr>
          </w:p>
        </w:tc>
        <w:tc>
          <w:tcPr>
            <w:tcW w:w="820" w:type="dxa"/>
            <w:vAlign w:val="bottom"/>
          </w:tcPr>
          <w:p>
            <w:pPr>
              <w:spacing w:after="0"/>
              <w:rPr>
                <w:sz w:val="5"/>
                <w:szCs w:val="5"/>
                <w:color w:val="auto"/>
              </w:rPr>
            </w:pPr>
          </w:p>
        </w:tc>
        <w:tc>
          <w:tcPr>
            <w:tcW w:w="500" w:type="dxa"/>
            <w:vAlign w:val="bottom"/>
            <w:vMerge w:val="continue"/>
          </w:tcPr>
          <w:p>
            <w:pPr>
              <w:spacing w:after="0"/>
              <w:rPr>
                <w:sz w:val="5"/>
                <w:szCs w:val="5"/>
                <w:color w:val="auto"/>
              </w:rPr>
            </w:pPr>
          </w:p>
        </w:tc>
        <w:tc>
          <w:tcPr>
            <w:tcW w:w="680" w:type="dxa"/>
            <w:vAlign w:val="bottom"/>
          </w:tcPr>
          <w:p>
            <w:pPr>
              <w:spacing w:after="0"/>
              <w:rPr>
                <w:sz w:val="5"/>
                <w:szCs w:val="5"/>
                <w:color w:val="auto"/>
              </w:rPr>
            </w:pPr>
          </w:p>
        </w:tc>
        <w:tc>
          <w:tcPr>
            <w:tcW w:w="480" w:type="dxa"/>
            <w:vAlign w:val="bottom"/>
          </w:tcPr>
          <w:p>
            <w:pPr>
              <w:spacing w:after="0"/>
              <w:rPr>
                <w:sz w:val="5"/>
                <w:szCs w:val="5"/>
                <w:color w:val="auto"/>
              </w:rPr>
            </w:pPr>
          </w:p>
        </w:tc>
        <w:tc>
          <w:tcPr>
            <w:tcW w:w="0" w:type="dxa"/>
            <w:vAlign w:val="bottom"/>
          </w:tcPr>
          <w:p>
            <w:pPr>
              <w:spacing w:after="0"/>
              <w:rPr>
                <w:sz w:val="1"/>
                <w:szCs w:val="1"/>
                <w:color w:val="auto"/>
              </w:rPr>
            </w:pPr>
          </w:p>
        </w:tc>
      </w:tr>
      <w:tr>
        <w:trPr>
          <w:trHeight w:val="534"/>
        </w:trPr>
        <w:tc>
          <w:tcPr>
            <w:tcW w:w="1420" w:type="dxa"/>
            <w:vAlign w:val="bottom"/>
          </w:tcPr>
          <w:p>
            <w:pPr>
              <w:jc w:val="right"/>
              <w:ind w:right="1150"/>
              <w:spacing w:after="0"/>
              <w:rPr>
                <w:sz w:val="20"/>
                <w:szCs w:val="20"/>
                <w:color w:val="auto"/>
              </w:rPr>
            </w:pPr>
            <w:r>
              <w:rPr>
                <w:rFonts w:ascii="Times New Roman" w:cs="Times New Roman" w:eastAsia="Times New Roman" w:hAnsi="Times New Roman"/>
                <w:sz w:val="14"/>
                <w:szCs w:val="14"/>
                <w:color w:val="auto"/>
              </w:rPr>
              <w:t>20</w:t>
            </w:r>
          </w:p>
        </w:tc>
        <w:tc>
          <w:tcPr>
            <w:tcW w:w="52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46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820" w:type="dxa"/>
            <w:vAlign w:val="bottom"/>
          </w:tcPr>
          <w:p>
            <w:pPr>
              <w:spacing w:after="0"/>
              <w:rPr>
                <w:sz w:val="24"/>
                <w:szCs w:val="24"/>
                <w:color w:val="auto"/>
              </w:rPr>
            </w:pPr>
          </w:p>
        </w:tc>
        <w:tc>
          <w:tcPr>
            <w:tcW w:w="500" w:type="dxa"/>
            <w:vAlign w:val="bottom"/>
          </w:tcPr>
          <w:p>
            <w:pPr>
              <w:spacing w:after="0"/>
              <w:rPr>
                <w:sz w:val="24"/>
                <w:szCs w:val="24"/>
                <w:color w:val="auto"/>
              </w:rPr>
            </w:pPr>
          </w:p>
        </w:tc>
        <w:tc>
          <w:tcPr>
            <w:tcW w:w="680" w:type="dxa"/>
            <w:vAlign w:val="bottom"/>
          </w:tcPr>
          <w:p>
            <w:pPr>
              <w:spacing w:after="0"/>
              <w:rPr>
                <w:sz w:val="24"/>
                <w:szCs w:val="24"/>
                <w:color w:val="auto"/>
              </w:rPr>
            </w:pP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620"/>
        </w:trPr>
        <w:tc>
          <w:tcPr>
            <w:tcW w:w="1420" w:type="dxa"/>
            <w:vAlign w:val="bottom"/>
          </w:tcPr>
          <w:p>
            <w:pPr>
              <w:jc w:val="right"/>
              <w:ind w:right="1150"/>
              <w:spacing w:after="0"/>
              <w:rPr>
                <w:sz w:val="20"/>
                <w:szCs w:val="20"/>
                <w:color w:val="auto"/>
              </w:rPr>
            </w:pPr>
            <w:r>
              <w:rPr>
                <w:rFonts w:ascii="Times New Roman" w:cs="Times New Roman" w:eastAsia="Times New Roman" w:hAnsi="Times New Roman"/>
                <w:sz w:val="14"/>
                <w:szCs w:val="14"/>
                <w:color w:val="auto"/>
              </w:rPr>
              <w:t>0</w:t>
            </w:r>
          </w:p>
        </w:tc>
        <w:tc>
          <w:tcPr>
            <w:tcW w:w="520" w:type="dxa"/>
            <w:vAlign w:val="bottom"/>
          </w:tcPr>
          <w:p>
            <w:pPr>
              <w:spacing w:after="0"/>
              <w:rPr>
                <w:sz w:val="24"/>
                <w:szCs w:val="24"/>
                <w:color w:val="auto"/>
              </w:rPr>
            </w:pPr>
          </w:p>
        </w:tc>
        <w:tc>
          <w:tcPr>
            <w:tcW w:w="66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46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820" w:type="dxa"/>
            <w:vAlign w:val="bottom"/>
          </w:tcPr>
          <w:p>
            <w:pPr>
              <w:spacing w:after="0"/>
              <w:rPr>
                <w:sz w:val="24"/>
                <w:szCs w:val="24"/>
                <w:color w:val="auto"/>
              </w:rPr>
            </w:pPr>
          </w:p>
        </w:tc>
        <w:tc>
          <w:tcPr>
            <w:tcW w:w="500" w:type="dxa"/>
            <w:vAlign w:val="bottom"/>
          </w:tcPr>
          <w:p>
            <w:pPr>
              <w:spacing w:after="0"/>
              <w:rPr>
                <w:sz w:val="24"/>
                <w:szCs w:val="24"/>
                <w:color w:val="auto"/>
              </w:rPr>
            </w:pPr>
          </w:p>
        </w:tc>
        <w:tc>
          <w:tcPr>
            <w:tcW w:w="680" w:type="dxa"/>
            <w:vAlign w:val="bottom"/>
          </w:tcPr>
          <w:p>
            <w:pPr>
              <w:spacing w:after="0"/>
              <w:rPr>
                <w:sz w:val="24"/>
                <w:szCs w:val="24"/>
                <w:color w:val="auto"/>
              </w:rPr>
            </w:pP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288"/>
        </w:trPr>
        <w:tc>
          <w:tcPr>
            <w:tcW w:w="1420" w:type="dxa"/>
            <w:vAlign w:val="bottom"/>
            <w:textDirection w:val="btLr"/>
          </w:tcPr>
          <w:p>
            <w:pPr>
              <w:ind w:right="294"/>
              <w:spacing w:after="0"/>
              <w:rPr>
                <w:sz w:val="20"/>
                <w:szCs w:val="20"/>
                <w:color w:val="auto"/>
              </w:rPr>
            </w:pPr>
            <w:r>
              <w:rPr>
                <w:rFonts w:ascii="Times New Roman" w:cs="Times New Roman" w:eastAsia="Times New Roman" w:hAnsi="Times New Roman"/>
                <w:sz w:val="14"/>
                <w:szCs w:val="14"/>
                <w:color w:val="auto"/>
                <w:w w:val="93"/>
              </w:rPr>
              <w:t>Árboles y rocas</w:t>
            </w:r>
          </w:p>
        </w:tc>
        <w:tc>
          <w:tcPr>
            <w:tcW w:w="520" w:type="dxa"/>
            <w:vAlign w:val="bottom"/>
            <w:textDirection w:val="btLr"/>
          </w:tcPr>
          <w:p>
            <w:pPr>
              <w:ind w:left="155"/>
              <w:spacing w:after="0"/>
              <w:rPr>
                <w:sz w:val="20"/>
                <w:szCs w:val="20"/>
                <w:color w:val="auto"/>
              </w:rPr>
            </w:pPr>
            <w:r>
              <w:rPr>
                <w:rFonts w:ascii="Times New Roman" w:cs="Times New Roman" w:eastAsia="Times New Roman" w:hAnsi="Times New Roman"/>
                <w:sz w:val="14"/>
                <w:szCs w:val="14"/>
                <w:color w:val="auto"/>
                <w:w w:val="94"/>
              </w:rPr>
              <w:t>Suelo abierto</w:t>
            </w:r>
          </w:p>
        </w:tc>
        <w:tc>
          <w:tcPr>
            <w:tcW w:w="660" w:type="dxa"/>
            <w:vAlign w:val="bottom"/>
            <w:textDirection w:val="btLr"/>
          </w:tcPr>
          <w:p>
            <w:pPr>
              <w:spacing w:after="0"/>
              <w:rPr>
                <w:sz w:val="20"/>
                <w:szCs w:val="20"/>
                <w:color w:val="auto"/>
              </w:rPr>
            </w:pPr>
            <w:r>
              <w:rPr>
                <w:rFonts w:ascii="Times New Roman" w:cs="Times New Roman" w:eastAsia="Times New Roman" w:hAnsi="Times New Roman"/>
                <w:sz w:val="14"/>
                <w:szCs w:val="14"/>
                <w:color w:val="auto"/>
                <w:w w:val="94"/>
              </w:rPr>
              <w:t>Suelo con pastizal</w:t>
            </w:r>
          </w:p>
        </w:tc>
        <w:tc>
          <w:tcPr>
            <w:tcW w:w="520" w:type="dxa"/>
            <w:vAlign w:val="bottom"/>
            <w:textDirection w:val="btLr"/>
          </w:tcPr>
          <w:p>
            <w:pPr>
              <w:spacing w:after="0"/>
              <w:rPr>
                <w:sz w:val="20"/>
                <w:szCs w:val="20"/>
                <w:color w:val="auto"/>
              </w:rPr>
            </w:pPr>
            <w:r>
              <w:rPr>
                <w:rFonts w:ascii="Times New Roman" w:cs="Times New Roman" w:eastAsia="Times New Roman" w:hAnsi="Times New Roman"/>
                <w:sz w:val="14"/>
                <w:szCs w:val="14"/>
                <w:color w:val="auto"/>
                <w:w w:val="94"/>
              </w:rPr>
              <w:t>Suelo con pastizal</w:t>
            </w:r>
          </w:p>
        </w:tc>
        <w:tc>
          <w:tcPr>
            <w:tcW w:w="460" w:type="dxa"/>
            <w:vAlign w:val="bottom"/>
            <w:textDirection w:val="btLr"/>
          </w:tcPr>
          <w:p>
            <w:pPr>
              <w:ind w:left="215"/>
              <w:spacing w:after="0"/>
              <w:rPr>
                <w:sz w:val="20"/>
                <w:szCs w:val="20"/>
                <w:color w:val="auto"/>
              </w:rPr>
            </w:pPr>
            <w:r>
              <w:rPr>
                <w:rFonts w:ascii="Times New Roman" w:cs="Times New Roman" w:eastAsia="Times New Roman" w:hAnsi="Times New Roman"/>
                <w:sz w:val="14"/>
                <w:szCs w:val="14"/>
                <w:color w:val="auto"/>
                <w:w w:val="94"/>
              </w:rPr>
              <w:t>Suelo con pastizal</w:t>
            </w:r>
          </w:p>
        </w:tc>
        <w:tc>
          <w:tcPr>
            <w:tcW w:w="600" w:type="dxa"/>
            <w:vAlign w:val="bottom"/>
            <w:textDirection w:val="btLr"/>
          </w:tcPr>
          <w:p>
            <w:pPr>
              <w:ind w:left="355"/>
              <w:spacing w:after="0"/>
              <w:rPr>
                <w:sz w:val="20"/>
                <w:szCs w:val="20"/>
                <w:color w:val="auto"/>
              </w:rPr>
            </w:pPr>
            <w:r>
              <w:rPr>
                <w:rFonts w:ascii="Times New Roman" w:cs="Times New Roman" w:eastAsia="Times New Roman" w:hAnsi="Times New Roman"/>
                <w:sz w:val="14"/>
                <w:szCs w:val="14"/>
                <w:color w:val="auto"/>
                <w:w w:val="94"/>
              </w:rPr>
              <w:t>Suelo con pastizal</w:t>
            </w:r>
          </w:p>
        </w:tc>
        <w:tc>
          <w:tcPr>
            <w:tcW w:w="820" w:type="dxa"/>
            <w:vAlign w:val="bottom"/>
            <w:textDirection w:val="btLr"/>
          </w:tcPr>
          <w:p>
            <w:pPr>
              <w:ind w:left="316"/>
              <w:spacing w:after="0"/>
              <w:rPr>
                <w:sz w:val="20"/>
                <w:szCs w:val="20"/>
                <w:color w:val="auto"/>
              </w:rPr>
            </w:pPr>
            <w:r>
              <w:rPr>
                <w:rFonts w:ascii="Times New Roman" w:cs="Times New Roman" w:eastAsia="Times New Roman" w:hAnsi="Times New Roman"/>
                <w:sz w:val="10"/>
                <w:szCs w:val="10"/>
                <w:color w:val="auto"/>
                <w:w w:val="71"/>
              </w:rPr>
              <w:t>Suelo con pastizalmedianamentealto</w:t>
            </w:r>
          </w:p>
        </w:tc>
        <w:tc>
          <w:tcPr>
            <w:tcW w:w="500" w:type="dxa"/>
            <w:vAlign w:val="bottom"/>
            <w:textDirection w:val="btLr"/>
          </w:tcPr>
          <w:p>
            <w:pPr>
              <w:ind w:left="196"/>
              <w:spacing w:after="0"/>
              <w:rPr>
                <w:sz w:val="20"/>
                <w:szCs w:val="20"/>
                <w:color w:val="auto"/>
              </w:rPr>
            </w:pPr>
            <w:r>
              <w:rPr>
                <w:rFonts w:ascii="Times New Roman" w:cs="Times New Roman" w:eastAsia="Times New Roman" w:hAnsi="Times New Roman"/>
                <w:sz w:val="10"/>
                <w:szCs w:val="10"/>
                <w:color w:val="auto"/>
                <w:w w:val="71"/>
              </w:rPr>
              <w:t>Suelo con pastizalmedianamentealto</w:t>
            </w:r>
          </w:p>
        </w:tc>
        <w:tc>
          <w:tcPr>
            <w:tcW w:w="680" w:type="dxa"/>
            <w:vAlign w:val="bottom"/>
            <w:textDirection w:val="btLr"/>
          </w:tcPr>
          <w:p>
            <w:pPr>
              <w:ind w:left="375"/>
              <w:spacing w:after="0"/>
              <w:rPr>
                <w:sz w:val="20"/>
                <w:szCs w:val="20"/>
                <w:color w:val="auto"/>
              </w:rPr>
            </w:pPr>
            <w:r>
              <w:rPr>
                <w:rFonts w:ascii="Times New Roman" w:cs="Times New Roman" w:eastAsia="Times New Roman" w:hAnsi="Times New Roman"/>
                <w:sz w:val="14"/>
                <w:szCs w:val="14"/>
                <w:color w:val="auto"/>
                <w:w w:val="94"/>
              </w:rPr>
              <w:t>Suelo con pastizal alto</w:t>
            </w:r>
          </w:p>
        </w:tc>
        <w:tc>
          <w:tcPr>
            <w:tcW w:w="480" w:type="dxa"/>
            <w:vAlign w:val="bottom"/>
            <w:textDirection w:val="btLr"/>
          </w:tcPr>
          <w:p>
            <w:pPr>
              <w:ind w:left="215"/>
              <w:spacing w:after="0"/>
              <w:rPr>
                <w:sz w:val="20"/>
                <w:szCs w:val="20"/>
                <w:color w:val="auto"/>
              </w:rPr>
            </w:pPr>
            <w:r>
              <w:rPr>
                <w:rFonts w:ascii="Times New Roman" w:cs="Times New Roman" w:eastAsia="Times New Roman" w:hAnsi="Times New Roman"/>
                <w:sz w:val="14"/>
                <w:szCs w:val="14"/>
                <w:color w:val="auto"/>
                <w:w w:val="94"/>
              </w:rPr>
              <w:t>Suelo con pastizal alto</w:t>
            </w:r>
          </w:p>
        </w:tc>
        <w:tc>
          <w:tcPr>
            <w:tcW w:w="0" w:type="dxa"/>
            <w:vAlign w:val="bottom"/>
          </w:tcPr>
          <w:p>
            <w:pPr>
              <w:spacing w:after="0"/>
              <w:rPr>
                <w:sz w:val="1"/>
                <w:szCs w:val="1"/>
                <w:color w:val="auto"/>
              </w:rPr>
            </w:pPr>
          </w:p>
        </w:tc>
      </w:tr>
      <w:p>
        <w:pPr>
          <w:sectPr>
            <w:pgSz w:w="9360" w:h="13039" w:orient="portrait"/>
            <w:cols w:equalWidth="0" w:num="2">
              <w:col w:w="138" w:space="155"/>
              <w:col w:w="6660"/>
            </w:cols>
            <w:pgMar w:left="1187" w:top="906" w:right="1220" w:bottom="437" w:gutter="0" w:footer="0" w:header="0"/>
            <w:type w:val="continuous"/>
          </w:sectPr>
        </w:pPr>
      </w:p>
    </w:tbl>
    <w:p>
      <w:pPr>
        <w:spacing w:after="0" w:line="297" w:lineRule="exact"/>
        <w:rPr>
          <w:sz w:val="20"/>
          <w:szCs w:val="20"/>
          <w:color w:val="auto"/>
        </w:rPr>
      </w:pPr>
    </w:p>
    <w:p>
      <w:pPr>
        <w:spacing w:after="0" w:line="311" w:lineRule="auto"/>
        <w:rPr>
          <w:sz w:val="20"/>
          <w:szCs w:val="20"/>
          <w:color w:val="auto"/>
        </w:rPr>
      </w:pPr>
      <w:r>
        <w:rPr>
          <w:rFonts w:ascii="Times New Roman" w:cs="Times New Roman" w:eastAsia="Times New Roman" w:hAnsi="Times New Roman"/>
          <w:sz w:val="16"/>
          <w:szCs w:val="16"/>
          <w:color w:val="auto"/>
        </w:rPr>
        <w:t>Anova que muestra las diferencias en la velocidad de escape según el tipo de hábitat de cada una de las especies analizadas. (Fuente: Suárez, 2010).</w:t>
      </w:r>
    </w:p>
    <w:p>
      <w:pPr>
        <w:sectPr>
          <w:pgSz w:w="9360" w:h="13039" w:orient="portrait"/>
          <w:cols w:equalWidth="0" w:num="1">
            <w:col w:w="7200"/>
          </w:cols>
          <w:pgMar w:left="1080" w:top="906" w:right="1080" w:bottom="437" w:gutter="0" w:footer="0" w:header="0"/>
          <w:type w:val="continuous"/>
        </w:sectPr>
      </w:pPr>
    </w:p>
    <w:p>
      <w:pPr>
        <w:spacing w:after="0" w:line="200" w:lineRule="exact"/>
        <w:rPr>
          <w:sz w:val="20"/>
          <w:szCs w:val="20"/>
          <w:color w:val="auto"/>
        </w:rPr>
      </w:pPr>
    </w:p>
    <w:p>
      <w:pPr>
        <w:spacing w:after="0" w:line="371"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43" name="Shape 14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43" o:spid="_x0000_s116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44" name="Shape 14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44" o:spid="_x0000_s116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45" name="Shape 14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45" o:spid="_x0000_s117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67" w:name="page68"/>
    <w:bookmarkEnd w:id="67"/>
    <w:p>
      <w:pPr>
        <w:ind w:left="1080"/>
        <w:spacing w:after="0"/>
        <w:tabs>
          <w:tab w:leader="dot" w:pos="7020" w:val="left"/>
        </w:tabs>
        <w:rPr>
          <w:sz w:val="20"/>
          <w:szCs w:val="20"/>
          <w:color w:val="auto"/>
        </w:rPr>
      </w:pPr>
      <w:r>
        <w:rPr>
          <w:rFonts w:ascii="Arial Narrow" w:cs="Arial Narrow" w:eastAsia="Arial Narrow" w:hAnsi="Arial Narrow"/>
          <w:sz w:val="11"/>
          <w:szCs w:val="11"/>
          <w:color w:val="auto"/>
        </w:rPr>
        <w:t>morfología corporal y comparación de la velocidad de escape en algunas especies</w:t>
      </w:r>
      <w:r>
        <w:rPr>
          <w:sz w:val="20"/>
          <w:szCs w:val="20"/>
          <w:color w:val="auto"/>
        </w:rPr>
        <w:tab/>
      </w:r>
      <w:r>
        <w:rPr>
          <w:rFonts w:ascii="Arial Narrow" w:cs="Arial Narrow" w:eastAsia="Arial Narrow" w:hAnsi="Arial Narrow"/>
          <w:sz w:val="16"/>
          <w:szCs w:val="16"/>
          <w:color w:val="auto"/>
        </w:rPr>
        <w:t>67</w:t>
      </w:r>
    </w:p>
    <w:p>
      <w:pPr>
        <w:spacing w:after="0" w:line="200" w:lineRule="exact"/>
        <w:rPr>
          <w:sz w:val="20"/>
          <w:szCs w:val="20"/>
          <w:color w:val="auto"/>
        </w:rPr>
      </w:pPr>
    </w:p>
    <w:p>
      <w:pPr>
        <w:spacing w:after="0" w:line="349"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Relación entre morfometría y velocidad</w:t>
      </w:r>
    </w:p>
    <w:p>
      <w:pPr>
        <w:spacing w:after="0" w:line="347" w:lineRule="exact"/>
        <w:rPr>
          <w:sz w:val="20"/>
          <w:szCs w:val="20"/>
          <w:color w:val="auto"/>
        </w:rPr>
      </w:pPr>
    </w:p>
    <w:p>
      <w:pPr>
        <w:jc w:val="both"/>
        <w:spacing w:after="0" w:line="289" w:lineRule="auto"/>
        <w:rPr>
          <w:sz w:val="20"/>
          <w:szCs w:val="20"/>
          <w:color w:val="auto"/>
        </w:rPr>
      </w:pPr>
      <w:r>
        <w:rPr>
          <w:rFonts w:ascii="Times New Roman" w:cs="Times New Roman" w:eastAsia="Times New Roman" w:hAnsi="Times New Roman"/>
          <w:sz w:val="22"/>
          <w:szCs w:val="22"/>
          <w:color w:val="auto"/>
        </w:rPr>
        <w:t>Finalmente, del afd se obtuvo la FD1, que causó mayor distinción morfológica entre las especies. Se efectuó un análisis de regresión lineal de la morfología contra la velocidad de escape, en el cual se encontró una relación significativa entre la morfometría de las extremidades (FD1) y la velocidad (</w:t>
      </w:r>
      <w:r>
        <w:rPr>
          <w:rFonts w:ascii="Times New Roman" w:cs="Times New Roman" w:eastAsia="Times New Roman" w:hAnsi="Times New Roman"/>
          <w:sz w:val="22"/>
          <w:szCs w:val="22"/>
          <w:i w:val="1"/>
          <w:iCs w:val="1"/>
          <w:color w:val="auto"/>
        </w:rPr>
        <w:t>r</w:t>
      </w:r>
      <w:r>
        <w:rPr>
          <w:rFonts w:ascii="Times New Roman" w:cs="Times New Roman" w:eastAsia="Times New Roman" w:hAnsi="Times New Roman"/>
          <w:sz w:val="22"/>
          <w:szCs w:val="22"/>
          <w:color w:val="auto"/>
        </w:rPr>
        <w:t xml:space="preserve"> = 0.4742, </w:t>
      </w:r>
      <w:r>
        <w:rPr>
          <w:rFonts w:ascii="Times New Roman" w:cs="Times New Roman" w:eastAsia="Times New Roman" w:hAnsi="Times New Roman"/>
          <w:sz w:val="22"/>
          <w:szCs w:val="22"/>
          <w:i w:val="1"/>
          <w:iCs w:val="1"/>
          <w:color w:val="auto"/>
        </w:rPr>
        <w:t>gl</w:t>
      </w:r>
      <w:r>
        <w:rPr>
          <w:rFonts w:ascii="Times New Roman" w:cs="Times New Roman" w:eastAsia="Times New Roman" w:hAnsi="Times New Roman"/>
          <w:sz w:val="22"/>
          <w:szCs w:val="22"/>
          <w:color w:val="auto"/>
        </w:rPr>
        <w:t xml:space="preserve"> = 1, </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2"/>
          <w:szCs w:val="22"/>
          <w:color w:val="auto"/>
        </w:rPr>
        <w:t xml:space="preserve"> = 0.000), lo que indica que la variación de la longitud de las extremidades causa diferentes velocidades (figura 8).</w:t>
      </w:r>
    </w:p>
    <w:p>
      <w:pPr>
        <w:spacing w:after="0" w:line="169" w:lineRule="exact"/>
        <w:rPr>
          <w:sz w:val="20"/>
          <w:szCs w:val="20"/>
          <w:color w:val="auto"/>
        </w:rPr>
      </w:pPr>
    </w:p>
    <w:p>
      <w:pPr>
        <w:ind w:left="3320"/>
        <w:spacing w:after="0"/>
        <w:rPr>
          <w:sz w:val="20"/>
          <w:szCs w:val="20"/>
          <w:color w:val="auto"/>
        </w:rPr>
      </w:pPr>
      <w:r>
        <w:rPr>
          <w:rFonts w:ascii="Times New Roman" w:cs="Times New Roman" w:eastAsia="Times New Roman" w:hAnsi="Times New Roman"/>
          <w:sz w:val="18"/>
          <w:szCs w:val="18"/>
          <w:i w:val="1"/>
          <w:iCs w:val="1"/>
          <w:color w:val="auto"/>
        </w:rPr>
        <w:t>Figura 8</w:t>
      </w:r>
    </w:p>
    <w:p>
      <w:pPr>
        <w:ind w:left="3320"/>
        <w:spacing w:after="0"/>
        <w:rPr>
          <w:sz w:val="20"/>
          <w:szCs w:val="20"/>
          <w:color w:val="auto"/>
        </w:rPr>
        <w:sectPr>
          <w:pgSz w:w="9360" w:h="13039" w:orient="portrait"/>
          <w:cols w:equalWidth="0" w:num="1">
            <w:col w:w="7200"/>
          </w:cols>
          <w:pgMar w:left="1080" w:top="905" w:right="1080" w:bottom="437" w:gutter="0" w:footer="0" w:header="0"/>
        </w:sect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113665</wp:posOffset>
            </wp:positionV>
            <wp:extent cx="4573270" cy="2586355"/>
            <wp:wrapNone/>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42">
                      <a:extLst>
                        <a:ext uri="{28A0092B-C50C-407E-A947-70E740481C1C}"/>
                      </a:extLst>
                    </a:blip>
                    <a:srcRect/>
                    <a:stretch>
                      <a:fillRect/>
                    </a:stretch>
                  </pic:blipFill>
                  <pic:spPr bwMode="auto">
                    <a:xfrm>
                      <a:off x="0" y="0"/>
                      <a:ext cx="4573270" cy="258635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8" w:lineRule="exact"/>
        <w:rPr>
          <w:sz w:val="20"/>
          <w:szCs w:val="20"/>
          <w:color w:val="auto"/>
        </w:rPr>
      </w:pPr>
    </w:p>
    <w:tbl>
      <w:tblPr>
        <w:tblLayout w:type="fixed"/>
        <w:tblInd w:w="0" w:type="dxa"/>
        <w:tblCellMar>
          <w:top w:w="0" w:type="dxa"/>
          <w:left w:w="0" w:type="dxa"/>
          <w:bottom w:w="0" w:type="dxa"/>
          <w:right w:w="0" w:type="dxa"/>
        </w:tblCellMar>
      </w:tblPr>
      <w:tr>
        <w:trPr>
          <w:trHeight w:val="1440"/>
          <w:jc w:val="center"/>
        </w:trPr>
        <w:tc>
          <w:tcPr>
            <w:tcW w:w="138" w:type="dxa"/>
            <w:vAlign w:val="bottom"/>
            <w:textDirection w:val="btLr"/>
          </w:tcPr>
          <w:p>
            <w:pPr>
              <w:spacing w:after="0"/>
              <w:rPr>
                <w:sz w:val="20"/>
                <w:szCs w:val="20"/>
                <w:color w:val="auto"/>
              </w:rPr>
            </w:pPr>
            <w:r>
              <w:rPr>
                <w:rFonts w:ascii="Times New Roman" w:cs="Times New Roman" w:eastAsia="Times New Roman" w:hAnsi="Times New Roman"/>
                <w:sz w:val="12"/>
                <w:szCs w:val="12"/>
                <w:color w:val="auto"/>
              </w:rPr>
              <w:t xml:space="preserve">Velocidad de escape cm s </w:t>
            </w:r>
            <w:r>
              <w:rPr>
                <w:rFonts w:ascii="Times New Roman" w:cs="Times New Roman" w:eastAsia="Times New Roman" w:hAnsi="Times New Roman"/>
                <w:sz w:val="7"/>
                <w:szCs w:val="7"/>
                <w:color w:val="auto"/>
              </w:rPr>
              <w:t>-1</w:t>
            </w:r>
          </w:p>
        </w:tc>
      </w:tr>
    </w:tbl>
    <w:p>
      <w:pPr>
        <w:spacing w:after="0" w:line="314" w:lineRule="exact"/>
        <w:rPr>
          <w:sz w:val="20"/>
          <w:szCs w:val="20"/>
          <w:color w:val="auto"/>
        </w:rPr>
      </w:pPr>
      <w:r>
        <w:rPr>
          <w:sz w:val="20"/>
          <w:szCs w:val="20"/>
          <w:color w:val="auto"/>
        </w:rPr>
        <w:br w:type="column"/>
      </w:r>
    </w:p>
    <w:p>
      <w:pPr>
        <w:spacing w:after="0"/>
        <w:rPr>
          <w:sz w:val="20"/>
          <w:szCs w:val="20"/>
          <w:color w:val="auto"/>
        </w:rPr>
      </w:pPr>
      <w:r>
        <w:rPr>
          <w:rFonts w:ascii="Times New Roman" w:cs="Times New Roman" w:eastAsia="Times New Roman" w:hAnsi="Times New Roman"/>
          <w:sz w:val="14"/>
          <w:szCs w:val="14"/>
          <w:color w:val="auto"/>
        </w:rPr>
        <w:t>100</w:t>
      </w:r>
    </w:p>
    <w:p>
      <w:pPr>
        <w:spacing w:after="0" w:line="200" w:lineRule="exact"/>
        <w:rPr>
          <w:sz w:val="20"/>
          <w:szCs w:val="20"/>
          <w:color w:val="auto"/>
        </w:rPr>
      </w:pPr>
    </w:p>
    <w:p>
      <w:pPr>
        <w:spacing w:after="0" w:line="259" w:lineRule="exact"/>
        <w:rPr>
          <w:sz w:val="20"/>
          <w:szCs w:val="20"/>
          <w:color w:val="auto"/>
        </w:rPr>
      </w:pPr>
    </w:p>
    <w:p>
      <w:pPr>
        <w:jc w:val="right"/>
        <w:ind w:right="6480"/>
        <w:spacing w:after="0"/>
        <w:rPr>
          <w:sz w:val="20"/>
          <w:szCs w:val="20"/>
          <w:color w:val="auto"/>
        </w:rPr>
      </w:pPr>
      <w:r>
        <w:rPr>
          <w:rFonts w:ascii="Times New Roman" w:cs="Times New Roman" w:eastAsia="Times New Roman" w:hAnsi="Times New Roman"/>
          <w:sz w:val="14"/>
          <w:szCs w:val="14"/>
          <w:color w:val="auto"/>
        </w:rPr>
        <w:t>80</w:t>
      </w:r>
    </w:p>
    <w:p>
      <w:pPr>
        <w:spacing w:after="0" w:line="200" w:lineRule="exact"/>
        <w:rPr>
          <w:sz w:val="20"/>
          <w:szCs w:val="20"/>
          <w:color w:val="auto"/>
        </w:rPr>
      </w:pPr>
    </w:p>
    <w:p>
      <w:pPr>
        <w:spacing w:after="0" w:line="239" w:lineRule="exact"/>
        <w:rPr>
          <w:sz w:val="20"/>
          <w:szCs w:val="20"/>
          <w:color w:val="auto"/>
        </w:rPr>
      </w:pPr>
    </w:p>
    <w:p>
      <w:pPr>
        <w:jc w:val="right"/>
        <w:ind w:right="6480"/>
        <w:spacing w:after="0"/>
        <w:rPr>
          <w:sz w:val="20"/>
          <w:szCs w:val="20"/>
          <w:color w:val="auto"/>
        </w:rPr>
      </w:pPr>
      <w:r>
        <w:rPr>
          <w:rFonts w:ascii="Times New Roman" w:cs="Times New Roman" w:eastAsia="Times New Roman" w:hAnsi="Times New Roman"/>
          <w:sz w:val="14"/>
          <w:szCs w:val="14"/>
          <w:color w:val="auto"/>
        </w:rPr>
        <w:t>60</w:t>
      </w:r>
    </w:p>
    <w:p>
      <w:pPr>
        <w:spacing w:after="0" w:line="200" w:lineRule="exact"/>
        <w:rPr>
          <w:sz w:val="20"/>
          <w:szCs w:val="20"/>
          <w:color w:val="auto"/>
        </w:rPr>
      </w:pPr>
    </w:p>
    <w:p>
      <w:pPr>
        <w:spacing w:after="0" w:line="239" w:lineRule="exact"/>
        <w:rPr>
          <w:sz w:val="20"/>
          <w:szCs w:val="20"/>
          <w:color w:val="auto"/>
        </w:rPr>
      </w:pPr>
    </w:p>
    <w:p>
      <w:pPr>
        <w:jc w:val="right"/>
        <w:ind w:right="6480"/>
        <w:spacing w:after="0"/>
        <w:rPr>
          <w:sz w:val="20"/>
          <w:szCs w:val="20"/>
          <w:color w:val="auto"/>
        </w:rPr>
      </w:pPr>
      <w:r>
        <w:rPr>
          <w:rFonts w:ascii="Times New Roman" w:cs="Times New Roman" w:eastAsia="Times New Roman" w:hAnsi="Times New Roman"/>
          <w:sz w:val="14"/>
          <w:szCs w:val="14"/>
          <w:color w:val="auto"/>
        </w:rPr>
        <w:t>40</w:t>
      </w:r>
    </w:p>
    <w:p>
      <w:pPr>
        <w:spacing w:after="0" w:line="200" w:lineRule="exact"/>
        <w:rPr>
          <w:sz w:val="20"/>
          <w:szCs w:val="20"/>
          <w:color w:val="auto"/>
        </w:rPr>
      </w:pPr>
    </w:p>
    <w:p>
      <w:pPr>
        <w:spacing w:after="0" w:line="239" w:lineRule="exact"/>
        <w:rPr>
          <w:sz w:val="20"/>
          <w:szCs w:val="20"/>
          <w:color w:val="auto"/>
        </w:rPr>
      </w:pPr>
    </w:p>
    <w:p>
      <w:pPr>
        <w:jc w:val="right"/>
        <w:ind w:right="6480"/>
        <w:spacing w:after="0"/>
        <w:rPr>
          <w:sz w:val="20"/>
          <w:szCs w:val="20"/>
          <w:color w:val="auto"/>
        </w:rPr>
      </w:pPr>
      <w:r>
        <w:rPr>
          <w:rFonts w:ascii="Times New Roman" w:cs="Times New Roman" w:eastAsia="Times New Roman" w:hAnsi="Times New Roman"/>
          <w:sz w:val="14"/>
          <w:szCs w:val="14"/>
          <w:color w:val="auto"/>
        </w:rPr>
        <w:t>20</w:t>
      </w:r>
    </w:p>
    <w:p>
      <w:pPr>
        <w:spacing w:after="0" w:line="200" w:lineRule="exact"/>
        <w:rPr>
          <w:sz w:val="20"/>
          <w:szCs w:val="20"/>
          <w:color w:val="auto"/>
        </w:rPr>
      </w:pPr>
    </w:p>
    <w:p>
      <w:pPr>
        <w:spacing w:after="0" w:line="219" w:lineRule="exact"/>
        <w:rPr>
          <w:sz w:val="20"/>
          <w:szCs w:val="20"/>
          <w:color w:val="auto"/>
        </w:rPr>
      </w:pPr>
    </w:p>
    <w:p>
      <w:pPr>
        <w:jc w:val="right"/>
        <w:ind w:right="6480"/>
        <w:spacing w:after="0"/>
        <w:rPr>
          <w:sz w:val="20"/>
          <w:szCs w:val="20"/>
          <w:color w:val="auto"/>
        </w:rPr>
      </w:pPr>
      <w:r>
        <w:rPr>
          <w:rFonts w:ascii="Times New Roman" w:cs="Times New Roman" w:eastAsia="Times New Roman" w:hAnsi="Times New Roman"/>
          <w:sz w:val="14"/>
          <w:szCs w:val="14"/>
          <w:color w:val="auto"/>
        </w:rPr>
        <w:t>0</w:t>
      </w:r>
    </w:p>
    <w:p>
      <w:pPr>
        <w:spacing w:after="0" w:line="68" w:lineRule="exact"/>
        <w:rPr>
          <w:sz w:val="20"/>
          <w:szCs w:val="20"/>
          <w:color w:val="auto"/>
        </w:rPr>
      </w:pPr>
    </w:p>
    <w:tbl>
      <w:tblPr>
        <w:tblLayout w:type="fixed"/>
        <w:tblInd w:w="380" w:type="dxa"/>
        <w:tblCellMar>
          <w:top w:w="0" w:type="dxa"/>
          <w:left w:w="0" w:type="dxa"/>
          <w:bottom w:w="0" w:type="dxa"/>
          <w:right w:w="0" w:type="dxa"/>
        </w:tblCellMar>
      </w:tblPr>
      <w:tr>
        <w:trPr>
          <w:trHeight w:val="176"/>
        </w:trPr>
        <w:tc>
          <w:tcPr>
            <w:tcW w:w="640" w:type="dxa"/>
            <w:vAlign w:val="bottom"/>
          </w:tcPr>
          <w:p>
            <w:pPr>
              <w:jc w:val="right"/>
              <w:ind w:right="350"/>
              <w:spacing w:after="0"/>
              <w:rPr>
                <w:sz w:val="20"/>
                <w:szCs w:val="20"/>
                <w:color w:val="auto"/>
              </w:rPr>
            </w:pPr>
            <w:r>
              <w:rPr>
                <w:rFonts w:ascii="Times New Roman" w:cs="Times New Roman" w:eastAsia="Times New Roman" w:hAnsi="Times New Roman"/>
                <w:sz w:val="14"/>
                <w:szCs w:val="14"/>
                <w:color w:val="auto"/>
                <w:w w:val="90"/>
              </w:rPr>
              <w:t>-2.7</w:t>
            </w:r>
          </w:p>
        </w:tc>
        <w:tc>
          <w:tcPr>
            <w:tcW w:w="1640" w:type="dxa"/>
            <w:vAlign w:val="bottom"/>
          </w:tcPr>
          <w:p>
            <w:pPr>
              <w:jc w:val="right"/>
              <w:ind w:right="750"/>
              <w:spacing w:after="0"/>
              <w:rPr>
                <w:sz w:val="20"/>
                <w:szCs w:val="20"/>
                <w:color w:val="auto"/>
              </w:rPr>
            </w:pPr>
            <w:r>
              <w:rPr>
                <w:rFonts w:ascii="Times New Roman" w:cs="Times New Roman" w:eastAsia="Times New Roman" w:hAnsi="Times New Roman"/>
                <w:sz w:val="14"/>
                <w:szCs w:val="14"/>
                <w:color w:val="auto"/>
              </w:rPr>
              <w:t>-0.7</w:t>
            </w:r>
          </w:p>
        </w:tc>
        <w:tc>
          <w:tcPr>
            <w:tcW w:w="540" w:type="dxa"/>
            <w:vAlign w:val="bottom"/>
          </w:tcPr>
          <w:p>
            <w:pPr>
              <w:jc w:val="right"/>
              <w:ind w:right="110"/>
              <w:spacing w:after="0"/>
              <w:rPr>
                <w:sz w:val="20"/>
                <w:szCs w:val="20"/>
                <w:color w:val="auto"/>
              </w:rPr>
            </w:pPr>
            <w:r>
              <w:rPr>
                <w:rFonts w:ascii="Times New Roman" w:cs="Times New Roman" w:eastAsia="Times New Roman" w:hAnsi="Times New Roman"/>
                <w:sz w:val="14"/>
                <w:szCs w:val="14"/>
                <w:color w:val="auto"/>
              </w:rPr>
              <w:t>1.3</w:t>
            </w:r>
          </w:p>
        </w:tc>
        <w:tc>
          <w:tcPr>
            <w:tcW w:w="1180" w:type="dxa"/>
            <w:vAlign w:val="bottom"/>
          </w:tcPr>
          <w:p>
            <w:pPr>
              <w:jc w:val="right"/>
              <w:ind w:right="35"/>
              <w:spacing w:after="0"/>
              <w:rPr>
                <w:sz w:val="20"/>
                <w:szCs w:val="20"/>
                <w:color w:val="auto"/>
              </w:rPr>
            </w:pPr>
            <w:r>
              <w:rPr>
                <w:rFonts w:ascii="Times New Roman" w:cs="Times New Roman" w:eastAsia="Times New Roman" w:hAnsi="Times New Roman"/>
                <w:sz w:val="14"/>
                <w:szCs w:val="14"/>
                <w:color w:val="auto"/>
              </w:rPr>
              <w:t>3.3</w:t>
            </w:r>
          </w:p>
        </w:tc>
        <w:tc>
          <w:tcPr>
            <w:tcW w:w="1660" w:type="dxa"/>
            <w:vAlign w:val="bottom"/>
          </w:tcPr>
          <w:p>
            <w:pPr>
              <w:jc w:val="right"/>
              <w:ind w:right="530"/>
              <w:spacing w:after="0"/>
              <w:rPr>
                <w:sz w:val="20"/>
                <w:szCs w:val="20"/>
                <w:color w:val="auto"/>
              </w:rPr>
            </w:pPr>
            <w:r>
              <w:rPr>
                <w:rFonts w:ascii="Times New Roman" w:cs="Times New Roman" w:eastAsia="Times New Roman" w:hAnsi="Times New Roman"/>
                <w:sz w:val="14"/>
                <w:szCs w:val="14"/>
                <w:color w:val="auto"/>
              </w:rPr>
              <w:t>5.3</w:t>
            </w:r>
          </w:p>
        </w:tc>
        <w:tc>
          <w:tcPr>
            <w:tcW w:w="660" w:type="dxa"/>
            <w:vAlign w:val="bottom"/>
          </w:tcPr>
          <w:p>
            <w:pPr>
              <w:jc w:val="right"/>
              <w:spacing w:after="0"/>
              <w:rPr>
                <w:sz w:val="20"/>
                <w:szCs w:val="20"/>
                <w:color w:val="auto"/>
              </w:rPr>
            </w:pPr>
            <w:r>
              <w:rPr>
                <w:rFonts w:ascii="Times New Roman" w:cs="Times New Roman" w:eastAsia="Times New Roman" w:hAnsi="Times New Roman"/>
                <w:sz w:val="14"/>
                <w:szCs w:val="14"/>
                <w:color w:val="auto"/>
              </w:rPr>
              <w:t>7.3</w:t>
            </w:r>
          </w:p>
        </w:tc>
        <w:tc>
          <w:tcPr>
            <w:tcW w:w="0" w:type="dxa"/>
            <w:vAlign w:val="bottom"/>
          </w:tcPr>
          <w:p>
            <w:pPr>
              <w:spacing w:after="0"/>
              <w:rPr>
                <w:sz w:val="1"/>
                <w:szCs w:val="1"/>
                <w:color w:val="auto"/>
              </w:rPr>
            </w:pPr>
          </w:p>
        </w:tc>
      </w:tr>
      <w:tr>
        <w:trPr>
          <w:trHeight w:val="299"/>
        </w:trPr>
        <w:tc>
          <w:tcPr>
            <w:tcW w:w="640" w:type="dxa"/>
            <w:vAlign w:val="bottom"/>
          </w:tcPr>
          <w:p>
            <w:pPr>
              <w:spacing w:after="0"/>
              <w:rPr>
                <w:sz w:val="24"/>
                <w:szCs w:val="24"/>
                <w:color w:val="auto"/>
              </w:rPr>
            </w:pPr>
          </w:p>
        </w:tc>
        <w:tc>
          <w:tcPr>
            <w:tcW w:w="1640" w:type="dxa"/>
            <w:vAlign w:val="bottom"/>
          </w:tcPr>
          <w:p>
            <w:pPr>
              <w:jc w:val="right"/>
              <w:ind w:right="110"/>
              <w:spacing w:after="0"/>
              <w:rPr>
                <w:sz w:val="20"/>
                <w:szCs w:val="20"/>
                <w:color w:val="auto"/>
              </w:rPr>
            </w:pPr>
            <w:r>
              <w:rPr>
                <w:rFonts w:ascii="Times New Roman" w:cs="Times New Roman" w:eastAsia="Times New Roman" w:hAnsi="Times New Roman"/>
                <w:sz w:val="14"/>
                <w:szCs w:val="14"/>
                <w:color w:val="auto"/>
              </w:rPr>
              <w:t>Longitud de la tibia</w:t>
            </w:r>
          </w:p>
        </w:tc>
        <w:tc>
          <w:tcPr>
            <w:tcW w:w="540" w:type="dxa"/>
            <w:vAlign w:val="bottom"/>
          </w:tcPr>
          <w:p>
            <w:pPr>
              <w:spacing w:after="0"/>
              <w:rPr>
                <w:sz w:val="24"/>
                <w:szCs w:val="24"/>
                <w:color w:val="auto"/>
              </w:rPr>
            </w:pPr>
          </w:p>
        </w:tc>
        <w:tc>
          <w:tcPr>
            <w:tcW w:w="1180" w:type="dxa"/>
            <w:vAlign w:val="bottom"/>
            <w:vMerge w:val="restart"/>
          </w:tcPr>
          <w:p>
            <w:pPr>
              <w:jc w:val="right"/>
              <w:ind w:right="575"/>
              <w:spacing w:after="0"/>
              <w:rPr>
                <w:sz w:val="20"/>
                <w:szCs w:val="20"/>
                <w:color w:val="auto"/>
              </w:rPr>
            </w:pPr>
            <w:r>
              <w:rPr>
                <w:rFonts w:ascii="Times New Roman" w:cs="Times New Roman" w:eastAsia="Times New Roman" w:hAnsi="Times New Roman"/>
                <w:sz w:val="20"/>
                <w:szCs w:val="20"/>
                <w:color w:val="auto"/>
              </w:rPr>
              <w:t>FD1</w:t>
            </w:r>
          </w:p>
        </w:tc>
        <w:tc>
          <w:tcPr>
            <w:tcW w:w="1660" w:type="dxa"/>
            <w:vAlign w:val="bottom"/>
          </w:tcPr>
          <w:p>
            <w:pPr>
              <w:jc w:val="right"/>
              <w:ind w:right="410"/>
              <w:spacing w:after="0"/>
              <w:rPr>
                <w:sz w:val="20"/>
                <w:szCs w:val="20"/>
                <w:color w:val="auto"/>
              </w:rPr>
            </w:pPr>
            <w:r>
              <w:rPr>
                <w:rFonts w:ascii="Times New Roman" w:cs="Times New Roman" w:eastAsia="Times New Roman" w:hAnsi="Times New Roman"/>
                <w:sz w:val="14"/>
                <w:szCs w:val="14"/>
                <w:color w:val="auto"/>
              </w:rPr>
              <w:t>Longitud del fémur</w:t>
            </w:r>
          </w:p>
        </w:tc>
        <w:tc>
          <w:tcPr>
            <w:tcW w:w="6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62"/>
        </w:trPr>
        <w:tc>
          <w:tcPr>
            <w:tcW w:w="640" w:type="dxa"/>
            <w:vAlign w:val="bottom"/>
          </w:tcPr>
          <w:p>
            <w:pPr>
              <w:spacing w:after="0"/>
              <w:rPr>
                <w:sz w:val="14"/>
                <w:szCs w:val="14"/>
                <w:color w:val="auto"/>
              </w:rPr>
            </w:pPr>
          </w:p>
        </w:tc>
        <w:tc>
          <w:tcPr>
            <w:tcW w:w="1640" w:type="dxa"/>
            <w:vAlign w:val="bottom"/>
          </w:tcPr>
          <w:p>
            <w:pPr>
              <w:spacing w:after="0"/>
              <w:rPr>
                <w:sz w:val="14"/>
                <w:szCs w:val="14"/>
                <w:color w:val="auto"/>
              </w:rPr>
            </w:pPr>
          </w:p>
        </w:tc>
        <w:tc>
          <w:tcPr>
            <w:tcW w:w="540" w:type="dxa"/>
            <w:vAlign w:val="bottom"/>
          </w:tcPr>
          <w:p>
            <w:pPr>
              <w:spacing w:after="0"/>
              <w:rPr>
                <w:sz w:val="14"/>
                <w:szCs w:val="14"/>
                <w:color w:val="auto"/>
              </w:rPr>
            </w:pPr>
          </w:p>
        </w:tc>
        <w:tc>
          <w:tcPr>
            <w:tcW w:w="1180" w:type="dxa"/>
            <w:vAlign w:val="bottom"/>
            <w:vMerge w:val="continue"/>
          </w:tcPr>
          <w:p>
            <w:pPr>
              <w:spacing w:after="0"/>
              <w:rPr>
                <w:sz w:val="14"/>
                <w:szCs w:val="14"/>
                <w:color w:val="auto"/>
              </w:rPr>
            </w:pPr>
          </w:p>
        </w:tc>
        <w:tc>
          <w:tcPr>
            <w:tcW w:w="1660" w:type="dxa"/>
            <w:vAlign w:val="bottom"/>
          </w:tcPr>
          <w:p>
            <w:pPr>
              <w:spacing w:after="0"/>
              <w:rPr>
                <w:sz w:val="14"/>
                <w:szCs w:val="14"/>
                <w:color w:val="auto"/>
              </w:rPr>
            </w:pPr>
          </w:p>
        </w:tc>
        <w:tc>
          <w:tcPr>
            <w:tcW w:w="660" w:type="dxa"/>
            <w:vAlign w:val="bottom"/>
          </w:tcPr>
          <w:p>
            <w:pPr>
              <w:spacing w:after="0"/>
              <w:rPr>
                <w:sz w:val="14"/>
                <w:szCs w:val="14"/>
                <w:color w:val="auto"/>
              </w:rPr>
            </w:pPr>
          </w:p>
        </w:tc>
        <w:tc>
          <w:tcPr>
            <w:tcW w:w="0" w:type="dxa"/>
            <w:vAlign w:val="bottom"/>
          </w:tcPr>
          <w:p>
            <w:pPr>
              <w:spacing w:after="0"/>
              <w:rPr>
                <w:sz w:val="1"/>
                <w:szCs w:val="1"/>
                <w:color w:val="auto"/>
              </w:rPr>
            </w:pPr>
          </w:p>
        </w:tc>
      </w:tr>
      <w:p>
        <w:pPr>
          <w:sectPr>
            <w:pgSz w:w="9360" w:h="13039" w:orient="portrait"/>
            <w:cols w:equalWidth="0" w:num="2">
              <w:col w:w="138" w:space="145"/>
              <w:col w:w="6700"/>
            </w:cols>
            <w:pgMar w:left="1157" w:top="905" w:right="1220" w:bottom="437" w:gutter="0" w:footer="0" w:header="0"/>
            <w:type w:val="continuous"/>
          </w:sectPr>
        </w:pPr>
      </w:p>
    </w:tbl>
    <w:p>
      <w:pPr>
        <w:spacing w:after="0" w:line="205" w:lineRule="exact"/>
        <w:rPr>
          <w:sz w:val="20"/>
          <w:szCs w:val="20"/>
          <w:color w:val="auto"/>
        </w:rPr>
      </w:pPr>
    </w:p>
    <w:p>
      <w:pPr>
        <w:spacing w:after="0" w:line="311" w:lineRule="auto"/>
        <w:rPr>
          <w:sz w:val="20"/>
          <w:szCs w:val="20"/>
          <w:color w:val="auto"/>
        </w:rPr>
      </w:pPr>
      <w:r>
        <w:rPr>
          <w:rFonts w:ascii="Times New Roman" w:cs="Times New Roman" w:eastAsia="Times New Roman" w:hAnsi="Times New Roman"/>
          <w:sz w:val="16"/>
          <w:szCs w:val="16"/>
          <w:color w:val="auto"/>
        </w:rPr>
        <w:t>Relación entre la morfometría de las extremidades de las siete especies estudiadas y la velocidad de escape (Fuente: Suárez, 2010).</w:t>
      </w:r>
    </w:p>
    <w:p>
      <w:pPr>
        <w:spacing w:after="0" w:line="362"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Discusión</w:t>
      </w:r>
    </w:p>
    <w:p>
      <w:pPr>
        <w:spacing w:after="0" w:line="38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Variables morfométricas y morfometría</w:t>
      </w:r>
    </w:p>
    <w:p>
      <w:pPr>
        <w:spacing w:after="0" w:line="387" w:lineRule="exact"/>
        <w:rPr>
          <w:sz w:val="20"/>
          <w:szCs w:val="20"/>
          <w:color w:val="auto"/>
        </w:rPr>
      </w:pPr>
    </w:p>
    <w:p>
      <w:pPr>
        <w:spacing w:after="0" w:line="327" w:lineRule="auto"/>
        <w:rPr>
          <w:sz w:val="20"/>
          <w:szCs w:val="20"/>
          <w:color w:val="auto"/>
        </w:rPr>
      </w:pPr>
      <w:r>
        <w:rPr>
          <w:rFonts w:ascii="Times New Roman" w:cs="Times New Roman" w:eastAsia="Times New Roman" w:hAnsi="Times New Roman"/>
          <w:sz w:val="22"/>
          <w:szCs w:val="22"/>
          <w:color w:val="auto"/>
        </w:rPr>
        <w:t xml:space="preserve">Las especies del presente estudio mostraron diferencias significativas respecto a la forma del cuerpo: cilíndrica, como </w:t>
      </w:r>
      <w:r>
        <w:rPr>
          <w:rFonts w:ascii="Times New Roman" w:cs="Times New Roman" w:eastAsia="Times New Roman" w:hAnsi="Times New Roman"/>
          <w:sz w:val="22"/>
          <w:szCs w:val="22"/>
          <w:i w:val="1"/>
          <w:iCs w:val="1"/>
          <w:color w:val="auto"/>
        </w:rPr>
        <w:t>A. costata</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B. imbricata,</w:t>
      </w:r>
      <w:r>
        <w:rPr>
          <w:rFonts w:ascii="Times New Roman" w:cs="Times New Roman" w:eastAsia="Times New Roman" w:hAnsi="Times New Roman"/>
          <w:sz w:val="22"/>
          <w:szCs w:val="22"/>
          <w:color w:val="auto"/>
        </w:rPr>
        <w:t xml:space="preserve"> y robusta, como</w:t>
      </w:r>
    </w:p>
    <w:p>
      <w:pPr>
        <w:sectPr>
          <w:pgSz w:w="9360" w:h="13039" w:orient="portrait"/>
          <w:cols w:equalWidth="0" w:num="1">
            <w:col w:w="7200"/>
          </w:cols>
          <w:pgMar w:left="1080" w:top="905" w:right="1080" w:bottom="437" w:gutter="0" w:footer="0" w:header="0"/>
          <w:type w:val="continuous"/>
        </w:sectPr>
      </w:pPr>
    </w:p>
    <w:p>
      <w:pPr>
        <w:spacing w:after="0" w:line="200" w:lineRule="exact"/>
        <w:rPr>
          <w:sz w:val="20"/>
          <w:szCs w:val="20"/>
          <w:color w:val="auto"/>
        </w:rPr>
      </w:pPr>
    </w:p>
    <w:p>
      <w:pPr>
        <w:spacing w:after="0" w:line="307"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68" w:name="page69"/>
    <w:bookmarkEnd w:id="68"/>
    <w:p>
      <w:pPr>
        <w:spacing w:after="0"/>
        <w:tabs>
          <w:tab w:leader="none" w:pos="1960" w:val="left"/>
          <w:tab w:leader="none" w:pos="3100" w:val="left"/>
          <w:tab w:leader="none" w:pos="4260" w:val="left"/>
        </w:tabs>
        <w:rPr>
          <w:sz w:val="20"/>
          <w:szCs w:val="20"/>
          <w:color w:val="auto"/>
        </w:rPr>
      </w:pPr>
      <w:r>
        <w:rPr>
          <w:rFonts w:ascii="Arial Narrow" w:cs="Arial Narrow" w:eastAsia="Arial Narrow" w:hAnsi="Arial Narrow"/>
          <w:sz w:val="16"/>
          <w:szCs w:val="16"/>
          <w:color w:val="auto"/>
        </w:rPr>
        <w:t>68</w:t>
      </w:r>
      <w:r>
        <w:rPr>
          <w:sz w:val="20"/>
          <w:szCs w:val="20"/>
          <w:color w:val="auto"/>
        </w:rPr>
        <w:tab/>
      </w: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1945640</wp:posOffset>
                </wp:positionH>
                <wp:positionV relativeFrom="paragraph">
                  <wp:posOffset>-76835</wp:posOffset>
                </wp:positionV>
                <wp:extent cx="0" cy="88900"/>
                <wp:wrapNone/>
                <wp:docPr id="147" name="Shape 14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47" o:spid="_x0000_s117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3.2pt,-6.0499pt" to="153.2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2689225</wp:posOffset>
                </wp:positionH>
                <wp:positionV relativeFrom="paragraph">
                  <wp:posOffset>-76835</wp:posOffset>
                </wp:positionV>
                <wp:extent cx="0" cy="88900"/>
                <wp:wrapNone/>
                <wp:docPr id="148" name="Shape 14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48" o:spid="_x0000_s117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1.75pt,-6.0499pt" to="211.75pt,0.95pt" o:allowincell="f" strokecolor="#000000" strokeweight="0.4pt"/>
            </w:pict>
          </mc:Fallback>
        </mc:AlternateContent>
      </w:r>
    </w:p>
    <w:p>
      <w:pPr>
        <w:spacing w:after="0" w:line="34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i w:val="1"/>
          <w:iCs w:val="1"/>
          <w:color w:val="auto"/>
        </w:rPr>
        <w:t xml:space="preserve">S. grammicus, S. bicanthalis, S. aeneus, S. scalaris </w:t>
      </w:r>
      <w:r>
        <w:rPr>
          <w:rFonts w:ascii="Times New Roman" w:cs="Times New Roman" w:eastAsia="Times New Roman" w:hAnsi="Times New Roman"/>
          <w:sz w:val="22"/>
          <w:szCs w:val="22"/>
          <w:color w:val="auto"/>
        </w:rPr>
        <w:t>y</w:t>
      </w:r>
      <w:r>
        <w:rPr>
          <w:rFonts w:ascii="Times New Roman" w:cs="Times New Roman" w:eastAsia="Times New Roman" w:hAnsi="Times New Roman"/>
          <w:sz w:val="22"/>
          <w:szCs w:val="22"/>
          <w:i w:val="1"/>
          <w:iCs w:val="1"/>
          <w:color w:val="auto"/>
        </w:rPr>
        <w:t xml:space="preserve"> P. orbiculare </w:t>
      </w:r>
      <w:r>
        <w:rPr>
          <w:rFonts w:ascii="Times New Roman" w:cs="Times New Roman" w:eastAsia="Times New Roman" w:hAnsi="Times New Roman"/>
          <w:sz w:val="22"/>
          <w:szCs w:val="22"/>
          <w:color w:val="auto"/>
        </w:rPr>
        <w:t>(Benabib</w:t>
      </w:r>
      <w:r>
        <w:rPr>
          <w:rFonts w:ascii="Times New Roman" w:cs="Times New Roman" w:eastAsia="Times New Roman" w:hAnsi="Times New Roman"/>
          <w:sz w:val="22"/>
          <w:szCs w:val="22"/>
          <w:i w:val="1"/>
          <w:iCs w:val="1"/>
          <w:color w:val="auto"/>
        </w:rPr>
        <w:t xml:space="preserve"> et al</w:t>
      </w:r>
      <w:r>
        <w:rPr>
          <w:rFonts w:ascii="Times New Roman" w:cs="Times New Roman" w:eastAsia="Times New Roman" w:hAnsi="Times New Roman"/>
          <w:sz w:val="22"/>
          <w:szCs w:val="22"/>
          <w:color w:val="auto"/>
        </w:rPr>
        <w:t>., 1997)</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además de una variación morfológica de la longitud de las extremidades. El análisis de funciones discriminantes reveló que las extremidades posteriores (la longitud del fémur y la tibia) fueron las variables que causaron mayor discriminación entre las especies. Esta característica de presentar las extremidades posteriores más largas es importante para que las especies tengan un buen desempeño al correr (Schall y Pianka, 1980).</w:t>
      </w:r>
    </w:p>
    <w:p>
      <w:pPr>
        <w:spacing w:after="0" w:line="4"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Este estudio también evidenció que los resultados obtenidos correspondían con los de estudios anteriores, como el de Bonine y Garland (1999), además de que se consiguieron en el orden hipotético. Como se observó, los individuos que tienen extremidades más largas en relación con el cuerpo presentan velocidades mayores, como </w:t>
      </w:r>
      <w:r>
        <w:rPr>
          <w:rFonts w:ascii="Times New Roman" w:cs="Times New Roman" w:eastAsia="Times New Roman" w:hAnsi="Times New Roman"/>
          <w:sz w:val="22"/>
          <w:szCs w:val="22"/>
          <w:i w:val="1"/>
          <w:iCs w:val="1"/>
          <w:color w:val="auto"/>
        </w:rPr>
        <w:t>A. costata</w:t>
      </w:r>
      <w:r>
        <w:rPr>
          <w:rFonts w:ascii="Times New Roman" w:cs="Times New Roman" w:eastAsia="Times New Roman" w:hAnsi="Times New Roman"/>
          <w:sz w:val="22"/>
          <w:szCs w:val="22"/>
          <w:color w:val="auto"/>
        </w:rPr>
        <w:t xml:space="preserve">, que las especies que presentan extremidades cortas, como </w:t>
      </w:r>
      <w:r>
        <w:rPr>
          <w:rFonts w:ascii="Times New Roman" w:cs="Times New Roman" w:eastAsia="Times New Roman" w:hAnsi="Times New Roman"/>
          <w:sz w:val="22"/>
          <w:szCs w:val="22"/>
          <w:i w:val="1"/>
          <w:iCs w:val="1"/>
          <w:color w:val="auto"/>
        </w:rPr>
        <w:t>S. bicanthalis, S. aeneus, S. scalaris</w:t>
      </w:r>
      <w:r>
        <w:rPr>
          <w:rFonts w:ascii="Times New Roman" w:cs="Times New Roman" w:eastAsia="Times New Roman" w:hAnsi="Times New Roman"/>
          <w:sz w:val="22"/>
          <w:szCs w:val="22"/>
          <w:color w:val="auto"/>
        </w:rPr>
        <w:t>, lo cual implica que la variación en la morfología de</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las extremidades entre las diferentes especies influye en la velocidad de los lacertilios (Bonine y Garland, 1999).</w:t>
      </w:r>
    </w:p>
    <w:p>
      <w:pPr>
        <w:spacing w:after="0" w:line="5"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El presente estudio coincide con los trabajos publicados sobre comparaciones interespecíficas en lacertilios. Losos (1990), Miles (1994) y Bauwens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(1995) encontraron una relación positiva entre la longitud de las extremidades y la velocidad, pues obtuvieron velocidades más rápidas las especies con extremidades posteriores más largas. Garland y Janis (1993) sugieren que estas relaciones están bien establecidas para los lacertilios entre los diferentes linajes filogenéticos. Cabe destacar que ninguno de estos análisis se realizó en especies mexicanas; por lo tanto, la presente investigación da una perspectiva de estas especies en cuanto a su velocidad de escape.</w:t>
      </w:r>
    </w:p>
    <w:p>
      <w:pPr>
        <w:spacing w:after="0" w:line="6" w:lineRule="exact"/>
        <w:rPr>
          <w:sz w:val="20"/>
          <w:szCs w:val="20"/>
          <w:color w:val="auto"/>
        </w:rPr>
      </w:pPr>
    </w:p>
    <w:p>
      <w:pPr>
        <w:jc w:val="both"/>
        <w:ind w:firstLine="360"/>
        <w:spacing w:after="0" w:line="307" w:lineRule="auto"/>
        <w:rPr>
          <w:sz w:val="20"/>
          <w:szCs w:val="20"/>
          <w:color w:val="auto"/>
        </w:rPr>
      </w:pPr>
      <w:r>
        <w:rPr>
          <w:rFonts w:ascii="Times New Roman" w:cs="Times New Roman" w:eastAsia="Times New Roman" w:hAnsi="Times New Roman"/>
          <w:sz w:val="22"/>
          <w:szCs w:val="22"/>
          <w:color w:val="auto"/>
        </w:rPr>
        <w:t>Como se advierte en las figuras 4 y 6, en los análisis que se efectuaron para examinar la morfología de las extremidades y la velocidad de escape por sexos entre cada especie no se encontraron diferencias significativas. Tales resultados indican que la selección natural no ha causado un efecto que promueva diferencias en estas características; por ejemplo, la depredación, el ámbito hogareño, el tipo de forrajeo de las especies o la búsqueda de parejas son factores que no han moldeado estas características entre machos y hembras.</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59"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49" name="Shape 14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49" o:spid="_x0000_s117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50" name="Shape 15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50" o:spid="_x0000_s117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51" name="Shape 15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51" o:spid="_x0000_s117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69" w:name="page70"/>
    <w:bookmarkEnd w:id="69"/>
    <w:p>
      <w:pPr>
        <w:ind w:left="1080"/>
        <w:spacing w:after="0"/>
        <w:tabs>
          <w:tab w:leader="dot" w:pos="7020" w:val="left"/>
        </w:tabs>
        <w:rPr>
          <w:sz w:val="20"/>
          <w:szCs w:val="20"/>
          <w:color w:val="auto"/>
        </w:rPr>
      </w:pPr>
      <w:r>
        <w:rPr>
          <w:rFonts w:ascii="Arial Narrow" w:cs="Arial Narrow" w:eastAsia="Arial Narrow" w:hAnsi="Arial Narrow"/>
          <w:sz w:val="11"/>
          <w:szCs w:val="11"/>
          <w:color w:val="auto"/>
        </w:rPr>
        <w:t>morfología corporal y comparación de la velocidad de escape en algunas especies</w:t>
      </w:r>
      <w:r>
        <w:rPr>
          <w:sz w:val="20"/>
          <w:szCs w:val="20"/>
          <w:color w:val="auto"/>
        </w:rPr>
        <w:tab/>
      </w:r>
      <w:r>
        <w:rPr>
          <w:rFonts w:ascii="Arial Narrow" w:cs="Arial Narrow" w:eastAsia="Arial Narrow" w:hAnsi="Arial Narrow"/>
          <w:sz w:val="16"/>
          <w:szCs w:val="16"/>
          <w:color w:val="auto"/>
        </w:rPr>
        <w:t>69</w:t>
      </w:r>
    </w:p>
    <w:p>
      <w:pPr>
        <w:spacing w:after="0" w:line="200" w:lineRule="exact"/>
        <w:rPr>
          <w:sz w:val="20"/>
          <w:szCs w:val="20"/>
          <w:color w:val="auto"/>
        </w:rPr>
      </w:pPr>
    </w:p>
    <w:p>
      <w:pPr>
        <w:spacing w:after="0" w:line="349" w:lineRule="exact"/>
        <w:rPr>
          <w:sz w:val="20"/>
          <w:szCs w:val="20"/>
          <w:color w:val="auto"/>
        </w:rPr>
      </w:pPr>
    </w:p>
    <w:p>
      <w:pPr>
        <w:jc w:val="both"/>
        <w:ind w:firstLine="360"/>
        <w:spacing w:after="0" w:line="323" w:lineRule="auto"/>
        <w:rPr>
          <w:sz w:val="20"/>
          <w:szCs w:val="20"/>
          <w:color w:val="auto"/>
        </w:rPr>
      </w:pPr>
      <w:r>
        <w:rPr>
          <w:rFonts w:ascii="Times New Roman" w:cs="Times New Roman" w:eastAsia="Times New Roman" w:hAnsi="Times New Roman"/>
          <w:sz w:val="21"/>
          <w:szCs w:val="21"/>
          <w:color w:val="auto"/>
        </w:rPr>
        <w:t xml:space="preserve">Husak y Rouse (2006) publicaron que la morfología de las extremidades y la conducta en la velocidad de escape fue distinta en tres poblaciones de lagartijas de collar </w:t>
      </w:r>
      <w:r>
        <w:rPr>
          <w:rFonts w:ascii="Times New Roman" w:cs="Times New Roman" w:eastAsia="Times New Roman" w:hAnsi="Times New Roman"/>
          <w:sz w:val="21"/>
          <w:szCs w:val="21"/>
          <w:i w:val="1"/>
          <w:iCs w:val="1"/>
          <w:color w:val="auto"/>
        </w:rPr>
        <w:t>Crotaphytus collaris</w:t>
      </w:r>
      <w:r>
        <w:rPr>
          <w:rFonts w:ascii="Times New Roman" w:cs="Times New Roman" w:eastAsia="Times New Roman" w:hAnsi="Times New Roman"/>
          <w:sz w:val="21"/>
          <w:szCs w:val="21"/>
          <w:color w:val="auto"/>
        </w:rPr>
        <w:t xml:space="preserve"> y que las diferencias en la velocidad de escape soportan la hipótesis de que la depredación es más importante para modificar la morfología de las extremidades que la estructura del hábitat; por consiguiente, se discutieron también los resultados obtenidos en relación con factores ecológicos y conductuales, los cuales también pueden influir en la velocidad de los lacertilios y otros vertebrados, como pequeños mamíferos (Garland y Janis, 1993).</w:t>
      </w:r>
    </w:p>
    <w:p>
      <w:pPr>
        <w:spacing w:after="0" w:line="200" w:lineRule="exact"/>
        <w:rPr>
          <w:sz w:val="20"/>
          <w:szCs w:val="20"/>
          <w:color w:val="auto"/>
        </w:rPr>
      </w:pPr>
    </w:p>
    <w:p>
      <w:pPr>
        <w:spacing w:after="0" w:line="400"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Velocidad de escape</w:t>
      </w:r>
    </w:p>
    <w:p>
      <w:pPr>
        <w:spacing w:after="0" w:line="38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Algunas especies difieren en sus habilidades para correr, como el caso de las poblaciones que viven en distintos tipos de hábitat y altitudes. Por ello, en los diversos estudios donde se ha medido la velocidad en lacertilios, se han aplicado diferentes métodos. Algunos de ellos han utilizado carriles con motor, como el de Bonine y Garland (1999), quienes usaron un carril de alta velocidad (155 cm de largo por 30 cm de ancho) provisto de un motor de tres caballos de fuerza con el objetivo de medir la máxima velocidad de 27 especies de lacertilios. Otros autores han posicionado cámaras en diferentes intervalos del carril, ya que los carriles utilizados en estos estudios difieren en longitud, sustrato, inclinación y distancia entre éstos y las cámaras (Van Damme y Vanhooydonck, 2001).</w:t>
      </w:r>
    </w:p>
    <w:p>
      <w:pPr>
        <w:spacing w:after="0" w:line="6"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La longitud de los carriles varía entre 1 y 6 m, aunque la mayoría de los estudios han empleado carriles ente 2 y 3 m, por lo que no está claramente definido qué tan largo debe ser el carril para que los individuos puedan alcanzar su máxima velocidad (Van Damme y Vanhooydonck, 2001). En el presente estudio se utilizó un carril de 2 m de longitud y sustrato de lija para madera a fin de estandarizar con las técnicas empleadas.</w:t>
      </w:r>
    </w:p>
    <w:p>
      <w:pPr>
        <w:spacing w:after="0" w:line="4" w:lineRule="exact"/>
        <w:rPr>
          <w:sz w:val="20"/>
          <w:szCs w:val="20"/>
          <w:color w:val="auto"/>
        </w:rPr>
      </w:pPr>
    </w:p>
    <w:p>
      <w:pPr>
        <w:jc w:val="both"/>
        <w:ind w:firstLine="360"/>
        <w:spacing w:after="0" w:line="336" w:lineRule="auto"/>
        <w:rPr>
          <w:sz w:val="20"/>
          <w:szCs w:val="20"/>
          <w:color w:val="auto"/>
        </w:rPr>
      </w:pPr>
      <w:r>
        <w:rPr>
          <w:rFonts w:ascii="Times New Roman" w:cs="Times New Roman" w:eastAsia="Times New Roman" w:hAnsi="Times New Roman"/>
          <w:sz w:val="21"/>
          <w:szCs w:val="21"/>
          <w:color w:val="auto"/>
        </w:rPr>
        <w:t>El sustrato también es variable, ya que es un elemento que está vinculado al hecho de que los lacertilios puedan alcanzar su máxima velocidad. Generalmente se han empleado materiales que permitan buena tracción (caucho, espuma, papel de</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330"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70" w:name="page71"/>
    <w:bookmarkEnd w:id="70"/>
    <w:p>
      <w:pPr>
        <w:spacing w:after="0"/>
        <w:tabs>
          <w:tab w:leader="none" w:pos="1960" w:val="left"/>
          <w:tab w:leader="none" w:pos="3100" w:val="left"/>
          <w:tab w:leader="none" w:pos="4260" w:val="left"/>
        </w:tabs>
        <w:rPr>
          <w:sz w:val="20"/>
          <w:szCs w:val="20"/>
          <w:color w:val="auto"/>
        </w:rPr>
      </w:pPr>
      <w:r>
        <w:rPr>
          <w:rFonts w:ascii="Arial Narrow" w:cs="Arial Narrow" w:eastAsia="Arial Narrow" w:hAnsi="Arial Narrow"/>
          <w:sz w:val="16"/>
          <w:szCs w:val="16"/>
          <w:color w:val="auto"/>
        </w:rPr>
        <w:t>70</w:t>
      </w:r>
      <w:r>
        <w:rPr>
          <w:sz w:val="20"/>
          <w:szCs w:val="20"/>
          <w:color w:val="auto"/>
        </w:rPr>
        <w:tab/>
      </w: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1945640</wp:posOffset>
                </wp:positionH>
                <wp:positionV relativeFrom="paragraph">
                  <wp:posOffset>-76835</wp:posOffset>
                </wp:positionV>
                <wp:extent cx="0" cy="88900"/>
                <wp:wrapNone/>
                <wp:docPr id="152" name="Shape 15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52" o:spid="_x0000_s117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3.2pt,-6.0499pt" to="153.2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2689225</wp:posOffset>
                </wp:positionH>
                <wp:positionV relativeFrom="paragraph">
                  <wp:posOffset>-76835</wp:posOffset>
                </wp:positionV>
                <wp:extent cx="0" cy="88900"/>
                <wp:wrapNone/>
                <wp:docPr id="153" name="Shape 15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53" o:spid="_x0000_s117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1.75pt,-6.0499pt" to="211.75pt,0.95pt" o:allowincell="f" strokecolor="#000000" strokeweight="0.4pt"/>
            </w:pict>
          </mc:Fallback>
        </mc:AlternateContent>
      </w:r>
    </w:p>
    <w:p>
      <w:pPr>
        <w:spacing w:after="0" w:line="34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lija, madera, pantallas de cristal, entre otros, o bien, para estudios donde examinan lagartijas de desierto prefieren usar arena porque es lo más parecido al sustrato natural de los animales) (Van Damme y Vanhooydonck, 2001). Carothers (1986) realizó un estudio para medir la velocidad usando suelo como sustrato y se demostró que éste reduce la velocidad de los lacertilios.</w:t>
      </w:r>
    </w:p>
    <w:p>
      <w:pPr>
        <w:spacing w:after="0" w:line="3"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En esta investigación se utilizó un sustrato de lija con el fin de proporcionar las condiciones adecuadas para que las lagartijas tuvieran tracción durante su desempeño al correr, además del estímulo que se aplicó al simular ser un depredador. Se puede deducir que la velocidad de escape de las lagartijas no fue afectada de manera significativa y que los resultados obtenidos pueden reflejar cómo se comportan las especies en condiciones naturales al momento de escapar de sus depredadores.</w:t>
      </w: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 xml:space="preserve">También se observa que los valores promedio de la velocidad reportados en el cuadro 5 varían respecto a estudios previos. Comparando con el caso del estudio de Punzo (2007), quien midió la velocidad de </w:t>
      </w:r>
      <w:r>
        <w:rPr>
          <w:rFonts w:ascii="Times New Roman" w:cs="Times New Roman" w:eastAsia="Times New Roman" w:hAnsi="Times New Roman"/>
          <w:sz w:val="21"/>
          <w:szCs w:val="21"/>
          <w:i w:val="1"/>
          <w:iCs w:val="1"/>
          <w:color w:val="auto"/>
        </w:rPr>
        <w:t>A. tesselata</w:t>
      </w:r>
      <w:r>
        <w:rPr>
          <w:rFonts w:ascii="Times New Roman" w:cs="Times New Roman" w:eastAsia="Times New Roman" w:hAnsi="Times New Roman"/>
          <w:sz w:val="21"/>
          <w:szCs w:val="21"/>
          <w:color w:val="auto"/>
        </w:rPr>
        <w:t xml:space="preserve"> de dos poblaciones diferentes sobre un carril de madera (200 cm de longitud, 6 cm de ancho y 10 cm de altura) asociando la velocidad obtenida con la densidad de vegetación y la temperatura corporal, los resultados obtenidos para la velocidad en el presente estudio son mayores; en el caso del estudio de Bonine y Garland (1999), son más bajos.</w:t>
      </w: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Cabe mencionar que las técnicas que se emplearon en los estudios de Punzo (2007) y Bonine y Garland (1999), así como los factores mencionados, por ejemplo el sustrato y el estímulo, pueden explicar las diferencias en la velocidad de las especies del presente estudio; sin embargo, esto no revela que los resultados se vean afectados o sean erróneos, dado que las diversas técnicas miden la velocidad de las especies, a diferencia de que la metodología y los objetivos planteados sean distintos para cada estudio.</w:t>
      </w:r>
    </w:p>
    <w:p>
      <w:pPr>
        <w:spacing w:after="0" w:line="4" w:lineRule="exact"/>
        <w:rPr>
          <w:sz w:val="20"/>
          <w:szCs w:val="20"/>
          <w:color w:val="auto"/>
        </w:rPr>
      </w:pPr>
    </w:p>
    <w:p>
      <w:pPr>
        <w:jc w:val="both"/>
        <w:ind w:firstLine="360"/>
        <w:spacing w:after="0" w:line="293" w:lineRule="auto"/>
        <w:rPr>
          <w:sz w:val="20"/>
          <w:szCs w:val="20"/>
          <w:color w:val="auto"/>
        </w:rPr>
      </w:pPr>
      <w:r>
        <w:rPr>
          <w:rFonts w:ascii="Times New Roman" w:cs="Times New Roman" w:eastAsia="Times New Roman" w:hAnsi="Times New Roman"/>
          <w:sz w:val="22"/>
          <w:szCs w:val="22"/>
          <w:color w:val="auto"/>
        </w:rPr>
        <w:t>Bonine y Garland (1999) reportaron un intervalo en la media de la velocidad desde 108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color w:val="auto"/>
        </w:rPr>
        <w:t xml:space="preserve"> para </w:t>
      </w:r>
      <w:r>
        <w:rPr>
          <w:rFonts w:ascii="Times New Roman" w:cs="Times New Roman" w:eastAsia="Times New Roman" w:hAnsi="Times New Roman"/>
          <w:sz w:val="22"/>
          <w:szCs w:val="22"/>
          <w:i w:val="1"/>
          <w:iCs w:val="1"/>
          <w:color w:val="auto"/>
        </w:rPr>
        <w:t>Elgaria kingii</w:t>
      </w:r>
      <w:r>
        <w:rPr>
          <w:rFonts w:ascii="Times New Roman" w:cs="Times New Roman" w:eastAsia="Times New Roman" w:hAnsi="Times New Roman"/>
          <w:sz w:val="22"/>
          <w:szCs w:val="22"/>
          <w:color w:val="auto"/>
        </w:rPr>
        <w:t xml:space="preserve"> (Anguidae) hasta 6.17 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color w:val="auto"/>
        </w:rPr>
        <w:t xml:space="preserve"> para </w:t>
      </w:r>
      <w:r>
        <w:rPr>
          <w:rFonts w:ascii="Times New Roman" w:cs="Times New Roman" w:eastAsia="Times New Roman" w:hAnsi="Times New Roman"/>
          <w:sz w:val="22"/>
          <w:szCs w:val="22"/>
          <w:i w:val="1"/>
          <w:iCs w:val="1"/>
          <w:color w:val="auto"/>
        </w:rPr>
        <w:t>Cnemidoporus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tigris </w:t>
      </w:r>
      <w:r>
        <w:rPr>
          <w:rFonts w:ascii="Times New Roman" w:cs="Times New Roman" w:eastAsia="Times New Roman" w:hAnsi="Times New Roman"/>
          <w:sz w:val="22"/>
          <w:szCs w:val="22"/>
          <w:color w:val="auto"/>
        </w:rPr>
        <w:t>(Teiidae) y algunos géneros que se incluyen en este estudio, como</w:t>
      </w:r>
      <w:r>
        <w:rPr>
          <w:rFonts w:ascii="Times New Roman" w:cs="Times New Roman" w:eastAsia="Times New Roman" w:hAnsi="Times New Roman"/>
          <w:sz w:val="22"/>
          <w:szCs w:val="22"/>
          <w:i w:val="1"/>
          <w:iCs w:val="1"/>
          <w:color w:val="auto"/>
        </w:rPr>
        <w:t xml:space="preserve"> Sceloporus, Phrynosoma </w:t>
      </w:r>
      <w:r>
        <w:rPr>
          <w:rFonts w:ascii="Times New Roman" w:cs="Times New Roman" w:eastAsia="Times New Roman" w:hAnsi="Times New Roman"/>
          <w:sz w:val="22"/>
          <w:szCs w:val="22"/>
          <w:color w:val="auto"/>
        </w:rPr>
        <w:t>y</w:t>
      </w:r>
      <w:r>
        <w:rPr>
          <w:rFonts w:ascii="Times New Roman" w:cs="Times New Roman" w:eastAsia="Times New Roman" w:hAnsi="Times New Roman"/>
          <w:sz w:val="22"/>
          <w:szCs w:val="22"/>
          <w:i w:val="1"/>
          <w:iCs w:val="1"/>
          <w:color w:val="auto"/>
        </w:rPr>
        <w:t xml:space="preserve"> Aspidoscelis </w:t>
      </w:r>
      <w:r>
        <w:rPr>
          <w:rFonts w:ascii="Times New Roman" w:cs="Times New Roman" w:eastAsia="Times New Roman" w:hAnsi="Times New Roman"/>
          <w:sz w:val="22"/>
          <w:szCs w:val="22"/>
          <w:color w:val="auto"/>
        </w:rPr>
        <w:t>(Cnemidophorus).</w:t>
      </w:r>
    </w:p>
    <w:p>
      <w:pPr>
        <w:spacing w:after="0" w:line="2" w:lineRule="exact"/>
        <w:rPr>
          <w:sz w:val="20"/>
          <w:szCs w:val="20"/>
          <w:color w:val="auto"/>
        </w:rPr>
      </w:pPr>
    </w:p>
    <w:p>
      <w:pPr>
        <w:jc w:val="both"/>
        <w:ind w:firstLine="360"/>
        <w:spacing w:after="0" w:line="378" w:lineRule="auto"/>
        <w:rPr>
          <w:sz w:val="20"/>
          <w:szCs w:val="20"/>
          <w:color w:val="auto"/>
        </w:rPr>
      </w:pPr>
      <w:r>
        <w:rPr>
          <w:rFonts w:ascii="Times New Roman" w:cs="Times New Roman" w:eastAsia="Times New Roman" w:hAnsi="Times New Roman"/>
          <w:sz w:val="19"/>
          <w:szCs w:val="19"/>
          <w:color w:val="auto"/>
        </w:rPr>
        <w:t>Punzo (2007) registró una velocidad de 46.9 y 38.1 cm s</w:t>
      </w:r>
      <w:r>
        <w:rPr>
          <w:rFonts w:ascii="Times New Roman" w:cs="Times New Roman" w:eastAsia="Times New Roman" w:hAnsi="Times New Roman"/>
          <w:sz w:val="22"/>
          <w:szCs w:val="22"/>
          <w:color w:val="auto"/>
          <w:vertAlign w:val="superscript"/>
        </w:rPr>
        <w:t>-1</w:t>
      </w:r>
      <w:r>
        <w:rPr>
          <w:rFonts w:ascii="Times New Roman" w:cs="Times New Roman" w:eastAsia="Times New Roman" w:hAnsi="Times New Roman"/>
          <w:sz w:val="19"/>
          <w:szCs w:val="19"/>
          <w:color w:val="auto"/>
        </w:rPr>
        <w:t xml:space="preserve"> para </w:t>
      </w:r>
      <w:r>
        <w:rPr>
          <w:rFonts w:ascii="Times New Roman" w:cs="Times New Roman" w:eastAsia="Times New Roman" w:hAnsi="Times New Roman"/>
          <w:sz w:val="19"/>
          <w:szCs w:val="19"/>
          <w:i w:val="1"/>
          <w:iCs w:val="1"/>
          <w:color w:val="auto"/>
        </w:rPr>
        <w:t>Aspidoscelis tesselata</w:t>
      </w:r>
      <w:r>
        <w:rPr>
          <w:rFonts w:ascii="Times New Roman" w:cs="Times New Roman" w:eastAsia="Times New Roman" w:hAnsi="Times New Roman"/>
          <w:sz w:val="19"/>
          <w:szCs w:val="19"/>
          <w:color w:val="auto"/>
        </w:rPr>
        <w:t xml:space="preserve"> de dos localidades distintas. De acuerdo con los resultados obtenidos para las especies</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82"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54" name="Shape 15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54" o:spid="_x0000_s117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55" name="Shape 15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55" o:spid="_x0000_s118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56" name="Shape 15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56" o:spid="_x0000_s118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71" w:name="page72"/>
    <w:bookmarkEnd w:id="71"/>
    <w:p>
      <w:pPr>
        <w:ind w:left="1080"/>
        <w:spacing w:after="0"/>
        <w:tabs>
          <w:tab w:leader="dot" w:pos="7020" w:val="left"/>
        </w:tabs>
        <w:rPr>
          <w:sz w:val="20"/>
          <w:szCs w:val="20"/>
          <w:color w:val="auto"/>
        </w:rPr>
      </w:pPr>
      <w:r>
        <w:rPr>
          <w:rFonts w:ascii="Arial Narrow" w:cs="Arial Narrow" w:eastAsia="Arial Narrow" w:hAnsi="Arial Narrow"/>
          <w:sz w:val="11"/>
          <w:szCs w:val="11"/>
          <w:color w:val="auto"/>
        </w:rPr>
        <w:t>morfología corporal y comparación de la velocidad de escape en algunas especies</w:t>
      </w:r>
      <w:r>
        <w:rPr>
          <w:sz w:val="20"/>
          <w:szCs w:val="20"/>
          <w:color w:val="auto"/>
        </w:rPr>
        <w:tab/>
      </w:r>
      <w:r>
        <w:rPr>
          <w:rFonts w:ascii="Arial Narrow" w:cs="Arial Narrow" w:eastAsia="Arial Narrow" w:hAnsi="Arial Narrow"/>
          <w:sz w:val="16"/>
          <w:szCs w:val="16"/>
          <w:color w:val="auto"/>
        </w:rPr>
        <w:t>71</w:t>
      </w:r>
    </w:p>
    <w:p>
      <w:pPr>
        <w:spacing w:after="0" w:line="200" w:lineRule="exact"/>
        <w:rPr>
          <w:sz w:val="20"/>
          <w:szCs w:val="20"/>
          <w:color w:val="auto"/>
        </w:rPr>
      </w:pPr>
    </w:p>
    <w:p>
      <w:pPr>
        <w:spacing w:after="0" w:line="349" w:lineRule="exact"/>
        <w:rPr>
          <w:sz w:val="20"/>
          <w:szCs w:val="20"/>
          <w:color w:val="auto"/>
        </w:rPr>
      </w:pPr>
    </w:p>
    <w:p>
      <w:pPr>
        <w:jc w:val="both"/>
        <w:spacing w:after="0" w:line="263" w:lineRule="auto"/>
        <w:rPr>
          <w:sz w:val="20"/>
          <w:szCs w:val="20"/>
          <w:color w:val="auto"/>
        </w:rPr>
      </w:pPr>
      <w:r>
        <w:rPr>
          <w:rFonts w:ascii="Times New Roman" w:cs="Times New Roman" w:eastAsia="Times New Roman" w:hAnsi="Times New Roman"/>
          <w:sz w:val="22"/>
          <w:szCs w:val="22"/>
          <w:color w:val="auto"/>
        </w:rPr>
        <w:t>analizadas, el intervalo presentó una variación que va desde 12.67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color w:val="auto"/>
        </w:rPr>
        <w:t xml:space="preserve"> (S</w:t>
      </w:r>
      <w:r>
        <w:rPr>
          <w:rFonts w:ascii="Times New Roman" w:cs="Times New Roman" w:eastAsia="Times New Roman" w:hAnsi="Times New Roman"/>
          <w:sz w:val="22"/>
          <w:szCs w:val="22"/>
          <w:i w:val="1"/>
          <w:iCs w:val="1"/>
          <w:color w:val="auto"/>
        </w:rPr>
        <w:t>. aeneus)</w:t>
      </w:r>
      <w:r>
        <w:rPr>
          <w:rFonts w:ascii="Times New Roman" w:cs="Times New Roman" w:eastAsia="Times New Roman" w:hAnsi="Times New Roman"/>
          <w:sz w:val="22"/>
          <w:szCs w:val="22"/>
          <w:color w:val="auto"/>
        </w:rPr>
        <w:t xml:space="preserve"> a 103.08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A. costata</w:t>
      </w:r>
      <w:r>
        <w:rPr>
          <w:rFonts w:ascii="Times New Roman" w:cs="Times New Roman" w:eastAsia="Times New Roman" w:hAnsi="Times New Roman"/>
          <w:sz w:val="22"/>
          <w:szCs w:val="22"/>
          <w:color w:val="auto"/>
        </w:rPr>
        <w:t>); ambos valores representan una diferencia de 90.41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color w:val="auto"/>
        </w:rPr>
        <w:t xml:space="preserve"> en la velocidad de escape de las diferentes especies.</w:t>
      </w:r>
    </w:p>
    <w:p>
      <w:pPr>
        <w:spacing w:after="0" w:line="200" w:lineRule="exact"/>
        <w:rPr>
          <w:sz w:val="20"/>
          <w:szCs w:val="20"/>
          <w:color w:val="auto"/>
        </w:rPr>
      </w:pPr>
    </w:p>
    <w:p>
      <w:pPr>
        <w:spacing w:after="0" w:line="200" w:lineRule="exact"/>
        <w:rPr>
          <w:sz w:val="20"/>
          <w:szCs w:val="20"/>
          <w:color w:val="auto"/>
        </w:rPr>
      </w:pPr>
    </w:p>
    <w:p>
      <w:pPr>
        <w:spacing w:after="0" w:line="255"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Relación entre morfología y velocidad</w:t>
      </w:r>
    </w:p>
    <w:p>
      <w:pPr>
        <w:spacing w:after="0" w:line="38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 xml:space="preserve">Para las especies que presentan extremidades con longitudes más largas, como el caso de </w:t>
      </w:r>
      <w:r>
        <w:rPr>
          <w:rFonts w:ascii="Times New Roman" w:cs="Times New Roman" w:eastAsia="Times New Roman" w:hAnsi="Times New Roman"/>
          <w:sz w:val="22"/>
          <w:szCs w:val="22"/>
          <w:i w:val="1"/>
          <w:iCs w:val="1"/>
          <w:color w:val="auto"/>
        </w:rPr>
        <w:t>A. costata</w:t>
      </w:r>
      <w:r>
        <w:rPr>
          <w:rFonts w:ascii="Times New Roman" w:cs="Times New Roman" w:eastAsia="Times New Roman" w:hAnsi="Times New Roman"/>
          <w:sz w:val="22"/>
          <w:szCs w:val="22"/>
          <w:color w:val="auto"/>
        </w:rPr>
        <w:t xml:space="preserve">, que mostró la velocidad de escape mayor, se observó que la longitud de las extremidades posteriores es importante para la rápida locomoción de estas especies, lo cual les permite alcanzar altas velocidades (Urban, 1965; Schall y Pianka, 1980). </w:t>
      </w:r>
      <w:r>
        <w:rPr>
          <w:rFonts w:ascii="Times New Roman" w:cs="Times New Roman" w:eastAsia="Times New Roman" w:hAnsi="Times New Roman"/>
          <w:sz w:val="22"/>
          <w:szCs w:val="22"/>
          <w:i w:val="1"/>
          <w:iCs w:val="1"/>
          <w:color w:val="auto"/>
        </w:rPr>
        <w:t>A. costata</w:t>
      </w:r>
      <w:r>
        <w:rPr>
          <w:rFonts w:ascii="Times New Roman" w:cs="Times New Roman" w:eastAsia="Times New Roman" w:hAnsi="Times New Roman"/>
          <w:sz w:val="22"/>
          <w:szCs w:val="22"/>
          <w:color w:val="auto"/>
        </w:rPr>
        <w:t xml:space="preserve"> tiene una longitud más larga de tibia y fémur que las demás especies estudiadas, esto le permite una mejor locomoción; además, las extremidades más largas hacen posible longitudes de zancada mayores que las de extremidades más cortas (Vanhooydonck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2002), por lo tanto velocidades rápidas (94.24 cm s-1) durante su desempeño en el carril. Estas características reducen de alguna forma su estrategia de cripsis, que también le permiten sus patrones de coloración dorsal, siendo la velocidad su principal herramienta para escapar de sus depredadores (Punzo, 2001).</w:t>
      </w:r>
    </w:p>
    <w:p>
      <w:pPr>
        <w:spacing w:after="0" w:line="7"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Adicionalmente, debido a que el hábitat (suelo abierto) de la localidad de Ixmiquilpan no presenta vegetación abundante –la densidad de vegetación de los diferentes hábitat puede promover diferentes formas de escape–, </w:t>
      </w:r>
      <w:r>
        <w:rPr>
          <w:rFonts w:ascii="Times New Roman" w:cs="Times New Roman" w:eastAsia="Times New Roman" w:hAnsi="Times New Roman"/>
          <w:sz w:val="22"/>
          <w:szCs w:val="22"/>
          <w:i w:val="1"/>
          <w:iCs w:val="1"/>
          <w:color w:val="auto"/>
        </w:rPr>
        <w:t>A. costata</w:t>
      </w:r>
      <w:r>
        <w:rPr>
          <w:rFonts w:ascii="Times New Roman" w:cs="Times New Roman" w:eastAsia="Times New Roman" w:hAnsi="Times New Roman"/>
          <w:sz w:val="22"/>
          <w:szCs w:val="22"/>
          <w:color w:val="auto"/>
        </w:rPr>
        <w:t xml:space="preserve"> no tiene otra opción de escape, por lo que la selección ha favorecido sus altas velocidades al huir de sus depredadores.</w:t>
      </w:r>
    </w:p>
    <w:p>
      <w:pPr>
        <w:spacing w:after="0" w:line="3" w:lineRule="exact"/>
        <w:rPr>
          <w:sz w:val="20"/>
          <w:szCs w:val="20"/>
          <w:color w:val="auto"/>
        </w:rPr>
      </w:pPr>
    </w:p>
    <w:p>
      <w:pPr>
        <w:jc w:val="both"/>
        <w:ind w:firstLine="360"/>
        <w:spacing w:after="0" w:line="324" w:lineRule="auto"/>
        <w:rPr>
          <w:sz w:val="20"/>
          <w:szCs w:val="20"/>
          <w:color w:val="auto"/>
        </w:rPr>
      </w:pPr>
      <w:r>
        <w:rPr>
          <w:rFonts w:ascii="Times New Roman" w:cs="Times New Roman" w:eastAsia="Times New Roman" w:hAnsi="Times New Roman"/>
          <w:sz w:val="21"/>
          <w:szCs w:val="21"/>
          <w:color w:val="auto"/>
        </w:rPr>
        <w:t xml:space="preserve">Jayne y Ellis (1998) registraron que algunas lagartijas no son capaces de alcanzar su máxima velocidad en carriles cortos. Estos autores encontraron que </w:t>
      </w:r>
      <w:r>
        <w:rPr>
          <w:rFonts w:ascii="Times New Roman" w:cs="Times New Roman" w:eastAsia="Times New Roman" w:hAnsi="Times New Roman"/>
          <w:sz w:val="21"/>
          <w:szCs w:val="21"/>
          <w:i w:val="1"/>
          <w:iCs w:val="1"/>
          <w:color w:val="auto"/>
        </w:rPr>
        <w:t>Uma scoparia</w:t>
      </w:r>
      <w:r>
        <w:rPr>
          <w:rFonts w:ascii="Times New Roman" w:cs="Times New Roman" w:eastAsia="Times New Roman" w:hAnsi="Times New Roman"/>
          <w:sz w:val="21"/>
          <w:szCs w:val="21"/>
          <w:color w:val="auto"/>
        </w:rPr>
        <w:t xml:space="preserve"> incrementa la longitud de su zancada en los primeros 10-15 pasos de carrera, aproximadamente a los 21.9 cm de distancia recorrida, a esto le llaman </w:t>
      </w:r>
      <w:r>
        <w:rPr>
          <w:rFonts w:ascii="Times New Roman" w:cs="Times New Roman" w:eastAsia="Times New Roman" w:hAnsi="Times New Roman"/>
          <w:sz w:val="21"/>
          <w:szCs w:val="21"/>
          <w:i w:val="1"/>
          <w:iCs w:val="1"/>
          <w:color w:val="auto"/>
        </w:rPr>
        <w:t>aceleración</w:t>
      </w:r>
      <w:r>
        <w:rPr>
          <w:rFonts w:ascii="Times New Roman" w:cs="Times New Roman" w:eastAsia="Times New Roman" w:hAnsi="Times New Roman"/>
          <w:sz w:val="21"/>
          <w:szCs w:val="21"/>
          <w:color w:val="auto"/>
        </w:rPr>
        <w:t xml:space="preserve">; mientras que otras especies de lacertilios alcanzan su máxima aceleración hasta los 5 m o más en condiciones naturales, por ejemplo las especies de forrajeo activo, como los </w:t>
      </w:r>
      <w:r>
        <w:rPr>
          <w:rFonts w:ascii="Times New Roman" w:cs="Times New Roman" w:eastAsia="Times New Roman" w:hAnsi="Times New Roman"/>
          <w:sz w:val="21"/>
          <w:szCs w:val="21"/>
          <w:i w:val="1"/>
          <w:iCs w:val="1"/>
          <w:color w:val="auto"/>
        </w:rPr>
        <w:t>Teiidos</w:t>
      </w:r>
      <w:r>
        <w:rPr>
          <w:rFonts w:ascii="Times New Roman" w:cs="Times New Roman" w:eastAsia="Times New Roman" w:hAnsi="Times New Roman"/>
          <w:sz w:val="21"/>
          <w:szCs w:val="21"/>
          <w:color w:val="auto"/>
        </w:rPr>
        <w:t>, las cuales, aun cuando son especies veloces, pueden no alcanzar su</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342"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72" w:name="page73"/>
    <w:bookmarkEnd w:id="72"/>
    <w:p>
      <w:pPr>
        <w:spacing w:after="0"/>
        <w:tabs>
          <w:tab w:leader="none" w:pos="1960" w:val="left"/>
          <w:tab w:leader="none" w:pos="3100" w:val="left"/>
          <w:tab w:leader="none" w:pos="4260" w:val="left"/>
        </w:tabs>
        <w:rPr>
          <w:sz w:val="20"/>
          <w:szCs w:val="20"/>
          <w:color w:val="auto"/>
        </w:rPr>
      </w:pPr>
      <w:r>
        <w:rPr>
          <w:rFonts w:ascii="Arial Narrow" w:cs="Arial Narrow" w:eastAsia="Arial Narrow" w:hAnsi="Arial Narrow"/>
          <w:sz w:val="16"/>
          <w:szCs w:val="16"/>
          <w:color w:val="auto"/>
        </w:rPr>
        <w:t>72</w:t>
      </w:r>
      <w:r>
        <w:rPr>
          <w:sz w:val="20"/>
          <w:szCs w:val="20"/>
          <w:color w:val="auto"/>
        </w:rPr>
        <w:tab/>
      </w: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1945640</wp:posOffset>
                </wp:positionH>
                <wp:positionV relativeFrom="paragraph">
                  <wp:posOffset>-76835</wp:posOffset>
                </wp:positionV>
                <wp:extent cx="0" cy="88900"/>
                <wp:wrapNone/>
                <wp:docPr id="157" name="Shape 15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57" o:spid="_x0000_s118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3.2pt,-6.0499pt" to="153.2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2689225</wp:posOffset>
                </wp:positionH>
                <wp:positionV relativeFrom="paragraph">
                  <wp:posOffset>-76835</wp:posOffset>
                </wp:positionV>
                <wp:extent cx="0" cy="88900"/>
                <wp:wrapNone/>
                <wp:docPr id="158" name="Shape 15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58" o:spid="_x0000_s118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1.75pt,-6.0499pt" to="211.75pt,0.95pt" o:allowincell="f" strokecolor="#000000" strokeweight="0.4pt"/>
            </w:pict>
          </mc:Fallback>
        </mc:AlternateContent>
      </w:r>
    </w:p>
    <w:p>
      <w:pPr>
        <w:spacing w:after="0" w:line="34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máxima velocidad en carriles cortos presentando aceleraciones más lentas, pero mayor velocidad de escape y resistencia al correr (Punzo, 2001).</w:t>
      </w:r>
    </w:p>
    <w:p>
      <w:pPr>
        <w:spacing w:after="0" w:line="1"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 xml:space="preserve">A partir de esta información, se deduce que </w:t>
      </w:r>
      <w:r>
        <w:rPr>
          <w:rFonts w:ascii="Times New Roman" w:cs="Times New Roman" w:eastAsia="Times New Roman" w:hAnsi="Times New Roman"/>
          <w:sz w:val="21"/>
          <w:szCs w:val="21"/>
          <w:i w:val="1"/>
          <w:iCs w:val="1"/>
          <w:color w:val="auto"/>
        </w:rPr>
        <w:t>A. costata</w:t>
      </w:r>
      <w:r>
        <w:rPr>
          <w:rFonts w:ascii="Times New Roman" w:cs="Times New Roman" w:eastAsia="Times New Roman" w:hAnsi="Times New Roman"/>
          <w:sz w:val="21"/>
          <w:szCs w:val="21"/>
          <w:color w:val="auto"/>
        </w:rPr>
        <w:t xml:space="preserve"> pudo no haber demostrado su velocidad de escape máxima, porque, de acuerdo con Punzo (2001), los </w:t>
      </w:r>
      <w:r>
        <w:rPr>
          <w:rFonts w:ascii="Times New Roman" w:cs="Times New Roman" w:eastAsia="Times New Roman" w:hAnsi="Times New Roman"/>
          <w:sz w:val="21"/>
          <w:szCs w:val="21"/>
          <w:i w:val="1"/>
          <w:iCs w:val="1"/>
          <w:color w:val="auto"/>
        </w:rPr>
        <w:t>Teiidos</w:t>
      </w:r>
      <w:r>
        <w:rPr>
          <w:rFonts w:ascii="Times New Roman" w:cs="Times New Roman" w:eastAsia="Times New Roman" w:hAnsi="Times New Roman"/>
          <w:sz w:val="21"/>
          <w:szCs w:val="21"/>
          <w:color w:val="auto"/>
        </w:rPr>
        <w:t xml:space="preserve"> escapan de su depredador potencial empezándose a mover lento cuando se dan cuenta de que son detectados a una distancia mayor a los 10 m; por consiguiente, corren rápidamente para escapar. Entonces, al ser una especie de forrajeo activo y encontrarse en hábitat abierto, muestra su máxima velocidad en una distancia mayor y no en carriles cortos (Punzo, 2001; Vanhooydonck, 2001).</w:t>
      </w: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 xml:space="preserve">Con respecto al cuerpo, </w:t>
      </w:r>
      <w:r>
        <w:rPr>
          <w:rFonts w:ascii="Times New Roman" w:cs="Times New Roman" w:eastAsia="Times New Roman" w:hAnsi="Times New Roman"/>
          <w:sz w:val="21"/>
          <w:szCs w:val="21"/>
          <w:i w:val="1"/>
          <w:iCs w:val="1"/>
          <w:color w:val="auto"/>
        </w:rPr>
        <w:t>S. grammicus</w:t>
      </w:r>
      <w:r>
        <w:rPr>
          <w:rFonts w:ascii="Times New Roman" w:cs="Times New Roman" w:eastAsia="Times New Roman" w:hAnsi="Times New Roman"/>
          <w:sz w:val="21"/>
          <w:szCs w:val="21"/>
          <w:color w:val="auto"/>
        </w:rPr>
        <w:t xml:space="preserve"> tiene una longitud de las extremidades más larga que sus conespecíficos, </w:t>
      </w:r>
      <w:r>
        <w:rPr>
          <w:rFonts w:ascii="Times New Roman" w:cs="Times New Roman" w:eastAsia="Times New Roman" w:hAnsi="Times New Roman"/>
          <w:sz w:val="21"/>
          <w:szCs w:val="21"/>
          <w:i w:val="1"/>
          <w:iCs w:val="1"/>
          <w:color w:val="auto"/>
        </w:rPr>
        <w:t>S. bicanthalis, S. aeneus y S. scalaris</w:t>
      </w:r>
      <w:r>
        <w:rPr>
          <w:rFonts w:ascii="Times New Roman" w:cs="Times New Roman" w:eastAsia="Times New Roman" w:hAnsi="Times New Roman"/>
          <w:sz w:val="21"/>
          <w:szCs w:val="21"/>
          <w:color w:val="auto"/>
        </w:rPr>
        <w:t xml:space="preserve">, destacando nuevamente las posteriores, específicamente el fémur, y por lo tanto una velocidad de escape mayor. Se debe resaltar que </w:t>
      </w:r>
      <w:r>
        <w:rPr>
          <w:rFonts w:ascii="Times New Roman" w:cs="Times New Roman" w:eastAsia="Times New Roman" w:hAnsi="Times New Roman"/>
          <w:sz w:val="21"/>
          <w:szCs w:val="21"/>
          <w:i w:val="1"/>
          <w:iCs w:val="1"/>
          <w:color w:val="auto"/>
        </w:rPr>
        <w:t>S. grammicus,</w:t>
      </w:r>
      <w:r>
        <w:rPr>
          <w:rFonts w:ascii="Times New Roman" w:cs="Times New Roman" w:eastAsia="Times New Roman" w:hAnsi="Times New Roman"/>
          <w:sz w:val="21"/>
          <w:szCs w:val="21"/>
          <w:color w:val="auto"/>
        </w:rPr>
        <w:t xml:space="preserve"> aunque es una especie de hábito trepador, a diferencia de las demás especies estudiadas de hábitos terrestres, mostró una variación en ambas características de morfología y desempeño. De acuerdo con las bases biomecánicas, especies de hábitos trepadores presentan extremidades anteriores largas y extremidades posteriores cortas que les permiten tener una mayor estabilidad (Vanhooydonck y Van Damme, 1999). No obstante, en el presente estudio se observó que </w:t>
      </w:r>
      <w:r>
        <w:rPr>
          <w:rFonts w:ascii="Times New Roman" w:cs="Times New Roman" w:eastAsia="Times New Roman" w:hAnsi="Times New Roman"/>
          <w:sz w:val="21"/>
          <w:szCs w:val="21"/>
          <w:i w:val="1"/>
          <w:iCs w:val="1"/>
          <w:color w:val="auto"/>
        </w:rPr>
        <w:t>S. grammicus</w:t>
      </w:r>
      <w:r>
        <w:rPr>
          <w:rFonts w:ascii="Times New Roman" w:cs="Times New Roman" w:eastAsia="Times New Roman" w:hAnsi="Times New Roman"/>
          <w:sz w:val="21"/>
          <w:szCs w:val="21"/>
          <w:color w:val="auto"/>
        </w:rPr>
        <w:t xml:space="preserve"> no sigue este patrón, debido a que el afd evidenció que la longitud de las extremidades posteriores es más larga, lo cual no le permitiría tener buena estabilidad.</w:t>
      </w: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De acuerdo con Huey y Hertz (1982, 1984), algunas especies de lacertilios tienen habilidades sobresalientes para escapar rápido sobre superficies casi verticales, rocas o árboles, tal es el caso de </w:t>
      </w:r>
      <w:r>
        <w:rPr>
          <w:rFonts w:ascii="Times New Roman" w:cs="Times New Roman" w:eastAsia="Times New Roman" w:hAnsi="Times New Roman"/>
          <w:sz w:val="22"/>
          <w:szCs w:val="22"/>
          <w:i w:val="1"/>
          <w:iCs w:val="1"/>
          <w:color w:val="auto"/>
        </w:rPr>
        <w:t>S. grammicus</w:t>
      </w:r>
      <w:r>
        <w:rPr>
          <w:rFonts w:ascii="Times New Roman" w:cs="Times New Roman" w:eastAsia="Times New Roman" w:hAnsi="Times New Roman"/>
          <w:sz w:val="22"/>
          <w:szCs w:val="22"/>
          <w:color w:val="auto"/>
        </w:rPr>
        <w:t xml:space="preserve"> cuando es detectada por algún depredador potencial, aunque también es una especie que tiene la capacidad de mimetizarse con el fondo de sus sitios de percha.</w:t>
      </w:r>
    </w:p>
    <w:p>
      <w:pPr>
        <w:spacing w:after="0" w:line="3" w:lineRule="exact"/>
        <w:rPr>
          <w:sz w:val="20"/>
          <w:szCs w:val="20"/>
          <w:color w:val="auto"/>
        </w:rPr>
      </w:pPr>
    </w:p>
    <w:p>
      <w:pPr>
        <w:jc w:val="both"/>
        <w:ind w:firstLine="360"/>
        <w:spacing w:after="0" w:line="327" w:lineRule="auto"/>
        <w:rPr>
          <w:sz w:val="20"/>
          <w:szCs w:val="20"/>
          <w:color w:val="auto"/>
        </w:rPr>
      </w:pPr>
      <w:r>
        <w:rPr>
          <w:rFonts w:ascii="Times New Roman" w:cs="Times New Roman" w:eastAsia="Times New Roman" w:hAnsi="Times New Roman"/>
          <w:sz w:val="21"/>
          <w:szCs w:val="21"/>
          <w:color w:val="auto"/>
        </w:rPr>
        <w:t xml:space="preserve">Huey y Hertz (1984) afirman que la pendiente es un factor importante que modifica la conducta antidepredatoria y depredatoria, lo que finalmente se refleja en la velocidad de los individuos. Por lo tanto, </w:t>
      </w:r>
      <w:r>
        <w:rPr>
          <w:rFonts w:ascii="Times New Roman" w:cs="Times New Roman" w:eastAsia="Times New Roman" w:hAnsi="Times New Roman"/>
          <w:sz w:val="21"/>
          <w:szCs w:val="21"/>
          <w:i w:val="1"/>
          <w:iCs w:val="1"/>
          <w:color w:val="auto"/>
        </w:rPr>
        <w:t>S. grammicus</w:t>
      </w:r>
      <w:r>
        <w:rPr>
          <w:rFonts w:ascii="Times New Roman" w:cs="Times New Roman" w:eastAsia="Times New Roman" w:hAnsi="Times New Roman"/>
          <w:sz w:val="21"/>
          <w:szCs w:val="21"/>
          <w:color w:val="auto"/>
        </w:rPr>
        <w:t xml:space="preserve"> ha adoptado la velocidad como una estrategia antidepredatoria y también depredadora, ya que algunas lagartijas, por su capacidad de aceleración en distancias tan cortas, pueden atacar</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39"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59" name="Shape 15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59" o:spid="_x0000_s118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60" name="Shape 16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60" o:spid="_x0000_s118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61" name="Shape 16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61" o:spid="_x0000_s118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73" w:name="page74"/>
    <w:bookmarkEnd w:id="73"/>
    <w:p>
      <w:pPr>
        <w:ind w:left="1080"/>
        <w:spacing w:after="0"/>
        <w:tabs>
          <w:tab w:leader="dot" w:pos="7020" w:val="left"/>
        </w:tabs>
        <w:rPr>
          <w:sz w:val="20"/>
          <w:szCs w:val="20"/>
          <w:color w:val="auto"/>
        </w:rPr>
      </w:pPr>
      <w:r>
        <w:rPr>
          <w:rFonts w:ascii="Arial Narrow" w:cs="Arial Narrow" w:eastAsia="Arial Narrow" w:hAnsi="Arial Narrow"/>
          <w:sz w:val="11"/>
          <w:szCs w:val="11"/>
          <w:color w:val="auto"/>
        </w:rPr>
        <w:t>morfología corporal y comparación de la velocidad de escape en algunas especies</w:t>
      </w:r>
      <w:r>
        <w:rPr>
          <w:sz w:val="20"/>
          <w:szCs w:val="20"/>
          <w:color w:val="auto"/>
        </w:rPr>
        <w:tab/>
      </w:r>
      <w:r>
        <w:rPr>
          <w:rFonts w:ascii="Arial Narrow" w:cs="Arial Narrow" w:eastAsia="Arial Narrow" w:hAnsi="Arial Narrow"/>
          <w:sz w:val="16"/>
          <w:szCs w:val="16"/>
          <w:color w:val="auto"/>
        </w:rPr>
        <w:t>73</w:t>
      </w:r>
    </w:p>
    <w:p>
      <w:pPr>
        <w:spacing w:after="0" w:line="200" w:lineRule="exact"/>
        <w:rPr>
          <w:sz w:val="20"/>
          <w:szCs w:val="20"/>
          <w:color w:val="auto"/>
        </w:rPr>
      </w:pPr>
    </w:p>
    <w:p>
      <w:pPr>
        <w:spacing w:after="0" w:line="349"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eficazmente a sus presas desde distancias muy cercanas en un hábitat con pendiente (Huey y Hertz, 1982).</w:t>
      </w:r>
    </w:p>
    <w:p>
      <w:pPr>
        <w:spacing w:after="0" w:line="1" w:lineRule="exact"/>
        <w:rPr>
          <w:sz w:val="20"/>
          <w:szCs w:val="20"/>
          <w:color w:val="auto"/>
        </w:rPr>
      </w:pPr>
    </w:p>
    <w:p>
      <w:pPr>
        <w:jc w:val="both"/>
        <w:ind w:firstLine="360"/>
        <w:spacing w:after="0" w:line="309" w:lineRule="auto"/>
        <w:rPr>
          <w:sz w:val="20"/>
          <w:szCs w:val="20"/>
          <w:color w:val="auto"/>
        </w:rPr>
      </w:pPr>
      <w:r>
        <w:rPr>
          <w:rFonts w:ascii="Times New Roman" w:cs="Times New Roman" w:eastAsia="Times New Roman" w:hAnsi="Times New Roman"/>
          <w:sz w:val="21"/>
          <w:szCs w:val="21"/>
          <w:color w:val="auto"/>
        </w:rPr>
        <w:t xml:space="preserve">La velocidad en las diferentes especies de lacertilios es usualmente explosiva y los individuos pueden alcanzar su máxima velocidad a pocos segundos de su partida (Huey y Hertz, 1982; Irschick y Jayne, 1999). En este estudio, </w:t>
      </w:r>
      <w:r>
        <w:rPr>
          <w:rFonts w:ascii="Times New Roman" w:cs="Times New Roman" w:eastAsia="Times New Roman" w:hAnsi="Times New Roman"/>
          <w:sz w:val="21"/>
          <w:szCs w:val="21"/>
          <w:i w:val="1"/>
          <w:iCs w:val="1"/>
          <w:color w:val="auto"/>
        </w:rPr>
        <w:t>S. grammicus</w:t>
      </w:r>
      <w:r>
        <w:rPr>
          <w:rFonts w:ascii="Times New Roman" w:cs="Times New Roman" w:eastAsia="Times New Roman" w:hAnsi="Times New Roman"/>
          <w:sz w:val="21"/>
          <w:szCs w:val="21"/>
          <w:color w:val="auto"/>
        </w:rPr>
        <w:t xml:space="preserve"> presentó una velocidad de escape de 73.64 cm s-</w:t>
      </w:r>
      <w:r>
        <w:rPr>
          <w:rFonts w:ascii="Times New Roman" w:cs="Times New Roman" w:eastAsia="Times New Roman" w:hAnsi="Times New Roman"/>
          <w:sz w:val="24"/>
          <w:szCs w:val="24"/>
          <w:color w:val="auto"/>
          <w:vertAlign w:val="superscript"/>
        </w:rPr>
        <w:t>1</w:t>
      </w:r>
      <w:r>
        <w:rPr>
          <w:rFonts w:ascii="Times New Roman" w:cs="Times New Roman" w:eastAsia="Times New Roman" w:hAnsi="Times New Roman"/>
          <w:sz w:val="21"/>
          <w:szCs w:val="21"/>
          <w:color w:val="auto"/>
        </w:rPr>
        <w:t xml:space="preserve">, casi tan rápida como </w:t>
      </w:r>
      <w:r>
        <w:rPr>
          <w:rFonts w:ascii="Times New Roman" w:cs="Times New Roman" w:eastAsia="Times New Roman" w:hAnsi="Times New Roman"/>
          <w:sz w:val="21"/>
          <w:szCs w:val="21"/>
          <w:i w:val="1"/>
          <w:iCs w:val="1"/>
          <w:color w:val="auto"/>
        </w:rPr>
        <w:t>A. costata,</w:t>
      </w:r>
      <w:r>
        <w:rPr>
          <w:rFonts w:ascii="Times New Roman" w:cs="Times New Roman" w:eastAsia="Times New Roman" w:hAnsi="Times New Roman"/>
          <w:sz w:val="21"/>
          <w:szCs w:val="21"/>
          <w:color w:val="auto"/>
        </w:rPr>
        <w:t xml:space="preserve"> que alcanzó esta velocidad de escape en el primer metro de distancia recorrida.</w:t>
      </w:r>
    </w:p>
    <w:p>
      <w:pPr>
        <w:spacing w:after="0" w:line="1"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 xml:space="preserve">Este resultado es similar al de los trabajos realizados con algunas especies de hábitos trepadores, como </w:t>
      </w:r>
      <w:r>
        <w:rPr>
          <w:rFonts w:ascii="Times New Roman" w:cs="Times New Roman" w:eastAsia="Times New Roman" w:hAnsi="Times New Roman"/>
          <w:sz w:val="21"/>
          <w:szCs w:val="21"/>
          <w:i w:val="1"/>
          <w:iCs w:val="1"/>
          <w:color w:val="auto"/>
        </w:rPr>
        <w:t>Stellio stellio</w:t>
      </w:r>
      <w:r>
        <w:rPr>
          <w:rFonts w:ascii="Times New Roman" w:cs="Times New Roman" w:eastAsia="Times New Roman" w:hAnsi="Times New Roman"/>
          <w:sz w:val="21"/>
          <w:szCs w:val="21"/>
          <w:color w:val="auto"/>
        </w:rPr>
        <w:t xml:space="preserve"> (Agamidae), que llega a su máxima velocidad en pequeñas distancias; se reportó que alcanza 95% de su máxima velocidad a los 31 cm (Huey y Hertz, 1982, 1984). En estos casos se destaca la fase de aceleración inicial durante la carrera, factor determinante para que las especies alcancen su máxima velocidad en distancias cortas y en diferentes pendientes.</w:t>
      </w:r>
    </w:p>
    <w:p>
      <w:pPr>
        <w:jc w:val="both"/>
        <w:ind w:firstLine="360"/>
        <w:spacing w:after="0" w:line="312" w:lineRule="auto"/>
        <w:rPr>
          <w:sz w:val="20"/>
          <w:szCs w:val="20"/>
          <w:color w:val="auto"/>
        </w:rPr>
      </w:pPr>
      <w:r>
        <w:rPr>
          <w:rFonts w:ascii="Times New Roman" w:cs="Times New Roman" w:eastAsia="Times New Roman" w:hAnsi="Times New Roman"/>
          <w:sz w:val="21"/>
          <w:szCs w:val="21"/>
          <w:color w:val="auto"/>
        </w:rPr>
        <w:t xml:space="preserve">Para el caso de </w:t>
      </w:r>
      <w:r>
        <w:rPr>
          <w:rFonts w:ascii="Times New Roman" w:cs="Times New Roman" w:eastAsia="Times New Roman" w:hAnsi="Times New Roman"/>
          <w:sz w:val="21"/>
          <w:szCs w:val="21"/>
          <w:i w:val="1"/>
          <w:iCs w:val="1"/>
          <w:color w:val="auto"/>
        </w:rPr>
        <w:t>P. orbiculare</w:t>
      </w:r>
      <w:r>
        <w:rPr>
          <w:rFonts w:ascii="Times New Roman" w:cs="Times New Roman" w:eastAsia="Times New Roman" w:hAnsi="Times New Roman"/>
          <w:sz w:val="21"/>
          <w:szCs w:val="21"/>
          <w:color w:val="auto"/>
        </w:rPr>
        <w:t xml:space="preserve">, el análisis morfométrico mostró que las especies no presentan extremidades tan cortas con respecto al cuerpo y de nuevo destaca la longitud del fémur para separar esta especie del grupo de </w:t>
      </w:r>
      <w:r>
        <w:rPr>
          <w:rFonts w:ascii="Times New Roman" w:cs="Times New Roman" w:eastAsia="Times New Roman" w:hAnsi="Times New Roman"/>
          <w:sz w:val="21"/>
          <w:szCs w:val="21"/>
          <w:i w:val="1"/>
          <w:iCs w:val="1"/>
          <w:color w:val="auto"/>
        </w:rPr>
        <w:t>S. bicanthalis, S. aeneus y</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S. scalaris. </w:t>
      </w:r>
      <w:r>
        <w:rPr>
          <w:rFonts w:ascii="Times New Roman" w:cs="Times New Roman" w:eastAsia="Times New Roman" w:hAnsi="Times New Roman"/>
          <w:sz w:val="21"/>
          <w:szCs w:val="21"/>
          <w:color w:val="auto"/>
        </w:rPr>
        <w:t>Además, se indicaron las velocidades intermedias que exhibió</w:t>
      </w:r>
      <w:r>
        <w:rPr>
          <w:rFonts w:ascii="Times New Roman" w:cs="Times New Roman" w:eastAsia="Times New Roman" w:hAnsi="Times New Roman"/>
          <w:sz w:val="21"/>
          <w:szCs w:val="21"/>
          <w:i w:val="1"/>
          <w:iCs w:val="1"/>
          <w:color w:val="auto"/>
        </w:rPr>
        <w:t xml:space="preserve"> P. orbiculare </w:t>
      </w:r>
      <w:r>
        <w:rPr>
          <w:rFonts w:ascii="Times New Roman" w:cs="Times New Roman" w:eastAsia="Times New Roman" w:hAnsi="Times New Roman"/>
          <w:sz w:val="21"/>
          <w:szCs w:val="21"/>
          <w:color w:val="auto"/>
        </w:rPr>
        <w:t>(58.02 cm s-</w:t>
      </w:r>
      <w:r>
        <w:rPr>
          <w:rFonts w:ascii="Times New Roman" w:cs="Times New Roman" w:eastAsia="Times New Roman" w:hAnsi="Times New Roman"/>
          <w:sz w:val="24"/>
          <w:szCs w:val="24"/>
          <w:color w:val="auto"/>
          <w:vertAlign w:val="superscript"/>
        </w:rPr>
        <w:t>1</w:t>
      </w:r>
      <w:r>
        <w:rPr>
          <w:rFonts w:ascii="Times New Roman" w:cs="Times New Roman" w:eastAsia="Times New Roman" w:hAnsi="Times New Roman"/>
          <w:sz w:val="21"/>
          <w:szCs w:val="21"/>
          <w:color w:val="auto"/>
        </w:rPr>
        <w:t xml:space="preserve">), que de igual manera son mayores a las del grupo </w:t>
      </w:r>
      <w:r>
        <w:rPr>
          <w:rFonts w:ascii="Times New Roman" w:cs="Times New Roman" w:eastAsia="Times New Roman" w:hAnsi="Times New Roman"/>
          <w:sz w:val="21"/>
          <w:szCs w:val="21"/>
          <w:i w:val="1"/>
          <w:iCs w:val="1"/>
          <w:color w:val="auto"/>
        </w:rPr>
        <w:t>Sceloporus.</w:t>
      </w:r>
      <w:r>
        <w:rPr>
          <w:rFonts w:ascii="Times New Roman" w:cs="Times New Roman" w:eastAsia="Times New Roman" w:hAnsi="Times New Roman"/>
          <w:sz w:val="21"/>
          <w:szCs w:val="21"/>
          <w:color w:val="auto"/>
        </w:rPr>
        <w:t xml:space="preserve"> En el presente estudio se encontró que </w:t>
      </w:r>
      <w:r>
        <w:rPr>
          <w:rFonts w:ascii="Times New Roman" w:cs="Times New Roman" w:eastAsia="Times New Roman" w:hAnsi="Times New Roman"/>
          <w:sz w:val="21"/>
          <w:szCs w:val="21"/>
          <w:i w:val="1"/>
          <w:iCs w:val="1"/>
          <w:color w:val="auto"/>
        </w:rPr>
        <w:t>P. orbiculare</w:t>
      </w:r>
      <w:r>
        <w:rPr>
          <w:rFonts w:ascii="Times New Roman" w:cs="Times New Roman" w:eastAsia="Times New Roman" w:hAnsi="Times New Roman"/>
          <w:sz w:val="21"/>
          <w:szCs w:val="21"/>
          <w:color w:val="auto"/>
        </w:rPr>
        <w:t xml:space="preserve"> mostró una velocidad de escape relativamente mayor a la de las especies de </w:t>
      </w:r>
      <w:r>
        <w:rPr>
          <w:rFonts w:ascii="Times New Roman" w:cs="Times New Roman" w:eastAsia="Times New Roman" w:hAnsi="Times New Roman"/>
          <w:sz w:val="21"/>
          <w:szCs w:val="21"/>
          <w:i w:val="1"/>
          <w:iCs w:val="1"/>
          <w:color w:val="auto"/>
        </w:rPr>
        <w:t>S. bicanthalis, S. aeneus y S. scalaris,</w:t>
      </w:r>
      <w:r>
        <w:rPr>
          <w:rFonts w:ascii="Times New Roman" w:cs="Times New Roman" w:eastAsia="Times New Roman" w:hAnsi="Times New Roman"/>
          <w:sz w:val="21"/>
          <w:szCs w:val="21"/>
          <w:color w:val="auto"/>
        </w:rPr>
        <w:t xml:space="preserve"> pero menor o igual que </w:t>
      </w:r>
      <w:r>
        <w:rPr>
          <w:rFonts w:ascii="Times New Roman" w:cs="Times New Roman" w:eastAsia="Times New Roman" w:hAnsi="Times New Roman"/>
          <w:sz w:val="21"/>
          <w:szCs w:val="21"/>
          <w:i w:val="1"/>
          <w:iCs w:val="1"/>
          <w:color w:val="auto"/>
        </w:rPr>
        <w:t>S. grammicus</w:t>
      </w:r>
      <w:r>
        <w:rPr>
          <w:rFonts w:ascii="Times New Roman" w:cs="Times New Roman" w:eastAsia="Times New Roman" w:hAnsi="Times New Roman"/>
          <w:sz w:val="21"/>
          <w:szCs w:val="21"/>
          <w:color w:val="auto"/>
        </w:rPr>
        <w:t>.</w:t>
      </w:r>
    </w:p>
    <w:p>
      <w:pPr>
        <w:spacing w:after="0" w:line="4" w:lineRule="exact"/>
        <w:rPr>
          <w:sz w:val="20"/>
          <w:szCs w:val="20"/>
          <w:color w:val="auto"/>
        </w:rPr>
      </w:pPr>
    </w:p>
    <w:p>
      <w:pPr>
        <w:jc w:val="both"/>
        <w:ind w:firstLine="360"/>
        <w:spacing w:after="0" w:line="339" w:lineRule="auto"/>
        <w:rPr>
          <w:sz w:val="20"/>
          <w:szCs w:val="20"/>
          <w:color w:val="auto"/>
        </w:rPr>
      </w:pPr>
      <w:r>
        <w:rPr>
          <w:rFonts w:ascii="Times New Roman" w:cs="Times New Roman" w:eastAsia="Times New Roman" w:hAnsi="Times New Roman"/>
          <w:sz w:val="20"/>
          <w:szCs w:val="20"/>
          <w:i w:val="1"/>
          <w:iCs w:val="1"/>
          <w:color w:val="auto"/>
        </w:rPr>
        <w:t xml:space="preserve">P. orbiculare </w:t>
      </w:r>
      <w:r>
        <w:rPr>
          <w:rFonts w:ascii="Times New Roman" w:cs="Times New Roman" w:eastAsia="Times New Roman" w:hAnsi="Times New Roman"/>
          <w:sz w:val="20"/>
          <w:szCs w:val="20"/>
          <w:color w:val="auto"/>
        </w:rPr>
        <w:t>habita en zonas donde la densidad de vegetación y los pastizales están</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 xml:space="preserve">alejados uno de otro, lo que demanda la necesidad de correr más para escapar de sus depredadores. Aunque tenga otras estrategias antidepredatorias, como sus cuernos y espinas en el cuerpo y la capacidad de expulsar sangre por la órbita ocular, resulta necesario correr para buscar algún refugio y así evitar ser depredado, lo cual demuestra que </w:t>
      </w:r>
      <w:r>
        <w:rPr>
          <w:rFonts w:ascii="Times New Roman" w:cs="Times New Roman" w:eastAsia="Times New Roman" w:hAnsi="Times New Roman"/>
          <w:sz w:val="20"/>
          <w:szCs w:val="20"/>
          <w:i w:val="1"/>
          <w:iCs w:val="1"/>
          <w:color w:val="auto"/>
        </w:rPr>
        <w:t>P. orbiculare</w:t>
      </w:r>
      <w:r>
        <w:rPr>
          <w:rFonts w:ascii="Times New Roman" w:cs="Times New Roman" w:eastAsia="Times New Roman" w:hAnsi="Times New Roman"/>
          <w:sz w:val="20"/>
          <w:szCs w:val="20"/>
          <w:color w:val="auto"/>
        </w:rPr>
        <w:t xml:space="preserve"> no desarrolla movimientos tan lentos a pesar de su forma corporal tan robusta. Si bien en trabajos realizados anteriormente por Bonine y Garland (1999) se evidenciaba que otras especies del género </w:t>
      </w:r>
      <w:r>
        <w:rPr>
          <w:rFonts w:ascii="Times New Roman" w:cs="Times New Roman" w:eastAsia="Times New Roman" w:hAnsi="Times New Roman"/>
          <w:sz w:val="20"/>
          <w:szCs w:val="20"/>
          <w:i w:val="1"/>
          <w:iCs w:val="1"/>
          <w:color w:val="auto"/>
        </w:rPr>
        <w:t>Phrynosoma</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P. cornutum, P. modestum y</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P. mcallii</w:t>
      </w:r>
      <w:r>
        <w:rPr>
          <w:rFonts w:ascii="Times New Roman" w:cs="Times New Roman" w:eastAsia="Times New Roman" w:hAnsi="Times New Roman"/>
          <w:sz w:val="20"/>
          <w:szCs w:val="20"/>
          <w:color w:val="auto"/>
        </w:rPr>
        <w:t>) presentaban movimientos lentos y velocidades más bajas que las especies</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 xml:space="preserve">del género </w:t>
      </w:r>
      <w:r>
        <w:rPr>
          <w:rFonts w:ascii="Times New Roman" w:cs="Times New Roman" w:eastAsia="Times New Roman" w:hAnsi="Times New Roman"/>
          <w:sz w:val="20"/>
          <w:szCs w:val="20"/>
          <w:i w:val="1"/>
          <w:iCs w:val="1"/>
          <w:color w:val="auto"/>
        </w:rPr>
        <w:t>Sceloporus,</w:t>
      </w:r>
      <w:r>
        <w:rPr>
          <w:rFonts w:ascii="Times New Roman" w:cs="Times New Roman" w:eastAsia="Times New Roman" w:hAnsi="Times New Roman"/>
          <w:sz w:val="20"/>
          <w:szCs w:val="20"/>
          <w:color w:val="auto"/>
        </w:rPr>
        <w:t xml:space="preserve"> el presente estudio demuestra que, en relación con tres de las</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336"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74" w:name="page75"/>
    <w:bookmarkEnd w:id="74"/>
    <w:p>
      <w:pPr>
        <w:spacing w:after="0"/>
        <w:tabs>
          <w:tab w:leader="none" w:pos="1960" w:val="left"/>
          <w:tab w:leader="none" w:pos="3100" w:val="left"/>
          <w:tab w:leader="none" w:pos="4260" w:val="left"/>
        </w:tabs>
        <w:rPr>
          <w:sz w:val="20"/>
          <w:szCs w:val="20"/>
          <w:color w:val="auto"/>
        </w:rPr>
      </w:pPr>
      <w:r>
        <w:rPr>
          <w:rFonts w:ascii="Arial Narrow" w:cs="Arial Narrow" w:eastAsia="Arial Narrow" w:hAnsi="Arial Narrow"/>
          <w:sz w:val="16"/>
          <w:szCs w:val="16"/>
          <w:color w:val="auto"/>
        </w:rPr>
        <w:t>74</w:t>
      </w:r>
      <w:r>
        <w:rPr>
          <w:sz w:val="20"/>
          <w:szCs w:val="20"/>
          <w:color w:val="auto"/>
        </w:rPr>
        <w:tab/>
      </w: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1945640</wp:posOffset>
                </wp:positionH>
                <wp:positionV relativeFrom="paragraph">
                  <wp:posOffset>-76835</wp:posOffset>
                </wp:positionV>
                <wp:extent cx="0" cy="88900"/>
                <wp:wrapNone/>
                <wp:docPr id="162" name="Shape 16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62" o:spid="_x0000_s118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3.2pt,-6.0499pt" to="153.2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2689225</wp:posOffset>
                </wp:positionH>
                <wp:positionV relativeFrom="paragraph">
                  <wp:posOffset>-76835</wp:posOffset>
                </wp:positionV>
                <wp:extent cx="0" cy="88900"/>
                <wp:wrapNone/>
                <wp:docPr id="163" name="Shape 16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63" o:spid="_x0000_s118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1.75pt,-6.0499pt" to="211.75pt,0.95pt" o:allowincell="f" strokecolor="#000000" strokeweight="0.4pt"/>
            </w:pict>
          </mc:Fallback>
        </mc:AlternateContent>
      </w:r>
    </w:p>
    <w:p>
      <w:pPr>
        <w:spacing w:after="0" w:line="347" w:lineRule="exact"/>
        <w:rPr>
          <w:sz w:val="20"/>
          <w:szCs w:val="20"/>
          <w:color w:val="auto"/>
        </w:rPr>
      </w:pPr>
    </w:p>
    <w:p>
      <w:pPr>
        <w:jc w:val="both"/>
        <w:spacing w:after="0" w:line="333" w:lineRule="auto"/>
        <w:rPr>
          <w:sz w:val="20"/>
          <w:szCs w:val="20"/>
          <w:color w:val="auto"/>
        </w:rPr>
      </w:pPr>
      <w:r>
        <w:rPr>
          <w:rFonts w:ascii="Times New Roman" w:cs="Times New Roman" w:eastAsia="Times New Roman" w:hAnsi="Times New Roman"/>
          <w:sz w:val="20"/>
          <w:szCs w:val="20"/>
          <w:color w:val="auto"/>
        </w:rPr>
        <w:t xml:space="preserve">cuatro especies de </w:t>
      </w:r>
      <w:r>
        <w:rPr>
          <w:rFonts w:ascii="Times New Roman" w:cs="Times New Roman" w:eastAsia="Times New Roman" w:hAnsi="Times New Roman"/>
          <w:sz w:val="20"/>
          <w:szCs w:val="20"/>
          <w:i w:val="1"/>
          <w:iCs w:val="1"/>
          <w:color w:val="auto"/>
        </w:rPr>
        <w:t>Sceloporus</w:t>
      </w:r>
      <w:r>
        <w:rPr>
          <w:rFonts w:ascii="Times New Roman" w:cs="Times New Roman" w:eastAsia="Times New Roman" w:hAnsi="Times New Roman"/>
          <w:sz w:val="20"/>
          <w:szCs w:val="20"/>
          <w:color w:val="auto"/>
        </w:rPr>
        <w:t xml:space="preserve"> analizadas, </w:t>
      </w:r>
      <w:r>
        <w:rPr>
          <w:rFonts w:ascii="Times New Roman" w:cs="Times New Roman" w:eastAsia="Times New Roman" w:hAnsi="Times New Roman"/>
          <w:sz w:val="20"/>
          <w:szCs w:val="20"/>
          <w:i w:val="1"/>
          <w:iCs w:val="1"/>
          <w:color w:val="auto"/>
        </w:rPr>
        <w:t>Phrynosoma</w:t>
      </w:r>
      <w:r>
        <w:rPr>
          <w:rFonts w:ascii="Times New Roman" w:cs="Times New Roman" w:eastAsia="Times New Roman" w:hAnsi="Times New Roman"/>
          <w:sz w:val="20"/>
          <w:szCs w:val="20"/>
          <w:color w:val="auto"/>
        </w:rPr>
        <w:t xml:space="preserve"> tiene extremidades posteriores más largas y velocidades de escape mayores. Posiblemente, estas diferencias se deban a la estructura del hábitat, que es abierto, y a la variación altitudinal, ya que hay factores fisiológicos que afectan la velocidad de los individuos.</w:t>
      </w:r>
    </w:p>
    <w:p>
      <w:pPr>
        <w:spacing w:after="0" w:line="4"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Según otros estudios donde se investigó la </w:t>
      </w:r>
      <w:r>
        <w:rPr>
          <w:rFonts w:ascii="Times New Roman" w:cs="Times New Roman" w:eastAsia="Times New Roman" w:hAnsi="Times New Roman"/>
          <w:sz w:val="22"/>
          <w:szCs w:val="22"/>
          <w:i w:val="1"/>
          <w:iCs w:val="1"/>
          <w:color w:val="auto"/>
        </w:rPr>
        <w:t>Phrynosoma</w:t>
      </w:r>
      <w:r>
        <w:rPr>
          <w:rFonts w:ascii="Times New Roman" w:cs="Times New Roman" w:eastAsia="Times New Roman" w:hAnsi="Times New Roman"/>
          <w:sz w:val="22"/>
          <w:szCs w:val="22"/>
          <w:color w:val="auto"/>
        </w:rPr>
        <w:t xml:space="preserve"> (Bonine y Garland, 1999), las otras especies habitan en lugares mucho más abiertos, por ejemplo en los desiertos, factor que promueve mayor tendencia a la depredación debido a la falta de refugios y, por lo tanto, demanda mayores velocidades de escape. Si bien existen otras estrategias, como las cripsis o su morfología espinosa, la velocidad podría ser su primera opción de escape.</w:t>
      </w:r>
    </w:p>
    <w:p>
      <w:pPr>
        <w:spacing w:after="0" w:line="4" w:lineRule="exact"/>
        <w:rPr>
          <w:sz w:val="20"/>
          <w:szCs w:val="20"/>
          <w:color w:val="auto"/>
        </w:rPr>
      </w:pPr>
    </w:p>
    <w:p>
      <w:pPr>
        <w:jc w:val="both"/>
        <w:ind w:firstLine="360"/>
        <w:spacing w:after="0" w:line="300" w:lineRule="auto"/>
        <w:rPr>
          <w:sz w:val="20"/>
          <w:szCs w:val="20"/>
          <w:color w:val="auto"/>
        </w:rPr>
      </w:pPr>
      <w:r>
        <w:rPr>
          <w:rFonts w:ascii="Times New Roman" w:cs="Times New Roman" w:eastAsia="Times New Roman" w:hAnsi="Times New Roman"/>
          <w:sz w:val="22"/>
          <w:szCs w:val="22"/>
          <w:i w:val="1"/>
          <w:iCs w:val="1"/>
          <w:color w:val="auto"/>
        </w:rPr>
        <w:t xml:space="preserve">B. imbricata </w:t>
      </w:r>
      <w:r>
        <w:rPr>
          <w:rFonts w:ascii="Times New Roman" w:cs="Times New Roman" w:eastAsia="Times New Roman" w:hAnsi="Times New Roman"/>
          <w:sz w:val="22"/>
          <w:szCs w:val="22"/>
          <w:color w:val="auto"/>
        </w:rPr>
        <w:t>(53.09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color w:val="auto"/>
        </w:rPr>
        <w:t>) mostró una velocidad y una longitud de las</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extremidades similares a las de </w:t>
      </w:r>
      <w:r>
        <w:rPr>
          <w:rFonts w:ascii="Times New Roman" w:cs="Times New Roman" w:eastAsia="Times New Roman" w:hAnsi="Times New Roman"/>
          <w:sz w:val="22"/>
          <w:szCs w:val="22"/>
          <w:i w:val="1"/>
          <w:iCs w:val="1"/>
          <w:color w:val="auto"/>
        </w:rPr>
        <w:t>P. orbiculare,</w:t>
      </w:r>
      <w:r>
        <w:rPr>
          <w:rFonts w:ascii="Times New Roman" w:cs="Times New Roman" w:eastAsia="Times New Roman" w:hAnsi="Times New Roman"/>
          <w:sz w:val="22"/>
          <w:szCs w:val="22"/>
          <w:color w:val="auto"/>
        </w:rPr>
        <w:t xml:space="preserve"> con quien habita en simpatía, al igual que con </w:t>
      </w:r>
      <w:r>
        <w:rPr>
          <w:rFonts w:ascii="Times New Roman" w:cs="Times New Roman" w:eastAsia="Times New Roman" w:hAnsi="Times New Roman"/>
          <w:sz w:val="22"/>
          <w:szCs w:val="22"/>
          <w:i w:val="1"/>
          <w:iCs w:val="1"/>
          <w:color w:val="auto"/>
        </w:rPr>
        <w:t>S. bicanthalis, S. aeneus</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S. scalaris.</w:t>
      </w:r>
      <w:r>
        <w:rPr>
          <w:rFonts w:ascii="Times New Roman" w:cs="Times New Roman" w:eastAsia="Times New Roman" w:hAnsi="Times New Roman"/>
          <w:sz w:val="22"/>
          <w:szCs w:val="22"/>
          <w:color w:val="auto"/>
        </w:rPr>
        <w:t xml:space="preserve"> Aun cuando esta especie vive en los diferentes tipos de hábitat, exhibió una velocidad mayor</w:t>
      </w:r>
      <w:r>
        <w:rPr>
          <w:rFonts w:ascii="Times New Roman" w:cs="Times New Roman" w:eastAsia="Times New Roman" w:hAnsi="Times New Roman"/>
          <w:sz w:val="22"/>
          <w:szCs w:val="22"/>
          <w:i w:val="1"/>
          <w:iCs w:val="1"/>
          <w:color w:val="auto"/>
        </w:rPr>
        <w:t>,</w:t>
      </w:r>
      <w:r>
        <w:rPr>
          <w:rFonts w:ascii="Times New Roman" w:cs="Times New Roman" w:eastAsia="Times New Roman" w:hAnsi="Times New Roman"/>
          <w:sz w:val="22"/>
          <w:szCs w:val="22"/>
          <w:color w:val="auto"/>
        </w:rPr>
        <w:t xml:space="preserve"> al igual que otras especies de la familia Anguidae, como </w:t>
      </w:r>
      <w:r>
        <w:rPr>
          <w:rFonts w:ascii="Times New Roman" w:cs="Times New Roman" w:eastAsia="Times New Roman" w:hAnsi="Times New Roman"/>
          <w:sz w:val="22"/>
          <w:szCs w:val="22"/>
          <w:i w:val="1"/>
          <w:iCs w:val="1"/>
          <w:color w:val="auto"/>
        </w:rPr>
        <w:t>Elgaria kingii,</w:t>
      </w:r>
      <w:r>
        <w:rPr>
          <w:rFonts w:ascii="Times New Roman" w:cs="Times New Roman" w:eastAsia="Times New Roman" w:hAnsi="Times New Roman"/>
          <w:sz w:val="22"/>
          <w:szCs w:val="22"/>
          <w:color w:val="auto"/>
        </w:rPr>
        <w:t xml:space="preserve"> que poseen extremidades cortas en relación al cuerpo, lo cual indicaría que sus movimientos son lentos durante su desempeño al correr o escapar de sus depredadores (Bonine y Garland, 1999; Zaldívar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2004), por lo que sería una mejor opción la mimesis como una estrategia antidepredatoria, o su capacidad de mordida, cuya fuerza, como en el caso de </w:t>
      </w:r>
      <w:r>
        <w:rPr>
          <w:rFonts w:ascii="Times New Roman" w:cs="Times New Roman" w:eastAsia="Times New Roman" w:hAnsi="Times New Roman"/>
          <w:sz w:val="22"/>
          <w:szCs w:val="22"/>
          <w:i w:val="1"/>
          <w:iCs w:val="1"/>
          <w:color w:val="auto"/>
        </w:rPr>
        <w:t>Elgaria coerulea</w:t>
      </w:r>
      <w:r>
        <w:rPr>
          <w:rFonts w:ascii="Times New Roman" w:cs="Times New Roman" w:eastAsia="Times New Roman" w:hAnsi="Times New Roman"/>
          <w:sz w:val="22"/>
          <w:szCs w:val="22"/>
          <w:color w:val="auto"/>
        </w:rPr>
        <w:t xml:space="preserve"> y otros ánguidos, está relacionada con el desempeño al atrapar presas, el escapar de los depredadores y la búsqueda de parejas (McBrayer y Anderson, 2007). Sin embargo, los resultados indican una velocidad intermedia de acuerdo con las poblaciones del presente estudio.</w:t>
      </w:r>
    </w:p>
    <w:p>
      <w:pPr>
        <w:spacing w:after="0" w:line="6" w:lineRule="exact"/>
        <w:rPr>
          <w:sz w:val="20"/>
          <w:szCs w:val="20"/>
          <w:color w:val="auto"/>
        </w:rPr>
      </w:pPr>
    </w:p>
    <w:p>
      <w:pPr>
        <w:jc w:val="both"/>
        <w:ind w:firstLine="360"/>
        <w:spacing w:after="0" w:line="306" w:lineRule="auto"/>
        <w:rPr>
          <w:sz w:val="20"/>
          <w:szCs w:val="20"/>
          <w:color w:val="auto"/>
        </w:rPr>
      </w:pPr>
      <w:r>
        <w:rPr>
          <w:rFonts w:ascii="Times New Roman" w:cs="Times New Roman" w:eastAsia="Times New Roman" w:hAnsi="Times New Roman"/>
          <w:sz w:val="22"/>
          <w:szCs w:val="22"/>
          <w:color w:val="auto"/>
        </w:rPr>
        <w:t xml:space="preserve">Probablemente este ánguido adopta esta velocidad como una estrategia depredadora, ya que Zaldívar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(2004) registraron que, aunque es una especie insectívora, también se han encontrado en su dieta crías de </w:t>
      </w:r>
      <w:r>
        <w:rPr>
          <w:rFonts w:ascii="Times New Roman" w:cs="Times New Roman" w:eastAsia="Times New Roman" w:hAnsi="Times New Roman"/>
          <w:sz w:val="22"/>
          <w:szCs w:val="22"/>
          <w:i w:val="1"/>
          <w:iCs w:val="1"/>
          <w:color w:val="auto"/>
        </w:rPr>
        <w:t>S. aeneus</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S. grammicus,</w:t>
      </w:r>
      <w:r>
        <w:rPr>
          <w:rFonts w:ascii="Times New Roman" w:cs="Times New Roman" w:eastAsia="Times New Roman" w:hAnsi="Times New Roman"/>
          <w:sz w:val="22"/>
          <w:szCs w:val="22"/>
          <w:color w:val="auto"/>
        </w:rPr>
        <w:t xml:space="preserve"> especies con las cuales cohabita, por lo que se deduce que la velocidad de escape es mayor a la de las especies del grupo </w:t>
      </w:r>
      <w:r>
        <w:rPr>
          <w:rFonts w:ascii="Times New Roman" w:cs="Times New Roman" w:eastAsia="Times New Roman" w:hAnsi="Times New Roman"/>
          <w:sz w:val="22"/>
          <w:szCs w:val="22"/>
          <w:i w:val="1"/>
          <w:iCs w:val="1"/>
          <w:color w:val="auto"/>
        </w:rPr>
        <w:t>Sceloporus.</w:t>
      </w:r>
      <w:r>
        <w:rPr>
          <w:rFonts w:ascii="Times New Roman" w:cs="Times New Roman" w:eastAsia="Times New Roman" w:hAnsi="Times New Roman"/>
          <w:sz w:val="22"/>
          <w:szCs w:val="22"/>
          <w:color w:val="auto"/>
        </w:rPr>
        <w:t xml:space="preserve"> Su forma del cuerpo alargada y deprimida lateralmente, así como su locomoción, le permiten moverse con mayor facilidad entre la vegetación de macoyos y pastos, lo que incrementa su posición de depredador.</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64"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64" name="Shape 16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64" o:spid="_x0000_s118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65" name="Shape 16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65" o:spid="_x0000_s119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66" name="Shape 16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66" o:spid="_x0000_s119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75" w:name="page76"/>
    <w:bookmarkEnd w:id="75"/>
    <w:p>
      <w:pPr>
        <w:ind w:left="1080"/>
        <w:spacing w:after="0"/>
        <w:tabs>
          <w:tab w:leader="dot" w:pos="7020" w:val="left"/>
        </w:tabs>
        <w:rPr>
          <w:sz w:val="20"/>
          <w:szCs w:val="20"/>
          <w:color w:val="auto"/>
        </w:rPr>
      </w:pPr>
      <w:r>
        <w:rPr>
          <w:rFonts w:ascii="Arial Narrow" w:cs="Arial Narrow" w:eastAsia="Arial Narrow" w:hAnsi="Arial Narrow"/>
          <w:sz w:val="11"/>
          <w:szCs w:val="11"/>
          <w:color w:val="auto"/>
        </w:rPr>
        <w:t>morfología corporal y comparación de la velocidad de escape en algunas especies</w:t>
      </w:r>
      <w:r>
        <w:rPr>
          <w:sz w:val="20"/>
          <w:szCs w:val="20"/>
          <w:color w:val="auto"/>
        </w:rPr>
        <w:tab/>
      </w:r>
      <w:r>
        <w:rPr>
          <w:rFonts w:ascii="Arial Narrow" w:cs="Arial Narrow" w:eastAsia="Arial Narrow" w:hAnsi="Arial Narrow"/>
          <w:sz w:val="16"/>
          <w:szCs w:val="16"/>
          <w:color w:val="auto"/>
        </w:rPr>
        <w:t>75</w:t>
      </w:r>
    </w:p>
    <w:p>
      <w:pPr>
        <w:spacing w:after="0" w:line="200" w:lineRule="exact"/>
        <w:rPr>
          <w:sz w:val="20"/>
          <w:szCs w:val="20"/>
          <w:color w:val="auto"/>
        </w:rPr>
      </w:pPr>
    </w:p>
    <w:p>
      <w:pPr>
        <w:spacing w:after="0" w:line="349" w:lineRule="exact"/>
        <w:rPr>
          <w:sz w:val="20"/>
          <w:szCs w:val="20"/>
          <w:color w:val="auto"/>
        </w:rPr>
      </w:pPr>
    </w:p>
    <w:p>
      <w:pPr>
        <w:jc w:val="both"/>
        <w:ind w:firstLine="360"/>
        <w:spacing w:after="0" w:line="296" w:lineRule="auto"/>
        <w:rPr>
          <w:sz w:val="20"/>
          <w:szCs w:val="20"/>
          <w:color w:val="auto"/>
        </w:rPr>
      </w:pPr>
      <w:r>
        <w:rPr>
          <w:rFonts w:ascii="Times New Roman" w:cs="Times New Roman" w:eastAsia="Times New Roman" w:hAnsi="Times New Roman"/>
          <w:sz w:val="22"/>
          <w:szCs w:val="22"/>
          <w:color w:val="auto"/>
        </w:rPr>
        <w:t xml:space="preserve">Los factores de altitud y tipo de hábitat no causaron un efecto sobre la velocidad de escape de </w:t>
      </w:r>
      <w:r>
        <w:rPr>
          <w:rFonts w:ascii="Times New Roman" w:cs="Times New Roman" w:eastAsia="Times New Roman" w:hAnsi="Times New Roman"/>
          <w:sz w:val="22"/>
          <w:szCs w:val="22"/>
          <w:i w:val="1"/>
          <w:iCs w:val="1"/>
          <w:color w:val="auto"/>
        </w:rPr>
        <w:t>B. imbricata</w:t>
      </w:r>
      <w:r>
        <w:rPr>
          <w:rFonts w:ascii="Times New Roman" w:cs="Times New Roman" w:eastAsia="Times New Roman" w:hAnsi="Times New Roman"/>
          <w:sz w:val="22"/>
          <w:szCs w:val="22"/>
          <w:color w:val="auto"/>
        </w:rPr>
        <w:t>; las tres poblaciones mostraron un promedio de 53.37 cm s</w:t>
      </w:r>
      <w:r>
        <w:rPr>
          <w:rFonts w:ascii="Times New Roman" w:cs="Times New Roman" w:eastAsia="Times New Roman" w:hAnsi="Times New Roman"/>
          <w:sz w:val="25"/>
          <w:szCs w:val="25"/>
          <w:color w:val="auto"/>
          <w:vertAlign w:val="superscript"/>
        </w:rPr>
        <w:t>-1</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B. imbricata </w:t>
      </w:r>
      <w:r>
        <w:rPr>
          <w:rFonts w:ascii="Times New Roman" w:cs="Times New Roman" w:eastAsia="Times New Roman" w:hAnsi="Times New Roman"/>
          <w:sz w:val="22"/>
          <w:szCs w:val="22"/>
          <w:color w:val="auto"/>
        </w:rPr>
        <w:t>es una especie con distribución amplia y tolerante a los diversos</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ambientes, climas y altitudes (Zaldívar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2004), por lo que se piensa que es una especie muy conservadora y que estos factores no han modificado su estrategia para correr</w:t>
      </w:r>
      <w:r>
        <w:rPr>
          <w:rFonts w:ascii="Times New Roman" w:cs="Times New Roman" w:eastAsia="Times New Roman" w:hAnsi="Times New Roman"/>
          <w:sz w:val="22"/>
          <w:szCs w:val="22"/>
          <w:i w:val="1"/>
          <w:iCs w:val="1"/>
          <w:color w:val="auto"/>
        </w:rPr>
        <w:t>.</w:t>
      </w:r>
    </w:p>
    <w:p>
      <w:pPr>
        <w:spacing w:after="0" w:line="5"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En relación con el estudio de Bonine y Garland (1999), quienes señalaron que durante su desempeño al correr </w:t>
      </w:r>
      <w:r>
        <w:rPr>
          <w:rFonts w:ascii="Times New Roman" w:cs="Times New Roman" w:eastAsia="Times New Roman" w:hAnsi="Times New Roman"/>
          <w:sz w:val="22"/>
          <w:szCs w:val="22"/>
          <w:i w:val="1"/>
          <w:iCs w:val="1"/>
          <w:color w:val="auto"/>
        </w:rPr>
        <w:t>Elgaria kingii</w:t>
      </w:r>
      <w:r>
        <w:rPr>
          <w:rFonts w:ascii="Times New Roman" w:cs="Times New Roman" w:eastAsia="Times New Roman" w:hAnsi="Times New Roman"/>
          <w:sz w:val="22"/>
          <w:szCs w:val="22"/>
          <w:color w:val="auto"/>
        </w:rPr>
        <w:t xml:space="preserve"> tuvo la temperatura corporal más baja y la velocidad más lenta de todas las especies analizadas, se puede inferir que </w:t>
      </w:r>
      <w:r>
        <w:rPr>
          <w:rFonts w:ascii="Times New Roman" w:cs="Times New Roman" w:eastAsia="Times New Roman" w:hAnsi="Times New Roman"/>
          <w:sz w:val="22"/>
          <w:szCs w:val="22"/>
          <w:i w:val="1"/>
          <w:iCs w:val="1"/>
          <w:color w:val="auto"/>
        </w:rPr>
        <w:t xml:space="preserve">B. imbricata </w:t>
      </w:r>
      <w:r>
        <w:rPr>
          <w:rFonts w:ascii="Times New Roman" w:cs="Times New Roman" w:eastAsia="Times New Roman" w:hAnsi="Times New Roman"/>
          <w:sz w:val="22"/>
          <w:szCs w:val="22"/>
          <w:color w:val="auto"/>
        </w:rPr>
        <w:t>desempeña velocidades óptimas para sus actividades de forrajeo,</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aunque viva en altitudes y climas diferentes.</w:t>
      </w:r>
    </w:p>
    <w:p>
      <w:pPr>
        <w:spacing w:after="0" w:line="3"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Para las especies del grupo </w:t>
      </w:r>
      <w:r>
        <w:rPr>
          <w:rFonts w:ascii="Times New Roman" w:cs="Times New Roman" w:eastAsia="Times New Roman" w:hAnsi="Times New Roman"/>
          <w:sz w:val="22"/>
          <w:szCs w:val="22"/>
          <w:i w:val="1"/>
          <w:iCs w:val="1"/>
          <w:color w:val="auto"/>
        </w:rPr>
        <w:t>Sceloporus</w:t>
      </w:r>
      <w:r>
        <w:rPr>
          <w:rFonts w:ascii="Times New Roman" w:cs="Times New Roman" w:eastAsia="Times New Roman" w:hAnsi="Times New Roman"/>
          <w:sz w:val="22"/>
          <w:szCs w:val="22"/>
          <w:color w:val="auto"/>
        </w:rPr>
        <w:t xml:space="preserve"> se advirtió que </w:t>
      </w:r>
      <w:r>
        <w:rPr>
          <w:rFonts w:ascii="Times New Roman" w:cs="Times New Roman" w:eastAsia="Times New Roman" w:hAnsi="Times New Roman"/>
          <w:sz w:val="22"/>
          <w:szCs w:val="22"/>
          <w:i w:val="1"/>
          <w:iCs w:val="1"/>
          <w:color w:val="auto"/>
        </w:rPr>
        <w:t>S. bicanthalis, S. aeneus</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S. scalaris</w:t>
      </w:r>
      <w:r>
        <w:rPr>
          <w:rFonts w:ascii="Times New Roman" w:cs="Times New Roman" w:eastAsia="Times New Roman" w:hAnsi="Times New Roman"/>
          <w:sz w:val="22"/>
          <w:szCs w:val="22"/>
          <w:color w:val="auto"/>
        </w:rPr>
        <w:t xml:space="preserve"> mostraron formas corporales ensanchadas dorsoventralmente. El afd no evidenció diferencias significativas en la morfología de estas especies, lo que significa que las tres presentan extremidades relativamente cortas en relación con el cuerpo.</w:t>
      </w:r>
    </w:p>
    <w:p>
      <w:pPr>
        <w:spacing w:after="0" w:line="3"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 xml:space="preserve">Los Anova para comparar la velocidad de escape y la prueba de intervalos múltiples indicaron que </w:t>
      </w:r>
      <w:r>
        <w:rPr>
          <w:rFonts w:ascii="Times New Roman" w:cs="Times New Roman" w:eastAsia="Times New Roman" w:hAnsi="Times New Roman"/>
          <w:sz w:val="21"/>
          <w:szCs w:val="21"/>
          <w:i w:val="1"/>
          <w:iCs w:val="1"/>
          <w:color w:val="auto"/>
        </w:rPr>
        <w:t>S. aeneus</w:t>
      </w:r>
      <w:r>
        <w:rPr>
          <w:rFonts w:ascii="Times New Roman" w:cs="Times New Roman" w:eastAsia="Times New Roman" w:hAnsi="Times New Roman"/>
          <w:sz w:val="21"/>
          <w:szCs w:val="21"/>
          <w:color w:val="auto"/>
        </w:rPr>
        <w:t xml:space="preserve"> (Parque Hermenegildo Galeana) tuvo una velocidad de escape menor en comparación con </w:t>
      </w:r>
      <w:r>
        <w:rPr>
          <w:rFonts w:ascii="Times New Roman" w:cs="Times New Roman" w:eastAsia="Times New Roman" w:hAnsi="Times New Roman"/>
          <w:sz w:val="21"/>
          <w:szCs w:val="21"/>
          <w:i w:val="1"/>
          <w:iCs w:val="1"/>
          <w:color w:val="auto"/>
        </w:rPr>
        <w:t>S. aeneus</w:t>
      </w:r>
      <w:r>
        <w:rPr>
          <w:rFonts w:ascii="Times New Roman" w:cs="Times New Roman" w:eastAsia="Times New Roman" w:hAnsi="Times New Roman"/>
          <w:sz w:val="21"/>
          <w:szCs w:val="21"/>
          <w:color w:val="auto"/>
        </w:rPr>
        <w:t xml:space="preserve"> (El Mapa), pero similar a </w:t>
      </w:r>
      <w:r>
        <w:rPr>
          <w:rFonts w:ascii="Times New Roman" w:cs="Times New Roman" w:eastAsia="Times New Roman" w:hAnsi="Times New Roman"/>
          <w:sz w:val="21"/>
          <w:szCs w:val="21"/>
          <w:i w:val="1"/>
          <w:iCs w:val="1"/>
          <w:color w:val="auto"/>
        </w:rPr>
        <w:t>S. scalaris. S aeneus</w:t>
      </w:r>
      <w:r>
        <w:rPr>
          <w:rFonts w:ascii="Times New Roman" w:cs="Times New Roman" w:eastAsia="Times New Roman" w:hAnsi="Times New Roman"/>
          <w:sz w:val="21"/>
          <w:szCs w:val="21"/>
          <w:color w:val="auto"/>
        </w:rPr>
        <w:t xml:space="preserve"> (El Mapa) presentó una media en la velocidad de escape semejante a </w:t>
      </w:r>
      <w:r>
        <w:rPr>
          <w:rFonts w:ascii="Times New Roman" w:cs="Times New Roman" w:eastAsia="Times New Roman" w:hAnsi="Times New Roman"/>
          <w:sz w:val="21"/>
          <w:szCs w:val="21"/>
          <w:i w:val="1"/>
          <w:iCs w:val="1"/>
          <w:color w:val="auto"/>
        </w:rPr>
        <w:t>S. bicanthalis</w:t>
      </w:r>
      <w:r>
        <w:rPr>
          <w:rFonts w:ascii="Times New Roman" w:cs="Times New Roman" w:eastAsia="Times New Roman" w:hAnsi="Times New Roman"/>
          <w:sz w:val="21"/>
          <w:szCs w:val="21"/>
          <w:color w:val="auto"/>
        </w:rPr>
        <w:t xml:space="preserve"> (Nevado de Toluca</w:t>
      </w:r>
      <w:r>
        <w:rPr>
          <w:rFonts w:ascii="Times New Roman" w:cs="Times New Roman" w:eastAsia="Times New Roman" w:hAnsi="Times New Roman"/>
          <w:sz w:val="21"/>
          <w:szCs w:val="21"/>
          <w:i w:val="1"/>
          <w:iCs w:val="1"/>
          <w:color w:val="auto"/>
        </w:rPr>
        <w:t>),</w:t>
      </w:r>
      <w:r>
        <w:rPr>
          <w:rFonts w:ascii="Times New Roman" w:cs="Times New Roman" w:eastAsia="Times New Roman" w:hAnsi="Times New Roman"/>
          <w:sz w:val="21"/>
          <w:szCs w:val="21"/>
          <w:color w:val="auto"/>
        </w:rPr>
        <w:t xml:space="preserve"> también parecida a la de </w:t>
      </w:r>
      <w:r>
        <w:rPr>
          <w:rFonts w:ascii="Times New Roman" w:cs="Times New Roman" w:eastAsia="Times New Roman" w:hAnsi="Times New Roman"/>
          <w:sz w:val="21"/>
          <w:szCs w:val="21"/>
          <w:i w:val="1"/>
          <w:iCs w:val="1"/>
          <w:color w:val="auto"/>
        </w:rPr>
        <w:t>S. scalaris</w:t>
      </w:r>
      <w:r>
        <w:rPr>
          <w:rFonts w:ascii="Times New Roman" w:cs="Times New Roman" w:eastAsia="Times New Roman" w:hAnsi="Times New Roman"/>
          <w:sz w:val="21"/>
          <w:szCs w:val="21"/>
          <w:color w:val="auto"/>
        </w:rPr>
        <w:t xml:space="preserve"> (Teotenango)</w:t>
      </w:r>
      <w:r>
        <w:rPr>
          <w:rFonts w:ascii="Times New Roman" w:cs="Times New Roman" w:eastAsia="Times New Roman" w:hAnsi="Times New Roman"/>
          <w:sz w:val="21"/>
          <w:szCs w:val="21"/>
          <w:i w:val="1"/>
          <w:iCs w:val="1"/>
          <w:color w:val="auto"/>
        </w:rPr>
        <w:t>.</w:t>
      </w:r>
      <w:r>
        <w:rPr>
          <w:rFonts w:ascii="Times New Roman" w:cs="Times New Roman" w:eastAsia="Times New Roman" w:hAnsi="Times New Roman"/>
          <w:sz w:val="21"/>
          <w:szCs w:val="21"/>
          <w:color w:val="auto"/>
        </w:rPr>
        <w:t xml:space="preserve"> De las siete especies analizadas, estas tres últimas fueron las que exhibieron velocidades de escape más lentas, además de ser las especies con menor talla y extremidades más cortas. Como se discutió anteriormente, con respecto al estudio de Bonine y Garland (1999), los resultados no son consistentes debido a que no están como un grupo intermedio en morfología ni en velocidad.</w:t>
      </w:r>
    </w:p>
    <w:p>
      <w:pPr>
        <w:jc w:val="both"/>
        <w:ind w:firstLine="360"/>
        <w:spacing w:after="0" w:line="309" w:lineRule="auto"/>
        <w:rPr>
          <w:sz w:val="20"/>
          <w:szCs w:val="20"/>
          <w:color w:val="auto"/>
        </w:rPr>
      </w:pPr>
      <w:r>
        <w:rPr>
          <w:rFonts w:ascii="Times New Roman" w:cs="Times New Roman" w:eastAsia="Times New Roman" w:hAnsi="Times New Roman"/>
          <w:sz w:val="22"/>
          <w:szCs w:val="22"/>
          <w:color w:val="auto"/>
        </w:rPr>
        <w:t xml:space="preserve">La similitud en la velocidad de escape de las especies </w:t>
      </w:r>
      <w:r>
        <w:rPr>
          <w:rFonts w:ascii="Times New Roman" w:cs="Times New Roman" w:eastAsia="Times New Roman" w:hAnsi="Times New Roman"/>
          <w:sz w:val="22"/>
          <w:szCs w:val="22"/>
          <w:i w:val="1"/>
          <w:iCs w:val="1"/>
          <w:color w:val="auto"/>
        </w:rPr>
        <w:t>S. bicanthalis, S. aeneus y</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S. scalaris </w:t>
      </w:r>
      <w:r>
        <w:rPr>
          <w:rFonts w:ascii="Times New Roman" w:cs="Times New Roman" w:eastAsia="Times New Roman" w:hAnsi="Times New Roman"/>
          <w:sz w:val="22"/>
          <w:szCs w:val="22"/>
          <w:color w:val="auto"/>
        </w:rPr>
        <w:t>quizá está relacionada con la semejanza del hábitat de las mismas, ya que</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viven en sitios de pastizales donde existe abundancia de sitios de refugio en sus zonas de forrajeo; por lo tanto, la distancia que tienen que recorrer para escapar de sus depredadores es menor.</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356"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76" w:name="page77"/>
    <w:bookmarkEnd w:id="76"/>
    <w:p>
      <w:pPr>
        <w:spacing w:after="0"/>
        <w:tabs>
          <w:tab w:leader="none" w:pos="1960" w:val="left"/>
          <w:tab w:leader="none" w:pos="3100" w:val="left"/>
          <w:tab w:leader="none" w:pos="4260" w:val="left"/>
        </w:tabs>
        <w:rPr>
          <w:sz w:val="20"/>
          <w:szCs w:val="20"/>
          <w:color w:val="auto"/>
        </w:rPr>
      </w:pPr>
      <w:r>
        <w:rPr>
          <w:rFonts w:ascii="Arial Narrow" w:cs="Arial Narrow" w:eastAsia="Arial Narrow" w:hAnsi="Arial Narrow"/>
          <w:sz w:val="16"/>
          <w:szCs w:val="16"/>
          <w:color w:val="auto"/>
        </w:rPr>
        <w:t>76</w:t>
      </w:r>
      <w:r>
        <w:rPr>
          <w:sz w:val="20"/>
          <w:szCs w:val="20"/>
          <w:color w:val="auto"/>
        </w:rPr>
        <w:tab/>
      </w: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1945640</wp:posOffset>
                </wp:positionH>
                <wp:positionV relativeFrom="paragraph">
                  <wp:posOffset>-76835</wp:posOffset>
                </wp:positionV>
                <wp:extent cx="0" cy="88900"/>
                <wp:wrapNone/>
                <wp:docPr id="167" name="Shape 16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67" o:spid="_x0000_s119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3.2pt,-6.0499pt" to="153.2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2689225</wp:posOffset>
                </wp:positionH>
                <wp:positionV relativeFrom="paragraph">
                  <wp:posOffset>-76835</wp:posOffset>
                </wp:positionV>
                <wp:extent cx="0" cy="88900"/>
                <wp:wrapNone/>
                <wp:docPr id="168" name="Shape 16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68" o:spid="_x0000_s119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1.75pt,-6.0499pt" to="211.75pt,0.95pt" o:allowincell="f" strokecolor="#000000" strokeweight="0.4pt"/>
            </w:pict>
          </mc:Fallback>
        </mc:AlternateContent>
      </w:r>
    </w:p>
    <w:p>
      <w:pPr>
        <w:spacing w:after="0" w:line="347"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La disminución en la velocidad se ve compensada por una mejor maniobrabilidad (Garland, 1999) y mayor habilidad de moverse entre los pastizales. En los experimentos de velocidad, para el caso de estas tres especies se observó que durante el desempeño de la carrera realizaban movimientos intermitentes, lo que concuerda con los estudios de Kramer y McLaughlin (2001), quienes afirman que en estado natural los animales con frecuencia presentan movimientos intermitentes en los que se alternan pausas y rápidos movimientos impredecibles. Se puede atribuir que este tipo de movimientos ha sido promovido por el ambiente y las zonas de forrajeo donde habitan las especies, así que posiblemente estas tres han adoptado esta estrategia por la estructura del hábitat.</w:t>
      </w:r>
    </w:p>
    <w:p>
      <w:pPr>
        <w:jc w:val="both"/>
        <w:ind w:firstLine="360"/>
        <w:spacing w:after="0" w:line="333" w:lineRule="auto"/>
        <w:rPr>
          <w:sz w:val="20"/>
          <w:szCs w:val="20"/>
          <w:color w:val="auto"/>
        </w:rPr>
      </w:pPr>
      <w:r>
        <w:rPr>
          <w:rFonts w:ascii="Times New Roman" w:cs="Times New Roman" w:eastAsia="Times New Roman" w:hAnsi="Times New Roman"/>
          <w:sz w:val="20"/>
          <w:szCs w:val="20"/>
          <w:color w:val="auto"/>
        </w:rPr>
        <w:t xml:space="preserve">La cercanía filogenética entre las tres especies de </w:t>
      </w:r>
      <w:r>
        <w:rPr>
          <w:rFonts w:ascii="Times New Roman" w:cs="Times New Roman" w:eastAsia="Times New Roman" w:hAnsi="Times New Roman"/>
          <w:sz w:val="20"/>
          <w:szCs w:val="20"/>
          <w:i w:val="1"/>
          <w:iCs w:val="1"/>
          <w:color w:val="auto"/>
        </w:rPr>
        <w:t>Sceloporus</w:t>
      </w:r>
      <w:r>
        <w:rPr>
          <w:rFonts w:ascii="Times New Roman" w:cs="Times New Roman" w:eastAsia="Times New Roman" w:hAnsi="Times New Roman"/>
          <w:sz w:val="20"/>
          <w:szCs w:val="20"/>
          <w:color w:val="auto"/>
        </w:rPr>
        <w:t xml:space="preserve"> mencionadas posiblemente no ha promovido un cambio evolutivo tan drástico como para modificar la velocidad de escape y otras características de morfología y de historias de vida de</w:t>
      </w:r>
    </w:p>
    <w:p>
      <w:pPr>
        <w:spacing w:after="0" w:line="3"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S. bicanthalis, S. aeneus y S. scalaris.</w:t>
      </w:r>
    </w:p>
    <w:p>
      <w:pPr>
        <w:spacing w:after="0" w:line="200" w:lineRule="exact"/>
        <w:rPr>
          <w:sz w:val="20"/>
          <w:szCs w:val="20"/>
          <w:color w:val="auto"/>
        </w:rPr>
      </w:pPr>
    </w:p>
    <w:p>
      <w:pPr>
        <w:spacing w:after="0" w:line="200" w:lineRule="exact"/>
        <w:rPr>
          <w:sz w:val="20"/>
          <w:szCs w:val="20"/>
          <w:color w:val="auto"/>
        </w:rPr>
      </w:pPr>
    </w:p>
    <w:p>
      <w:pPr>
        <w:spacing w:after="0" w:line="30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Estructura del hábitat y altitud</w:t>
      </w:r>
    </w:p>
    <w:p>
      <w:pPr>
        <w:spacing w:after="0" w:line="387" w:lineRule="exact"/>
        <w:rPr>
          <w:sz w:val="20"/>
          <w:szCs w:val="20"/>
          <w:color w:val="auto"/>
        </w:rPr>
      </w:pPr>
    </w:p>
    <w:p>
      <w:pPr>
        <w:jc w:val="both"/>
        <w:spacing w:after="0" w:line="318" w:lineRule="auto"/>
        <w:rPr>
          <w:sz w:val="20"/>
          <w:szCs w:val="20"/>
          <w:color w:val="auto"/>
        </w:rPr>
      </w:pPr>
      <w:r>
        <w:rPr>
          <w:rFonts w:ascii="Times New Roman" w:cs="Times New Roman" w:eastAsia="Times New Roman" w:hAnsi="Times New Roman"/>
          <w:sz w:val="21"/>
          <w:szCs w:val="21"/>
          <w:color w:val="auto"/>
        </w:rPr>
        <w:t xml:space="preserve">Tomando en cuenta factores ambientales como el gradiente altitudinal, los resultados mostraron que, efectivamente, la altitud tiene un efecto sobre la velocidad de escape. Las especies a menor altitud presentaron mayor velocidad, como </w:t>
      </w:r>
      <w:r>
        <w:rPr>
          <w:rFonts w:ascii="Times New Roman" w:cs="Times New Roman" w:eastAsia="Times New Roman" w:hAnsi="Times New Roman"/>
          <w:sz w:val="21"/>
          <w:szCs w:val="21"/>
          <w:i w:val="1"/>
          <w:iCs w:val="1"/>
          <w:color w:val="auto"/>
        </w:rPr>
        <w:t>A. costata,</w:t>
      </w:r>
      <w:r>
        <w:rPr>
          <w:rFonts w:ascii="Times New Roman" w:cs="Times New Roman" w:eastAsia="Times New Roman" w:hAnsi="Times New Roman"/>
          <w:sz w:val="21"/>
          <w:szCs w:val="21"/>
          <w:color w:val="auto"/>
        </w:rPr>
        <w:t xml:space="preserve"> que las especies que habitan en altitudes mayores, como </w:t>
      </w:r>
      <w:r>
        <w:rPr>
          <w:rFonts w:ascii="Times New Roman" w:cs="Times New Roman" w:eastAsia="Times New Roman" w:hAnsi="Times New Roman"/>
          <w:sz w:val="21"/>
          <w:szCs w:val="21"/>
          <w:i w:val="1"/>
          <w:iCs w:val="1"/>
          <w:color w:val="auto"/>
        </w:rPr>
        <w:t>S. bicanthalis</w:t>
      </w:r>
      <w:r>
        <w:rPr>
          <w:rFonts w:ascii="Times New Roman" w:cs="Times New Roman" w:eastAsia="Times New Roman" w:hAnsi="Times New Roman"/>
          <w:sz w:val="21"/>
          <w:szCs w:val="21"/>
          <w:color w:val="auto"/>
        </w:rPr>
        <w:t xml:space="preserve">. Es de gran importancia profundizar en el desempeño de la velocidad de escape en cuestiones fisiológicas para poder entender cómo se comporta el organismo para responder durante su desempeño al correr a altitudes diferentes. También puede ser que esta variable no afecte la velocidad de todas las especies, por ejemplo en </w:t>
      </w:r>
      <w:r>
        <w:rPr>
          <w:rFonts w:ascii="Times New Roman" w:cs="Times New Roman" w:eastAsia="Times New Roman" w:hAnsi="Times New Roman"/>
          <w:sz w:val="21"/>
          <w:szCs w:val="21"/>
          <w:i w:val="1"/>
          <w:iCs w:val="1"/>
          <w:color w:val="auto"/>
        </w:rPr>
        <w:t>B. imbricata,</w:t>
      </w:r>
      <w:r>
        <w:rPr>
          <w:rFonts w:ascii="Times New Roman" w:cs="Times New Roman" w:eastAsia="Times New Roman" w:hAnsi="Times New Roman"/>
          <w:sz w:val="21"/>
          <w:szCs w:val="21"/>
          <w:color w:val="auto"/>
        </w:rPr>
        <w:t xml:space="preserve"> la cual está en tres gradientes distintos (Valencia Flores, 2008).</w:t>
      </w:r>
    </w:p>
    <w:p>
      <w:pPr>
        <w:jc w:val="both"/>
        <w:ind w:firstLine="360"/>
        <w:spacing w:after="0" w:line="311" w:lineRule="auto"/>
        <w:rPr>
          <w:sz w:val="20"/>
          <w:szCs w:val="20"/>
          <w:color w:val="auto"/>
        </w:rPr>
      </w:pPr>
      <w:r>
        <w:rPr>
          <w:rFonts w:ascii="Times New Roman" w:cs="Times New Roman" w:eastAsia="Times New Roman" w:hAnsi="Times New Roman"/>
          <w:sz w:val="22"/>
          <w:szCs w:val="22"/>
          <w:color w:val="auto"/>
        </w:rPr>
        <w:t>La estructura del hábitat resulta importante porque muestra cierta influencia sobre la morfología de las extremidades de las especies. La selección natural ha favorecido que las especies que viven en hábitats abiertos presenten extremidades más largas en comparación con las que viven en lugares más cerrados y con</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53"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69" name="Shape 16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69" o:spid="_x0000_s119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70" name="Shape 17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70" o:spid="_x0000_s119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71" name="Shape 17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71" o:spid="_x0000_s119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77" w:name="page78"/>
    <w:bookmarkEnd w:id="77"/>
    <w:p>
      <w:pPr>
        <w:ind w:left="1080"/>
        <w:spacing w:after="0"/>
        <w:tabs>
          <w:tab w:leader="dot" w:pos="7020" w:val="left"/>
        </w:tabs>
        <w:rPr>
          <w:sz w:val="20"/>
          <w:szCs w:val="20"/>
          <w:color w:val="auto"/>
        </w:rPr>
      </w:pPr>
      <w:r>
        <w:rPr>
          <w:rFonts w:ascii="Arial Narrow" w:cs="Arial Narrow" w:eastAsia="Arial Narrow" w:hAnsi="Arial Narrow"/>
          <w:sz w:val="11"/>
          <w:szCs w:val="11"/>
          <w:color w:val="auto"/>
        </w:rPr>
        <w:t>morfología corporal y comparación de la velocidad de escape en algunas especies</w:t>
      </w:r>
      <w:r>
        <w:rPr>
          <w:sz w:val="20"/>
          <w:szCs w:val="20"/>
          <w:color w:val="auto"/>
        </w:rPr>
        <w:tab/>
      </w:r>
      <w:r>
        <w:rPr>
          <w:rFonts w:ascii="Arial Narrow" w:cs="Arial Narrow" w:eastAsia="Arial Narrow" w:hAnsi="Arial Narrow"/>
          <w:sz w:val="16"/>
          <w:szCs w:val="16"/>
          <w:color w:val="auto"/>
        </w:rPr>
        <w:t>77</w:t>
      </w:r>
    </w:p>
    <w:p>
      <w:pPr>
        <w:spacing w:after="0" w:line="200" w:lineRule="exact"/>
        <w:rPr>
          <w:sz w:val="20"/>
          <w:szCs w:val="20"/>
          <w:color w:val="auto"/>
        </w:rPr>
      </w:pPr>
    </w:p>
    <w:p>
      <w:pPr>
        <w:spacing w:after="0" w:line="349" w:lineRule="exact"/>
        <w:rPr>
          <w:sz w:val="20"/>
          <w:szCs w:val="20"/>
          <w:color w:val="auto"/>
        </w:rPr>
      </w:pPr>
    </w:p>
    <w:p>
      <w:pPr>
        <w:jc w:val="both"/>
        <w:spacing w:after="0" w:line="318" w:lineRule="auto"/>
        <w:rPr>
          <w:sz w:val="20"/>
          <w:szCs w:val="20"/>
          <w:color w:val="auto"/>
        </w:rPr>
      </w:pPr>
      <w:r>
        <w:rPr>
          <w:rFonts w:ascii="Times New Roman" w:cs="Times New Roman" w:eastAsia="Times New Roman" w:hAnsi="Times New Roman"/>
          <w:sz w:val="21"/>
          <w:szCs w:val="21"/>
          <w:color w:val="auto"/>
        </w:rPr>
        <w:t>vegetación abundante. Entonces, las extremidades más largas en los lacertilios del presente estudio promueven velocidades de escape más rápidas. Aunque algunas especies tengan miembros más cortos o más largos, pueden tener mayor o menor longitud de pasos al desempeñarse, lo que modifica la velocidad de escape.</w:t>
      </w:r>
    </w:p>
    <w:p>
      <w:pPr>
        <w:jc w:val="both"/>
        <w:ind w:firstLine="360"/>
        <w:spacing w:after="0" w:line="333" w:lineRule="auto"/>
        <w:rPr>
          <w:sz w:val="20"/>
          <w:szCs w:val="20"/>
          <w:color w:val="auto"/>
        </w:rPr>
      </w:pPr>
      <w:r>
        <w:rPr>
          <w:rFonts w:ascii="Times New Roman" w:cs="Times New Roman" w:eastAsia="Times New Roman" w:hAnsi="Times New Roman"/>
          <w:sz w:val="20"/>
          <w:szCs w:val="20"/>
          <w:color w:val="auto"/>
        </w:rPr>
        <w:t xml:space="preserve">Diversos estudios han comparado la velocidad de escape entre especies abocándose a diferentes familias: Lacertidae (Vanhooydonck </w:t>
      </w:r>
      <w:r>
        <w:rPr>
          <w:rFonts w:ascii="Times New Roman" w:cs="Times New Roman" w:eastAsia="Times New Roman" w:hAnsi="Times New Roman"/>
          <w:sz w:val="20"/>
          <w:szCs w:val="20"/>
          <w:i w:val="1"/>
          <w:iCs w:val="1"/>
          <w:color w:val="auto"/>
        </w:rPr>
        <w:t>et al.,</w:t>
      </w:r>
      <w:r>
        <w:rPr>
          <w:rFonts w:ascii="Times New Roman" w:cs="Times New Roman" w:eastAsia="Times New Roman" w:hAnsi="Times New Roman"/>
          <w:sz w:val="20"/>
          <w:szCs w:val="20"/>
          <w:color w:val="auto"/>
        </w:rPr>
        <w:t xml:space="preserve"> 2002</w:t>
      </w:r>
      <w:r>
        <w:rPr>
          <w:rFonts w:ascii="Times New Roman" w:cs="Times New Roman" w:eastAsia="Times New Roman" w:hAnsi="Times New Roman"/>
          <w:sz w:val="20"/>
          <w:szCs w:val="20"/>
          <w:i w:val="1"/>
          <w:iCs w:val="1"/>
          <w:color w:val="auto"/>
        </w:rPr>
        <w:t>)</w:t>
      </w:r>
      <w:r>
        <w:rPr>
          <w:rFonts w:ascii="Times New Roman" w:cs="Times New Roman" w:eastAsia="Times New Roman" w:hAnsi="Times New Roman"/>
          <w:sz w:val="20"/>
          <w:szCs w:val="20"/>
          <w:color w:val="auto"/>
        </w:rPr>
        <w:t>, Phrynosomatidae (Bonine y Garland, 1999) y Crotafitus (Husak y Fox, 2006); no obstante, también se han considerado estudios de variación interespecífica en la velocidad y desempeño locomotor entre diferentes grupos taxonómicos (Van Damme y Vanhooydonck, 2001).</w:t>
      </w:r>
    </w:p>
    <w:p>
      <w:pPr>
        <w:spacing w:after="0" w:line="5"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La velocidad es considerada una variable relevante entre los lacertilios, dado que afecta la adecuación sobre los diferentes sucesos de escape, actividades de forrajeo, dominio social y conducta, además de estar relacionada con diferentes factores ecológicos, como clima, uso de hábitat, modo de forrajeo y patrones de actividad (Garland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1990; Vanhooydonck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2002). Con base en estudios previos, se puede inferir que no existe una inercia filogenética que modifique significativamente la velocidad de escape de las siete especies estudiadas y que tanto la variación morfológica de las especies como la estructura del hábitat son factores importantes que influyen en la velocidad de escape.</w:t>
      </w:r>
    </w:p>
    <w:p>
      <w:pPr>
        <w:spacing w:after="0" w:line="6" w:lineRule="exact"/>
        <w:rPr>
          <w:sz w:val="20"/>
          <w:szCs w:val="20"/>
          <w:color w:val="auto"/>
        </w:rPr>
      </w:pPr>
    </w:p>
    <w:p>
      <w:pPr>
        <w:jc w:val="both"/>
        <w:ind w:firstLine="360"/>
        <w:spacing w:after="0" w:line="309" w:lineRule="auto"/>
        <w:rPr>
          <w:sz w:val="20"/>
          <w:szCs w:val="20"/>
          <w:color w:val="auto"/>
        </w:rPr>
      </w:pPr>
      <w:r>
        <w:rPr>
          <w:rFonts w:ascii="Times New Roman" w:cs="Times New Roman" w:eastAsia="Times New Roman" w:hAnsi="Times New Roman"/>
          <w:sz w:val="22"/>
          <w:szCs w:val="22"/>
          <w:color w:val="auto"/>
        </w:rPr>
        <w:t>Futuros estudios deben tratar de comprender cómo intervienen otros factores morfológicos, fisiológicos, conductuales o mecánicos para explicar la variación en la velocidad de escape de las diferentes especies y relacionar la diversidad de variables ecológicas de la diferentes especies para comprender cómo actúa la selección natural sobre las mismas (Farley y Ko, 1997).</w:t>
      </w:r>
    </w:p>
    <w:p>
      <w:pPr>
        <w:spacing w:after="0" w:line="200" w:lineRule="exact"/>
        <w:rPr>
          <w:sz w:val="20"/>
          <w:szCs w:val="20"/>
          <w:color w:val="auto"/>
        </w:rPr>
      </w:pPr>
    </w:p>
    <w:p>
      <w:pPr>
        <w:spacing w:after="0" w:line="200" w:lineRule="exact"/>
        <w:rPr>
          <w:sz w:val="20"/>
          <w:szCs w:val="20"/>
          <w:color w:val="auto"/>
        </w:rPr>
      </w:pPr>
    </w:p>
    <w:p>
      <w:pPr>
        <w:spacing w:after="0" w:line="211"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Referencias</w:t>
      </w:r>
    </w:p>
    <w:p>
      <w:pPr>
        <w:spacing w:after="0" w:line="387" w:lineRule="exact"/>
        <w:rPr>
          <w:sz w:val="20"/>
          <w:szCs w:val="20"/>
          <w:color w:val="auto"/>
        </w:rPr>
      </w:pPr>
    </w:p>
    <w:p>
      <w:pPr>
        <w:jc w:val="both"/>
        <w:ind w:left="360" w:hanging="359"/>
        <w:spacing w:after="0" w:line="313" w:lineRule="auto"/>
        <w:rPr>
          <w:sz w:val="20"/>
          <w:szCs w:val="20"/>
          <w:color w:val="auto"/>
        </w:rPr>
      </w:pPr>
      <w:r>
        <w:rPr>
          <w:rFonts w:ascii="Times New Roman" w:cs="Times New Roman" w:eastAsia="Times New Roman" w:hAnsi="Times New Roman"/>
          <w:sz w:val="22"/>
          <w:szCs w:val="22"/>
          <w:color w:val="auto"/>
        </w:rPr>
        <w:t xml:space="preserve">Arnold, E. N. (1988), “Caudal anatomy as a defense”, en C. Gans y R. B. Huey (eds.), </w:t>
      </w:r>
      <w:r>
        <w:rPr>
          <w:rFonts w:ascii="Times New Roman" w:cs="Times New Roman" w:eastAsia="Times New Roman" w:hAnsi="Times New Roman"/>
          <w:sz w:val="22"/>
          <w:szCs w:val="22"/>
          <w:i w:val="1"/>
          <w:iCs w:val="1"/>
          <w:color w:val="auto"/>
        </w:rPr>
        <w:t>Biology of the Reptilia</w:t>
      </w:r>
      <w:r>
        <w:rPr>
          <w:rFonts w:ascii="Times New Roman" w:cs="Times New Roman" w:eastAsia="Times New Roman" w:hAnsi="Times New Roman"/>
          <w:sz w:val="22"/>
          <w:szCs w:val="22"/>
          <w:color w:val="auto"/>
        </w:rPr>
        <w:t>, vol. 16, Nueva York, pp. 236-275.</w:t>
      </w:r>
    </w:p>
    <w:p>
      <w:pPr>
        <w:jc w:val="both"/>
        <w:ind w:left="360" w:hanging="359"/>
        <w:spacing w:after="0" w:line="336" w:lineRule="auto"/>
        <w:rPr>
          <w:sz w:val="20"/>
          <w:szCs w:val="20"/>
          <w:color w:val="auto"/>
        </w:rPr>
      </w:pPr>
      <w:r>
        <w:rPr>
          <w:rFonts w:ascii="Times New Roman" w:cs="Times New Roman" w:eastAsia="Times New Roman" w:hAnsi="Times New Roman"/>
          <w:sz w:val="22"/>
          <w:szCs w:val="22"/>
          <w:color w:val="auto"/>
        </w:rPr>
        <w:t xml:space="preserve">Arnold, S. J. (1983), “Morphology, performance and fitness”, </w:t>
      </w:r>
      <w:r>
        <w:rPr>
          <w:rFonts w:ascii="Times New Roman" w:cs="Times New Roman" w:eastAsia="Times New Roman" w:hAnsi="Times New Roman"/>
          <w:sz w:val="22"/>
          <w:szCs w:val="22"/>
          <w:i w:val="1"/>
          <w:iCs w:val="1"/>
          <w:color w:val="auto"/>
        </w:rPr>
        <w:t>American Zoologist</w:t>
      </w:r>
      <w:r>
        <w:rPr>
          <w:rFonts w:ascii="Times New Roman" w:cs="Times New Roman" w:eastAsia="Times New Roman" w:hAnsi="Times New Roman"/>
          <w:sz w:val="22"/>
          <w:szCs w:val="22"/>
          <w:color w:val="auto"/>
        </w:rPr>
        <w:t>, 23, pp. 347-361.</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296"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78" w:name="page79"/>
    <w:bookmarkEnd w:id="78"/>
    <w:p>
      <w:pPr>
        <w:spacing w:after="0"/>
        <w:tabs>
          <w:tab w:leader="none" w:pos="1960" w:val="left"/>
          <w:tab w:leader="none" w:pos="3100" w:val="left"/>
          <w:tab w:leader="none" w:pos="4260" w:val="left"/>
        </w:tabs>
        <w:rPr>
          <w:sz w:val="20"/>
          <w:szCs w:val="20"/>
          <w:color w:val="auto"/>
        </w:rPr>
      </w:pPr>
      <w:r>
        <w:rPr>
          <w:rFonts w:ascii="Arial Narrow" w:cs="Arial Narrow" w:eastAsia="Arial Narrow" w:hAnsi="Arial Narrow"/>
          <w:sz w:val="16"/>
          <w:szCs w:val="16"/>
          <w:color w:val="auto"/>
        </w:rPr>
        <w:t>78</w:t>
      </w:r>
      <w:r>
        <w:rPr>
          <w:sz w:val="20"/>
          <w:szCs w:val="20"/>
          <w:color w:val="auto"/>
        </w:rPr>
        <w:tab/>
      </w: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1945640</wp:posOffset>
                </wp:positionH>
                <wp:positionV relativeFrom="paragraph">
                  <wp:posOffset>-76835</wp:posOffset>
                </wp:positionV>
                <wp:extent cx="0" cy="88900"/>
                <wp:wrapNone/>
                <wp:docPr id="172" name="Shape 17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72" o:spid="_x0000_s119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3.2pt,-6.0499pt" to="153.2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2689225</wp:posOffset>
                </wp:positionH>
                <wp:positionV relativeFrom="paragraph">
                  <wp:posOffset>-76835</wp:posOffset>
                </wp:positionV>
                <wp:extent cx="0" cy="88900"/>
                <wp:wrapNone/>
                <wp:docPr id="173" name="Shape 17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73" o:spid="_x0000_s119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1.75pt,-6.0499pt" to="211.75pt,0.95pt" o:allowincell="f" strokecolor="#000000" strokeweight="0.4pt"/>
            </w:pict>
          </mc:Fallback>
        </mc:AlternateContent>
      </w:r>
    </w:p>
    <w:p>
      <w:pPr>
        <w:spacing w:after="0" w:line="347"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Bauwens, D., T. Garland Jr., A. M. Castilla y R. van Damme (1995), “Evolution of sprint speed in lacertid lizards: morphological, physiological, and behavioral covariation”, </w:t>
      </w:r>
      <w:r>
        <w:rPr>
          <w:rFonts w:ascii="Times New Roman" w:cs="Times New Roman" w:eastAsia="Times New Roman" w:hAnsi="Times New Roman"/>
          <w:sz w:val="22"/>
          <w:szCs w:val="22"/>
          <w:i w:val="1"/>
          <w:iCs w:val="1"/>
          <w:color w:val="auto"/>
        </w:rPr>
        <w:t>Evolution</w:t>
      </w:r>
      <w:r>
        <w:rPr>
          <w:rFonts w:ascii="Times New Roman" w:cs="Times New Roman" w:eastAsia="Times New Roman" w:hAnsi="Times New Roman"/>
          <w:sz w:val="22"/>
          <w:szCs w:val="22"/>
          <w:color w:val="auto"/>
        </w:rPr>
        <w:t>, 5, pp. 848-863.</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Benabib, M., K. M. Kjer y J. W. Sites (1997), “Mitochondrial dna sequence based phylogeny and the evolution of viviparity in the </w:t>
      </w:r>
      <w:r>
        <w:rPr>
          <w:rFonts w:ascii="Times New Roman" w:cs="Times New Roman" w:eastAsia="Times New Roman" w:hAnsi="Times New Roman"/>
          <w:sz w:val="22"/>
          <w:szCs w:val="22"/>
          <w:i w:val="1"/>
          <w:iCs w:val="1"/>
          <w:color w:val="auto"/>
        </w:rPr>
        <w:t>Sceloporus scalaris</w:t>
      </w:r>
      <w:r>
        <w:rPr>
          <w:rFonts w:ascii="Times New Roman" w:cs="Times New Roman" w:eastAsia="Times New Roman" w:hAnsi="Times New Roman"/>
          <w:sz w:val="22"/>
          <w:szCs w:val="22"/>
          <w:color w:val="auto"/>
        </w:rPr>
        <w:t xml:space="preserve"> group (Reptilia, Squamata)”, </w:t>
      </w:r>
      <w:r>
        <w:rPr>
          <w:rFonts w:ascii="Times New Roman" w:cs="Times New Roman" w:eastAsia="Times New Roman" w:hAnsi="Times New Roman"/>
          <w:sz w:val="22"/>
          <w:szCs w:val="22"/>
          <w:i w:val="1"/>
          <w:iCs w:val="1"/>
          <w:color w:val="auto"/>
        </w:rPr>
        <w:t>Evolution,</w:t>
      </w:r>
      <w:r>
        <w:rPr>
          <w:rFonts w:ascii="Times New Roman" w:cs="Times New Roman" w:eastAsia="Times New Roman" w:hAnsi="Times New Roman"/>
          <w:sz w:val="22"/>
          <w:szCs w:val="22"/>
          <w:color w:val="auto"/>
        </w:rPr>
        <w:t xml:space="preserve"> 4, pp. 1262-1275.</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Bennett, A. F. y R. B. Huey (1990), “Studying the evolution of physiological performance”, </w:t>
      </w:r>
      <w:r>
        <w:rPr>
          <w:rFonts w:ascii="Times New Roman" w:cs="Times New Roman" w:eastAsia="Times New Roman" w:hAnsi="Times New Roman"/>
          <w:sz w:val="22"/>
          <w:szCs w:val="22"/>
          <w:i w:val="1"/>
          <w:iCs w:val="1"/>
          <w:color w:val="auto"/>
        </w:rPr>
        <w:t>Oxford Surveys in Evolutionary Biology</w:t>
      </w:r>
      <w:r>
        <w:rPr>
          <w:rFonts w:ascii="Times New Roman" w:cs="Times New Roman" w:eastAsia="Times New Roman" w:hAnsi="Times New Roman"/>
          <w:sz w:val="22"/>
          <w:szCs w:val="22"/>
          <w:color w:val="auto"/>
        </w:rPr>
        <w:t>, 7, pp. 251-284.</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Bonine, K. E. y T. Garland Jr. (1999), “Sprint performance of Phrynosomatid lizards, measured on a high-speed treadmill, correlates with hindlimb length”, </w:t>
      </w:r>
      <w:r>
        <w:rPr>
          <w:rFonts w:ascii="Times New Roman" w:cs="Times New Roman" w:eastAsia="Times New Roman" w:hAnsi="Times New Roman"/>
          <w:sz w:val="22"/>
          <w:szCs w:val="22"/>
          <w:i w:val="1"/>
          <w:iCs w:val="1"/>
          <w:color w:val="auto"/>
        </w:rPr>
        <w:t>Journal of</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Zoology</w:t>
      </w:r>
      <w:r>
        <w:rPr>
          <w:rFonts w:ascii="Times New Roman" w:cs="Times New Roman" w:eastAsia="Times New Roman" w:hAnsi="Times New Roman"/>
          <w:sz w:val="22"/>
          <w:szCs w:val="22"/>
          <w:color w:val="auto"/>
        </w:rPr>
        <w:t>, 2, pp. 255-265.</w:t>
      </w:r>
    </w:p>
    <w:p>
      <w:pPr>
        <w:spacing w:after="0" w:line="2" w:lineRule="exact"/>
        <w:rPr>
          <w:sz w:val="20"/>
          <w:szCs w:val="20"/>
          <w:color w:val="auto"/>
        </w:rPr>
      </w:pPr>
    </w:p>
    <w:p>
      <w:pPr>
        <w:jc w:val="both"/>
        <w:ind w:left="360" w:hanging="359"/>
        <w:spacing w:after="0" w:line="318" w:lineRule="auto"/>
        <w:rPr>
          <w:sz w:val="20"/>
          <w:szCs w:val="20"/>
          <w:color w:val="auto"/>
        </w:rPr>
      </w:pPr>
      <w:r>
        <w:rPr>
          <w:rFonts w:ascii="Times New Roman" w:cs="Times New Roman" w:eastAsia="Times New Roman" w:hAnsi="Times New Roman"/>
          <w:sz w:val="21"/>
          <w:szCs w:val="21"/>
          <w:color w:val="auto"/>
        </w:rPr>
        <w:t xml:space="preserve">Carothers, J. H. (1986), “An experimental confirmation of morphological adaptation: toe fringes in the sand-dwelling lizard </w:t>
      </w:r>
      <w:r>
        <w:rPr>
          <w:rFonts w:ascii="Times New Roman" w:cs="Times New Roman" w:eastAsia="Times New Roman" w:hAnsi="Times New Roman"/>
          <w:sz w:val="21"/>
          <w:szCs w:val="21"/>
          <w:i w:val="1"/>
          <w:iCs w:val="1"/>
          <w:color w:val="auto"/>
        </w:rPr>
        <w:t>Uma scoparia</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Evolution</w:t>
      </w:r>
      <w:r>
        <w:rPr>
          <w:rFonts w:ascii="Times New Roman" w:cs="Times New Roman" w:eastAsia="Times New Roman" w:hAnsi="Times New Roman"/>
          <w:sz w:val="21"/>
          <w:szCs w:val="21"/>
          <w:color w:val="auto"/>
        </w:rPr>
        <w:t>, 4, pp. 871-874.</w:t>
      </w:r>
    </w:p>
    <w:p>
      <w:pPr>
        <w:jc w:val="both"/>
        <w:ind w:left="360" w:hanging="359"/>
        <w:spacing w:after="0" w:line="333" w:lineRule="auto"/>
        <w:rPr>
          <w:sz w:val="20"/>
          <w:szCs w:val="20"/>
          <w:color w:val="auto"/>
        </w:rPr>
      </w:pPr>
      <w:r>
        <w:rPr>
          <w:rFonts w:ascii="Times New Roman" w:cs="Times New Roman" w:eastAsia="Times New Roman" w:hAnsi="Times New Roman"/>
          <w:sz w:val="20"/>
          <w:szCs w:val="20"/>
          <w:color w:val="auto"/>
        </w:rPr>
        <w:t>Cepanaf (Comisión Estatal de Parques Naturales y de la Fauna) (2007), http://www. edomexico.gob.mx/cepanaf/htm/morelos.htm, consultado el 13 de enero de 2010.</w:t>
      </w:r>
    </w:p>
    <w:p>
      <w:pPr>
        <w:spacing w:after="0" w:line="2" w:lineRule="exact"/>
        <w:rPr>
          <w:sz w:val="20"/>
          <w:szCs w:val="20"/>
          <w:color w:val="auto"/>
        </w:rPr>
      </w:pPr>
    </w:p>
    <w:p>
      <w:pPr>
        <w:spacing w:after="0" w:line="318" w:lineRule="auto"/>
        <w:rPr>
          <w:sz w:val="20"/>
          <w:szCs w:val="20"/>
          <w:color w:val="auto"/>
        </w:rPr>
      </w:pPr>
      <w:r>
        <w:rPr>
          <w:rFonts w:ascii="Times New Roman" w:cs="Times New Roman" w:eastAsia="Times New Roman" w:hAnsi="Times New Roman"/>
          <w:sz w:val="21"/>
          <w:szCs w:val="21"/>
          <w:color w:val="auto"/>
        </w:rPr>
        <w:t xml:space="preserve">Cepanaf (2009), Programa operativo del Parque Sierra Morelos, Ficha técnica núm. 1. Cogger, H. G. (2000), </w:t>
      </w:r>
      <w:r>
        <w:rPr>
          <w:rFonts w:ascii="Times New Roman" w:cs="Times New Roman" w:eastAsia="Times New Roman" w:hAnsi="Times New Roman"/>
          <w:sz w:val="21"/>
          <w:szCs w:val="21"/>
          <w:i w:val="1"/>
          <w:iCs w:val="1"/>
          <w:color w:val="auto"/>
        </w:rPr>
        <w:t>Reptiles and amphibians of Australia</w:t>
      </w:r>
      <w:r>
        <w:rPr>
          <w:rFonts w:ascii="Times New Roman" w:cs="Times New Roman" w:eastAsia="Times New Roman" w:hAnsi="Times New Roman"/>
          <w:sz w:val="21"/>
          <w:szCs w:val="21"/>
          <w:color w:val="auto"/>
        </w:rPr>
        <w:t>, Sydney, Reed Books. Farley, C. T. y T. C. Ko (1997), “External mechanical power output in lizard</w:t>
      </w:r>
    </w:p>
    <w:p>
      <w:pPr>
        <w:ind w:left="360"/>
        <w:spacing w:after="0"/>
        <w:rPr>
          <w:sz w:val="20"/>
          <w:szCs w:val="20"/>
          <w:color w:val="auto"/>
        </w:rPr>
      </w:pPr>
      <w:r>
        <w:rPr>
          <w:rFonts w:ascii="Times New Roman" w:cs="Times New Roman" w:eastAsia="Times New Roman" w:hAnsi="Times New Roman"/>
          <w:sz w:val="22"/>
          <w:szCs w:val="22"/>
          <w:color w:val="auto"/>
        </w:rPr>
        <w:t xml:space="preserve">locomotion”, </w:t>
      </w:r>
      <w:r>
        <w:rPr>
          <w:rFonts w:ascii="Times New Roman" w:cs="Times New Roman" w:eastAsia="Times New Roman" w:hAnsi="Times New Roman"/>
          <w:sz w:val="22"/>
          <w:szCs w:val="22"/>
          <w:i w:val="1"/>
          <w:iCs w:val="1"/>
          <w:color w:val="auto"/>
        </w:rPr>
        <w:t>Journal of Experimental Biology,</w:t>
      </w:r>
      <w:r>
        <w:rPr>
          <w:rFonts w:ascii="Times New Roman" w:cs="Times New Roman" w:eastAsia="Times New Roman" w:hAnsi="Times New Roman"/>
          <w:sz w:val="22"/>
          <w:szCs w:val="22"/>
          <w:color w:val="auto"/>
        </w:rPr>
        <w:t xml:space="preserve"> 200, pp. 2177-2188.</w:t>
      </w:r>
    </w:p>
    <w:p>
      <w:pPr>
        <w:spacing w:after="0" w:line="67" w:lineRule="exact"/>
        <w:rPr>
          <w:sz w:val="20"/>
          <w:szCs w:val="20"/>
          <w:color w:val="auto"/>
        </w:rPr>
      </w:pPr>
    </w:p>
    <w:p>
      <w:pPr>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García, E. (1981), </w:t>
      </w:r>
      <w:r>
        <w:rPr>
          <w:rFonts w:ascii="Times New Roman" w:cs="Times New Roman" w:eastAsia="Times New Roman" w:hAnsi="Times New Roman"/>
          <w:sz w:val="22"/>
          <w:szCs w:val="22"/>
          <w:i w:val="1"/>
          <w:iCs w:val="1"/>
          <w:color w:val="auto"/>
        </w:rPr>
        <w:t>Modificaciones al sistema de clasificación climática de Köeppen</w:t>
      </w:r>
      <w:r>
        <w:rPr>
          <w:rFonts w:ascii="Times New Roman" w:cs="Times New Roman" w:eastAsia="Times New Roman" w:hAnsi="Times New Roman"/>
          <w:sz w:val="22"/>
          <w:szCs w:val="22"/>
          <w:color w:val="auto"/>
        </w:rPr>
        <w:t>, Offset Larios, México.</w:t>
      </w:r>
    </w:p>
    <w:p>
      <w:pPr>
        <w:spacing w:after="0" w:line="1" w:lineRule="exact"/>
        <w:rPr>
          <w:sz w:val="20"/>
          <w:szCs w:val="20"/>
          <w:color w:val="auto"/>
        </w:rPr>
      </w:pPr>
    </w:p>
    <w:p>
      <w:pPr>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Garland Jr., T. (1999), “Laboratory endurance capacity predicts variation in field locomotor behavior among lizards species”, </w:t>
      </w:r>
      <w:r>
        <w:rPr>
          <w:rFonts w:ascii="Times New Roman" w:cs="Times New Roman" w:eastAsia="Times New Roman" w:hAnsi="Times New Roman"/>
          <w:sz w:val="22"/>
          <w:szCs w:val="22"/>
          <w:i w:val="1"/>
          <w:iCs w:val="1"/>
          <w:color w:val="auto"/>
        </w:rPr>
        <w:t>Animal Behavior</w:t>
      </w:r>
      <w:r>
        <w:rPr>
          <w:rFonts w:ascii="Times New Roman" w:cs="Times New Roman" w:eastAsia="Times New Roman" w:hAnsi="Times New Roman"/>
          <w:sz w:val="22"/>
          <w:szCs w:val="22"/>
          <w:color w:val="auto"/>
        </w:rPr>
        <w:t>, 58, pp. 77-83.</w:t>
      </w:r>
    </w:p>
    <w:p>
      <w:pPr>
        <w:spacing w:after="0" w:line="1" w:lineRule="exact"/>
        <w:rPr>
          <w:sz w:val="20"/>
          <w:szCs w:val="20"/>
          <w:color w:val="auto"/>
        </w:rPr>
      </w:pPr>
    </w:p>
    <w:p>
      <w:pPr>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Garland Jr., T., E. Hankins y R. B. Huey (1990), “Locomotor capacity and social dominance in male lizard”, </w:t>
      </w:r>
      <w:r>
        <w:rPr>
          <w:rFonts w:ascii="Times New Roman" w:cs="Times New Roman" w:eastAsia="Times New Roman" w:hAnsi="Times New Roman"/>
          <w:sz w:val="22"/>
          <w:szCs w:val="22"/>
          <w:i w:val="1"/>
          <w:iCs w:val="1"/>
          <w:color w:val="auto"/>
        </w:rPr>
        <w:t>Functional Ecology</w:t>
      </w:r>
      <w:r>
        <w:rPr>
          <w:rFonts w:ascii="Times New Roman" w:cs="Times New Roman" w:eastAsia="Times New Roman" w:hAnsi="Times New Roman"/>
          <w:sz w:val="22"/>
          <w:szCs w:val="22"/>
          <w:color w:val="auto"/>
        </w:rPr>
        <w:t>, 4, pp. 243-250.</w:t>
      </w:r>
    </w:p>
    <w:p>
      <w:pPr>
        <w:spacing w:after="0" w:line="1" w:lineRule="exact"/>
        <w:rPr>
          <w:sz w:val="20"/>
          <w:szCs w:val="20"/>
          <w:color w:val="auto"/>
        </w:rPr>
      </w:pPr>
    </w:p>
    <w:p>
      <w:pPr>
        <w:ind w:left="360" w:hanging="359"/>
        <w:spacing w:after="0" w:line="318" w:lineRule="auto"/>
        <w:rPr>
          <w:sz w:val="20"/>
          <w:szCs w:val="20"/>
          <w:color w:val="auto"/>
        </w:rPr>
      </w:pPr>
      <w:r>
        <w:rPr>
          <w:rFonts w:ascii="Times New Roman" w:cs="Times New Roman" w:eastAsia="Times New Roman" w:hAnsi="Times New Roman"/>
          <w:sz w:val="21"/>
          <w:szCs w:val="21"/>
          <w:color w:val="auto"/>
        </w:rPr>
        <w:t xml:space="preserve">Garland Jr., T. y C. M. Janis (1993), “Does metatarsal/femur ratio predict maximal running speed in cursorial mammals?”, </w:t>
      </w:r>
      <w:r>
        <w:rPr>
          <w:rFonts w:ascii="Times New Roman" w:cs="Times New Roman" w:eastAsia="Times New Roman" w:hAnsi="Times New Roman"/>
          <w:sz w:val="21"/>
          <w:szCs w:val="21"/>
          <w:i w:val="1"/>
          <w:iCs w:val="1"/>
          <w:color w:val="auto"/>
        </w:rPr>
        <w:t>Journal of Zoology</w:t>
      </w:r>
      <w:r>
        <w:rPr>
          <w:rFonts w:ascii="Times New Roman" w:cs="Times New Roman" w:eastAsia="Times New Roman" w:hAnsi="Times New Roman"/>
          <w:sz w:val="21"/>
          <w:szCs w:val="21"/>
          <w:color w:val="auto"/>
        </w:rPr>
        <w:t>, 229, pp. 133-151.</w:t>
      </w:r>
    </w:p>
    <w:p>
      <w:pPr>
        <w:ind w:left="360" w:hanging="359"/>
        <w:spacing w:after="0" w:line="318" w:lineRule="auto"/>
        <w:rPr>
          <w:sz w:val="20"/>
          <w:szCs w:val="20"/>
          <w:color w:val="auto"/>
        </w:rPr>
      </w:pPr>
      <w:r>
        <w:rPr>
          <w:rFonts w:ascii="Times New Roman" w:cs="Times New Roman" w:eastAsia="Times New Roman" w:hAnsi="Times New Roman"/>
          <w:sz w:val="21"/>
          <w:szCs w:val="21"/>
          <w:color w:val="auto"/>
        </w:rPr>
        <w:t>Garland Jr., T. y J. B. Losos (1994), “Ecological morphology of locomotor performance in squamate reptiles”, en Peter C. Wainwrigth y Stephen M. Reylli,</w:t>
      </w:r>
    </w:p>
    <w:p>
      <w:pPr>
        <w:ind w:left="360"/>
        <w:spacing w:after="0" w:line="327" w:lineRule="auto"/>
        <w:rPr>
          <w:sz w:val="20"/>
          <w:szCs w:val="20"/>
          <w:color w:val="auto"/>
        </w:rPr>
      </w:pPr>
      <w:r>
        <w:rPr>
          <w:rFonts w:ascii="Times New Roman" w:cs="Times New Roman" w:eastAsia="Times New Roman" w:hAnsi="Times New Roman"/>
          <w:sz w:val="22"/>
          <w:szCs w:val="22"/>
          <w:i w:val="1"/>
          <w:iCs w:val="1"/>
          <w:color w:val="auto"/>
        </w:rPr>
        <w:t>Ecological morphology: integrative organismal biology</w:t>
      </w:r>
      <w:r>
        <w:rPr>
          <w:rFonts w:ascii="Times New Roman" w:cs="Times New Roman" w:eastAsia="Times New Roman" w:hAnsi="Times New Roman"/>
          <w:sz w:val="22"/>
          <w:szCs w:val="22"/>
          <w:color w:val="auto"/>
        </w:rPr>
        <w:t>, Universidad de Chicago,</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pp. 240-302.</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35"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74" name="Shape 17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74" o:spid="_x0000_s119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75" name="Shape 17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75" o:spid="_x0000_s120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76" name="Shape 17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76" o:spid="_x0000_s120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79" w:name="page80"/>
    <w:bookmarkEnd w:id="79"/>
    <w:p>
      <w:pPr>
        <w:ind w:left="720"/>
        <w:spacing w:after="0"/>
        <w:tabs>
          <w:tab w:leader="dot" w:pos="6660" w:val="left"/>
        </w:tabs>
        <w:rPr>
          <w:sz w:val="20"/>
          <w:szCs w:val="20"/>
          <w:color w:val="auto"/>
        </w:rPr>
      </w:pPr>
      <w:r>
        <w:rPr>
          <w:rFonts w:ascii="Arial Narrow" w:cs="Arial Narrow" w:eastAsia="Arial Narrow" w:hAnsi="Arial Narrow"/>
          <w:sz w:val="11"/>
          <w:szCs w:val="11"/>
          <w:color w:val="auto"/>
        </w:rPr>
        <w:t>morfología corporal y comparación de la velocidad de escape en algunas especies</w:t>
      </w:r>
      <w:r>
        <w:rPr>
          <w:sz w:val="20"/>
          <w:szCs w:val="20"/>
          <w:color w:val="auto"/>
        </w:rPr>
        <w:tab/>
      </w:r>
      <w:r>
        <w:rPr>
          <w:rFonts w:ascii="Arial Narrow" w:cs="Arial Narrow" w:eastAsia="Arial Narrow" w:hAnsi="Arial Narrow"/>
          <w:sz w:val="16"/>
          <w:szCs w:val="16"/>
          <w:color w:val="auto"/>
        </w:rPr>
        <w:t>79</w:t>
      </w:r>
    </w:p>
    <w:p>
      <w:pPr>
        <w:spacing w:after="0" w:line="200" w:lineRule="exact"/>
        <w:rPr>
          <w:sz w:val="20"/>
          <w:szCs w:val="20"/>
          <w:color w:val="auto"/>
        </w:rPr>
      </w:pPr>
    </w:p>
    <w:p>
      <w:pPr>
        <w:spacing w:after="0" w:line="349"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Goodman, B. A. (2006), “Costs of reproduction in a topical invariant-clutch producing lizard (</w:t>
      </w:r>
      <w:r>
        <w:rPr>
          <w:rFonts w:ascii="Times New Roman" w:cs="Times New Roman" w:eastAsia="Times New Roman" w:hAnsi="Times New Roman"/>
          <w:sz w:val="22"/>
          <w:szCs w:val="22"/>
          <w:i w:val="1"/>
          <w:iCs w:val="1"/>
          <w:color w:val="auto"/>
        </w:rPr>
        <w:t>Carlia rubrigularis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Journal of Zoology</w:t>
      </w:r>
      <w:r>
        <w:rPr>
          <w:rFonts w:ascii="Times New Roman" w:cs="Times New Roman" w:eastAsia="Times New Roman" w:hAnsi="Times New Roman"/>
          <w:sz w:val="22"/>
          <w:szCs w:val="22"/>
          <w:color w:val="auto"/>
        </w:rPr>
        <w:t>, 2, pp. 236-243.</w:t>
      </w:r>
    </w:p>
    <w:p>
      <w:pPr>
        <w:spacing w:after="0" w:line="1"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Greene, H. W. (1988), “Antidepredator mechanisms in reptiles”, en C. Gans y R. B. Huey (eds.), </w:t>
      </w:r>
      <w:r>
        <w:rPr>
          <w:rFonts w:ascii="Times New Roman" w:cs="Times New Roman" w:eastAsia="Times New Roman" w:hAnsi="Times New Roman"/>
          <w:sz w:val="22"/>
          <w:szCs w:val="22"/>
          <w:i w:val="1"/>
          <w:iCs w:val="1"/>
          <w:color w:val="auto"/>
        </w:rPr>
        <w:t>Biology of the Reptilia</w:t>
      </w:r>
      <w:r>
        <w:rPr>
          <w:rFonts w:ascii="Times New Roman" w:cs="Times New Roman" w:eastAsia="Times New Roman" w:hAnsi="Times New Roman"/>
          <w:sz w:val="22"/>
          <w:szCs w:val="22"/>
          <w:color w:val="auto"/>
        </w:rPr>
        <w:t>, vol. 16, Nueva York, pp. 1-152.</w:t>
      </w:r>
    </w:p>
    <w:p>
      <w:pPr>
        <w:spacing w:after="0" w:line="1"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Huey, R. B., A. E. Dunham, K. L. Overall y R. A. Newman (1990), “Variation in locomotor performance in demographically known populations of the lizard</w:t>
      </w:r>
    </w:p>
    <w:p>
      <w:pPr>
        <w:spacing w:after="0" w:line="1"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Sceloporus merriami</w:t>
      </w:r>
      <w:r>
        <w:rPr>
          <w:rFonts w:ascii="Times New Roman" w:cs="Times New Roman" w:eastAsia="Times New Roman" w:hAnsi="Times New Roman"/>
          <w:sz w:val="22"/>
          <w:szCs w:val="22"/>
          <w:color w:val="auto"/>
        </w:rPr>
        <w:t>”,</w:t>
      </w:r>
      <w:r>
        <w:rPr>
          <w:rFonts w:ascii="Times New Roman" w:cs="Times New Roman" w:eastAsia="Times New Roman" w:hAnsi="Times New Roman"/>
          <w:sz w:val="22"/>
          <w:szCs w:val="22"/>
          <w:i w:val="1"/>
          <w:iCs w:val="1"/>
          <w:color w:val="auto"/>
        </w:rPr>
        <w:t xml:space="preserve"> Physiological Zoology</w:t>
      </w:r>
      <w:r>
        <w:rPr>
          <w:rFonts w:ascii="Times New Roman" w:cs="Times New Roman" w:eastAsia="Times New Roman" w:hAnsi="Times New Roman"/>
          <w:sz w:val="22"/>
          <w:szCs w:val="22"/>
          <w:color w:val="auto"/>
        </w:rPr>
        <w:t>, 5, pp. 845-872.</w:t>
      </w:r>
    </w:p>
    <w:p>
      <w:pPr>
        <w:spacing w:after="0" w:line="67" w:lineRule="exact"/>
        <w:rPr>
          <w:sz w:val="20"/>
          <w:szCs w:val="20"/>
          <w:color w:val="auto"/>
        </w:rPr>
      </w:pPr>
    </w:p>
    <w:p>
      <w:pPr>
        <w:jc w:val="both"/>
        <w:ind w:hanging="359"/>
        <w:spacing w:after="0" w:line="333" w:lineRule="auto"/>
        <w:rPr>
          <w:sz w:val="20"/>
          <w:szCs w:val="20"/>
          <w:color w:val="auto"/>
        </w:rPr>
      </w:pPr>
      <w:r>
        <w:rPr>
          <w:rFonts w:ascii="Times New Roman" w:cs="Times New Roman" w:eastAsia="Times New Roman" w:hAnsi="Times New Roman"/>
          <w:sz w:val="20"/>
          <w:szCs w:val="20"/>
          <w:color w:val="auto"/>
        </w:rPr>
        <w:t>Huey, R. B. y P. E. Hertz (1982), “Effects of body size and slope on sprint speed of a lizard (</w:t>
      </w:r>
      <w:r>
        <w:rPr>
          <w:rFonts w:ascii="Times New Roman" w:cs="Times New Roman" w:eastAsia="Times New Roman" w:hAnsi="Times New Roman"/>
          <w:sz w:val="20"/>
          <w:szCs w:val="20"/>
          <w:i w:val="1"/>
          <w:iCs w:val="1"/>
          <w:color w:val="auto"/>
        </w:rPr>
        <w:t>Stellio (Agama) stellio</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Journal of Experimental Biology,</w:t>
      </w:r>
      <w:r>
        <w:rPr>
          <w:rFonts w:ascii="Times New Roman" w:cs="Times New Roman" w:eastAsia="Times New Roman" w:hAnsi="Times New Roman"/>
          <w:sz w:val="20"/>
          <w:szCs w:val="20"/>
          <w:color w:val="auto"/>
        </w:rPr>
        <w:t xml:space="preserve"> 97, pp. 401-409.</w:t>
      </w:r>
    </w:p>
    <w:p>
      <w:pPr>
        <w:spacing w:after="0" w:line="2" w:lineRule="exact"/>
        <w:rPr>
          <w:sz w:val="20"/>
          <w:szCs w:val="20"/>
          <w:color w:val="auto"/>
        </w:rPr>
      </w:pPr>
    </w:p>
    <w:p>
      <w:pPr>
        <w:jc w:val="both"/>
        <w:ind w:hanging="359"/>
        <w:spacing w:after="0" w:line="318" w:lineRule="auto"/>
        <w:rPr>
          <w:sz w:val="20"/>
          <w:szCs w:val="20"/>
          <w:color w:val="auto"/>
        </w:rPr>
      </w:pPr>
      <w:r>
        <w:rPr>
          <w:rFonts w:ascii="Times New Roman" w:cs="Times New Roman" w:eastAsia="Times New Roman" w:hAnsi="Times New Roman"/>
          <w:sz w:val="21"/>
          <w:szCs w:val="21"/>
          <w:color w:val="auto"/>
        </w:rPr>
        <w:t>Huey, R. B. y P. E. Hertz (1984), “Effects of body size and slope on acceleration of a lizard (</w:t>
      </w:r>
      <w:r>
        <w:rPr>
          <w:rFonts w:ascii="Times New Roman" w:cs="Times New Roman" w:eastAsia="Times New Roman" w:hAnsi="Times New Roman"/>
          <w:sz w:val="21"/>
          <w:szCs w:val="21"/>
          <w:i w:val="1"/>
          <w:iCs w:val="1"/>
          <w:color w:val="auto"/>
        </w:rPr>
        <w:t>Stellio stellio</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Journal of Experimental Biology,</w:t>
      </w:r>
      <w:r>
        <w:rPr>
          <w:rFonts w:ascii="Times New Roman" w:cs="Times New Roman" w:eastAsia="Times New Roman" w:hAnsi="Times New Roman"/>
          <w:sz w:val="21"/>
          <w:szCs w:val="21"/>
          <w:color w:val="auto"/>
        </w:rPr>
        <w:t xml:space="preserve"> 110, pp. 113-123.</w:t>
      </w:r>
    </w:p>
    <w:p>
      <w:pPr>
        <w:jc w:val="both"/>
        <w:ind w:hanging="359"/>
        <w:spacing w:after="0" w:line="318" w:lineRule="auto"/>
        <w:rPr>
          <w:sz w:val="20"/>
          <w:szCs w:val="20"/>
          <w:color w:val="auto"/>
        </w:rPr>
      </w:pPr>
      <w:r>
        <w:rPr>
          <w:rFonts w:ascii="Times New Roman" w:cs="Times New Roman" w:eastAsia="Times New Roman" w:hAnsi="Times New Roman"/>
          <w:sz w:val="21"/>
          <w:szCs w:val="21"/>
          <w:color w:val="auto"/>
        </w:rPr>
        <w:t xml:space="preserve">Huey, R. B. y R. D. Stevenson (1979), “Integrating thermal physiology and ecology of ectotherms: a discussion of approaches”, </w:t>
      </w:r>
      <w:r>
        <w:rPr>
          <w:rFonts w:ascii="Times New Roman" w:cs="Times New Roman" w:eastAsia="Times New Roman" w:hAnsi="Times New Roman"/>
          <w:sz w:val="21"/>
          <w:szCs w:val="21"/>
          <w:i w:val="1"/>
          <w:iCs w:val="1"/>
          <w:color w:val="auto"/>
        </w:rPr>
        <w:t>American Zoology</w:t>
      </w:r>
      <w:r>
        <w:rPr>
          <w:rFonts w:ascii="Times New Roman" w:cs="Times New Roman" w:eastAsia="Times New Roman" w:hAnsi="Times New Roman"/>
          <w:sz w:val="21"/>
          <w:szCs w:val="21"/>
          <w:color w:val="auto"/>
        </w:rPr>
        <w:t>, 1, pp. 357-366.</w:t>
      </w: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Husak, J. F. (2006), “Do female collared lizard change field use of maximal sprint speed capacity when gravid?”, </w:t>
      </w:r>
      <w:r>
        <w:rPr>
          <w:rFonts w:ascii="Times New Roman" w:cs="Times New Roman" w:eastAsia="Times New Roman" w:hAnsi="Times New Roman"/>
          <w:sz w:val="22"/>
          <w:szCs w:val="22"/>
          <w:i w:val="1"/>
          <w:iCs w:val="1"/>
          <w:color w:val="auto"/>
        </w:rPr>
        <w:t>Oecologia</w:t>
      </w:r>
      <w:r>
        <w:rPr>
          <w:rFonts w:ascii="Times New Roman" w:cs="Times New Roman" w:eastAsia="Times New Roman" w:hAnsi="Times New Roman"/>
          <w:sz w:val="22"/>
          <w:szCs w:val="22"/>
          <w:color w:val="auto"/>
        </w:rPr>
        <w:t>, 2, pp. 339-343.</w:t>
      </w:r>
    </w:p>
    <w:p>
      <w:pPr>
        <w:spacing w:after="0" w:line="1" w:lineRule="exact"/>
        <w:rPr>
          <w:sz w:val="20"/>
          <w:szCs w:val="20"/>
          <w:color w:val="auto"/>
        </w:rPr>
      </w:pPr>
    </w:p>
    <w:p>
      <w:pPr>
        <w:jc w:val="both"/>
        <w:ind w:hanging="359"/>
        <w:spacing w:after="0" w:line="351" w:lineRule="auto"/>
        <w:rPr>
          <w:sz w:val="20"/>
          <w:szCs w:val="20"/>
          <w:color w:val="auto"/>
        </w:rPr>
      </w:pPr>
      <w:r>
        <w:rPr>
          <w:rFonts w:ascii="Times New Roman" w:cs="Times New Roman" w:eastAsia="Times New Roman" w:hAnsi="Times New Roman"/>
          <w:sz w:val="19"/>
          <w:szCs w:val="19"/>
          <w:color w:val="auto"/>
        </w:rPr>
        <w:t xml:space="preserve">Husak, J. F. y S. F. Fox (2003), “Adult male collared lizards, </w:t>
      </w:r>
      <w:r>
        <w:rPr>
          <w:rFonts w:ascii="Times New Roman" w:cs="Times New Roman" w:eastAsia="Times New Roman" w:hAnsi="Times New Roman"/>
          <w:sz w:val="19"/>
          <w:szCs w:val="19"/>
          <w:i w:val="1"/>
          <w:iCs w:val="1"/>
          <w:color w:val="auto"/>
        </w:rPr>
        <w:t>Crotaphytus collaris</w:t>
      </w:r>
      <w:r>
        <w:rPr>
          <w:rFonts w:ascii="Times New Roman" w:cs="Times New Roman" w:eastAsia="Times New Roman" w:hAnsi="Times New Roman"/>
          <w:sz w:val="19"/>
          <w:szCs w:val="19"/>
          <w:color w:val="auto"/>
        </w:rPr>
        <w:t xml:space="preserve">, increase aggression towards displaced neighbours”, </w:t>
      </w:r>
      <w:r>
        <w:rPr>
          <w:rFonts w:ascii="Times New Roman" w:cs="Times New Roman" w:eastAsia="Times New Roman" w:hAnsi="Times New Roman"/>
          <w:sz w:val="19"/>
          <w:szCs w:val="19"/>
          <w:i w:val="1"/>
          <w:iCs w:val="1"/>
          <w:color w:val="auto"/>
        </w:rPr>
        <w:t>Animal Behaviour</w:t>
      </w:r>
      <w:r>
        <w:rPr>
          <w:rFonts w:ascii="Times New Roman" w:cs="Times New Roman" w:eastAsia="Times New Roman" w:hAnsi="Times New Roman"/>
          <w:sz w:val="19"/>
          <w:szCs w:val="19"/>
          <w:color w:val="auto"/>
        </w:rPr>
        <w:t>, 2, pp. 391-396.</w:t>
      </w:r>
    </w:p>
    <w:p>
      <w:pPr>
        <w:spacing w:after="0" w:line="1"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Husak, J. F. y M. N. Rouse (2006), “Population variation in escape behavior and limb morphology of collared lizards (</w:t>
      </w:r>
      <w:r>
        <w:rPr>
          <w:rFonts w:ascii="Times New Roman" w:cs="Times New Roman" w:eastAsia="Times New Roman" w:hAnsi="Times New Roman"/>
          <w:sz w:val="22"/>
          <w:szCs w:val="22"/>
          <w:i w:val="1"/>
          <w:iCs w:val="1"/>
          <w:color w:val="auto"/>
        </w:rPr>
        <w:t>Crotophytus collaris</w:t>
      </w:r>
      <w:r>
        <w:rPr>
          <w:rFonts w:ascii="Times New Roman" w:cs="Times New Roman" w:eastAsia="Times New Roman" w:hAnsi="Times New Roman"/>
          <w:sz w:val="22"/>
          <w:szCs w:val="22"/>
          <w:color w:val="auto"/>
        </w:rPr>
        <w:t xml:space="preserve">) in Oklahoma”, </w:t>
      </w:r>
      <w:r>
        <w:rPr>
          <w:rFonts w:ascii="Times New Roman" w:cs="Times New Roman" w:eastAsia="Times New Roman" w:hAnsi="Times New Roman"/>
          <w:sz w:val="22"/>
          <w:szCs w:val="22"/>
          <w:i w:val="1"/>
          <w:iCs w:val="1"/>
          <w:color w:val="auto"/>
        </w:rPr>
        <w:t>Herpetologica</w:t>
      </w:r>
      <w:r>
        <w:rPr>
          <w:rFonts w:ascii="Times New Roman" w:cs="Times New Roman" w:eastAsia="Times New Roman" w:hAnsi="Times New Roman"/>
          <w:sz w:val="22"/>
          <w:szCs w:val="22"/>
          <w:color w:val="auto"/>
        </w:rPr>
        <w:t>, 62, pp. 152-163.</w:t>
      </w:r>
    </w:p>
    <w:p>
      <w:pPr>
        <w:spacing w:after="0" w:line="2" w:lineRule="exact"/>
        <w:rPr>
          <w:sz w:val="20"/>
          <w:szCs w:val="20"/>
          <w:color w:val="auto"/>
        </w:rPr>
      </w:pPr>
    </w:p>
    <w:p>
      <w:pPr>
        <w:jc w:val="both"/>
        <w:ind w:hanging="359"/>
        <w:spacing w:after="0" w:line="318" w:lineRule="auto"/>
        <w:rPr>
          <w:sz w:val="20"/>
          <w:szCs w:val="20"/>
          <w:color w:val="auto"/>
        </w:rPr>
      </w:pPr>
      <w:r>
        <w:rPr>
          <w:rFonts w:ascii="Times New Roman" w:cs="Times New Roman" w:eastAsia="Times New Roman" w:hAnsi="Times New Roman"/>
          <w:sz w:val="21"/>
          <w:szCs w:val="21"/>
          <w:color w:val="auto"/>
        </w:rPr>
        <w:t xml:space="preserve">Inafed (Instituto Nacional para el Federalismo y el Desarrollo Municipal)/Gobierno del Estado de Hidalgo (2005), “Estado de Hidalgo”, en </w:t>
      </w:r>
      <w:r>
        <w:rPr>
          <w:rFonts w:ascii="Times New Roman" w:cs="Times New Roman" w:eastAsia="Times New Roman" w:hAnsi="Times New Roman"/>
          <w:sz w:val="21"/>
          <w:szCs w:val="21"/>
          <w:i w:val="1"/>
          <w:iCs w:val="1"/>
          <w:color w:val="auto"/>
        </w:rPr>
        <w:t>Enciclopedia de los</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Municipios de México</w:t>
      </w:r>
      <w:r>
        <w:rPr>
          <w:rFonts w:ascii="Times New Roman" w:cs="Times New Roman" w:eastAsia="Times New Roman" w:hAnsi="Times New Roman"/>
          <w:sz w:val="21"/>
          <w:szCs w:val="21"/>
          <w:color w:val="auto"/>
        </w:rPr>
        <w:t>, www.e_local.gob.mx/work/template/enciclo/hidalgo/</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municipios/13030a.htm, consultado el 29 de octubre de 2009.</w:t>
      </w:r>
    </w:p>
    <w:p>
      <w:pPr>
        <w:jc w:val="both"/>
        <w:ind w:hanging="359"/>
        <w:spacing w:after="0" w:line="333" w:lineRule="auto"/>
        <w:rPr>
          <w:sz w:val="20"/>
          <w:szCs w:val="20"/>
          <w:color w:val="auto"/>
        </w:rPr>
      </w:pPr>
      <w:r>
        <w:rPr>
          <w:rFonts w:ascii="Times New Roman" w:cs="Times New Roman" w:eastAsia="Times New Roman" w:hAnsi="Times New Roman"/>
          <w:sz w:val="20"/>
          <w:szCs w:val="20"/>
          <w:color w:val="auto"/>
        </w:rPr>
        <w:t xml:space="preserve">Inafed/Gobierno del Estado de México (2005), “Estado de México”, en </w:t>
      </w:r>
      <w:r>
        <w:rPr>
          <w:rFonts w:ascii="Times New Roman" w:cs="Times New Roman" w:eastAsia="Times New Roman" w:hAnsi="Times New Roman"/>
          <w:sz w:val="20"/>
          <w:szCs w:val="20"/>
          <w:i w:val="1"/>
          <w:iCs w:val="1"/>
          <w:color w:val="auto"/>
        </w:rPr>
        <w:t>Enciclopedia</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de los Municipios de México</w:t>
      </w:r>
      <w:r>
        <w:rPr>
          <w:rFonts w:ascii="Times New Roman" w:cs="Times New Roman" w:eastAsia="Times New Roman" w:hAnsi="Times New Roman"/>
          <w:sz w:val="20"/>
          <w:szCs w:val="20"/>
          <w:color w:val="auto"/>
        </w:rPr>
        <w:t>, www.e_local.gob.mx/work/template/enciclo/mexico/</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mpios/15090a.htm, consultado el 29 de octubre de 2009.</w:t>
      </w:r>
    </w:p>
    <w:p>
      <w:pPr>
        <w:spacing w:after="0" w:line="3" w:lineRule="exact"/>
        <w:rPr>
          <w:sz w:val="20"/>
          <w:szCs w:val="20"/>
          <w:color w:val="auto"/>
        </w:rPr>
      </w:pPr>
    </w:p>
    <w:p>
      <w:pPr>
        <w:jc w:val="both"/>
        <w:ind w:hanging="359"/>
        <w:spacing w:after="0" w:line="351" w:lineRule="auto"/>
        <w:rPr>
          <w:sz w:val="20"/>
          <w:szCs w:val="20"/>
          <w:color w:val="auto"/>
        </w:rPr>
      </w:pPr>
      <w:r>
        <w:rPr>
          <w:rFonts w:ascii="Times New Roman" w:cs="Times New Roman" w:eastAsia="Times New Roman" w:hAnsi="Times New Roman"/>
          <w:sz w:val="19"/>
          <w:szCs w:val="19"/>
          <w:color w:val="auto"/>
        </w:rPr>
        <w:t xml:space="preserve">Irschick, D. J. (2000), “Comparative and behavioral analyzes of preferred speed: </w:t>
      </w:r>
      <w:r>
        <w:rPr>
          <w:rFonts w:ascii="Times New Roman" w:cs="Times New Roman" w:eastAsia="Times New Roman" w:hAnsi="Times New Roman"/>
          <w:sz w:val="19"/>
          <w:szCs w:val="19"/>
          <w:i w:val="1"/>
          <w:iCs w:val="1"/>
          <w:color w:val="auto"/>
        </w:rPr>
        <w:t>Anolis</w:t>
      </w:r>
      <w:r>
        <w:rPr>
          <w:rFonts w:ascii="Times New Roman" w:cs="Times New Roman" w:eastAsia="Times New Roman" w:hAnsi="Times New Roman"/>
          <w:sz w:val="19"/>
          <w:szCs w:val="19"/>
          <w:color w:val="auto"/>
        </w:rPr>
        <w:t xml:space="preserve"> lizards as a model system”, </w:t>
      </w:r>
      <w:r>
        <w:rPr>
          <w:rFonts w:ascii="Times New Roman" w:cs="Times New Roman" w:eastAsia="Times New Roman" w:hAnsi="Times New Roman"/>
          <w:sz w:val="19"/>
          <w:szCs w:val="19"/>
          <w:i w:val="1"/>
          <w:iCs w:val="1"/>
          <w:color w:val="auto"/>
        </w:rPr>
        <w:t>Physiological and Biochemical Zoology</w:t>
      </w:r>
      <w:r>
        <w:rPr>
          <w:rFonts w:ascii="Times New Roman" w:cs="Times New Roman" w:eastAsia="Times New Roman" w:hAnsi="Times New Roman"/>
          <w:sz w:val="19"/>
          <w:szCs w:val="19"/>
          <w:color w:val="auto"/>
        </w:rPr>
        <w:t>, 73, pp. 428-437.</w:t>
      </w:r>
    </w:p>
    <w:p>
      <w:pPr>
        <w:spacing w:after="0" w:line="1" w:lineRule="exact"/>
        <w:rPr>
          <w:sz w:val="20"/>
          <w:szCs w:val="20"/>
          <w:color w:val="auto"/>
        </w:rPr>
      </w:pPr>
    </w:p>
    <w:p>
      <w:pPr>
        <w:jc w:val="both"/>
        <w:ind w:hanging="359"/>
        <w:spacing w:after="0" w:line="383" w:lineRule="auto"/>
        <w:rPr>
          <w:sz w:val="20"/>
          <w:szCs w:val="20"/>
          <w:color w:val="auto"/>
        </w:rPr>
      </w:pPr>
      <w:r>
        <w:rPr>
          <w:rFonts w:ascii="Times New Roman" w:cs="Times New Roman" w:eastAsia="Times New Roman" w:hAnsi="Times New Roman"/>
          <w:sz w:val="20"/>
          <w:szCs w:val="20"/>
          <w:color w:val="auto"/>
        </w:rPr>
        <w:t xml:space="preserve">Irschick, D. J. (2003), “Studying performance in nature: implications for fitness variation within populations”, </w:t>
      </w:r>
      <w:r>
        <w:rPr>
          <w:rFonts w:ascii="Times New Roman" w:cs="Times New Roman" w:eastAsia="Times New Roman" w:hAnsi="Times New Roman"/>
          <w:sz w:val="20"/>
          <w:szCs w:val="20"/>
          <w:i w:val="1"/>
          <w:iCs w:val="1"/>
          <w:color w:val="auto"/>
        </w:rPr>
        <w:t>Integrative and Comparative Biology</w:t>
      </w:r>
      <w:r>
        <w:rPr>
          <w:rFonts w:ascii="Times New Roman" w:cs="Times New Roman" w:eastAsia="Times New Roman" w:hAnsi="Times New Roman"/>
          <w:sz w:val="20"/>
          <w:szCs w:val="20"/>
          <w:color w:val="auto"/>
        </w:rPr>
        <w:t>, 43, pp. 396-407.</w:t>
      </w:r>
    </w:p>
    <w:p>
      <w:pPr>
        <w:sectPr>
          <w:pgSz w:w="9360" w:h="13039" w:orient="portrait"/>
          <w:cols w:equalWidth="0" w:num="1">
            <w:col w:w="6840"/>
          </w:cols>
          <w:pgMar w:left="1440" w:top="905" w:right="1080" w:bottom="437" w:gutter="0" w:footer="0" w:header="0"/>
        </w:sectPr>
      </w:pPr>
    </w:p>
    <w:p>
      <w:pPr>
        <w:spacing w:after="0" w:line="200" w:lineRule="exact"/>
        <w:rPr>
          <w:sz w:val="20"/>
          <w:szCs w:val="20"/>
          <w:color w:val="auto"/>
        </w:rPr>
      </w:pPr>
    </w:p>
    <w:p>
      <w:pPr>
        <w:spacing w:after="0" w:line="290"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80" w:name="page81"/>
    <w:bookmarkEnd w:id="80"/>
    <w:tbl>
      <w:tblPr>
        <w:tblLayout w:type="fixed"/>
        <w:tblInd w:w="0" w:type="dxa"/>
        <w:tblCellMar>
          <w:top w:w="0" w:type="dxa"/>
          <w:left w:w="0" w:type="dxa"/>
          <w:bottom w:w="0" w:type="dxa"/>
          <w:right w:w="0" w:type="dxa"/>
        </w:tblCellMar>
      </w:tblPr>
      <w:tr>
        <w:trPr>
          <w:trHeight w:val="62"/>
        </w:trPr>
        <w:tc>
          <w:tcPr>
            <w:tcW w:w="1060" w:type="dxa"/>
            <w:vAlign w:val="bottom"/>
            <w:vMerge w:val="restart"/>
          </w:tcPr>
          <w:p>
            <w:pPr>
              <w:jc w:val="right"/>
              <w:ind w:right="840"/>
              <w:spacing w:after="0"/>
              <w:rPr>
                <w:sz w:val="20"/>
                <w:szCs w:val="20"/>
                <w:color w:val="auto"/>
              </w:rPr>
            </w:pPr>
            <w:r>
              <w:rPr>
                <w:rFonts w:ascii="Arial Narrow" w:cs="Arial Narrow" w:eastAsia="Arial Narrow" w:hAnsi="Arial Narrow"/>
                <w:sz w:val="16"/>
                <w:szCs w:val="16"/>
                <w:color w:val="auto"/>
                <w:w w:val="81"/>
              </w:rPr>
              <w:t>80</w:t>
            </w:r>
          </w:p>
        </w:tc>
        <w:tc>
          <w:tcPr>
            <w:tcW w:w="2000" w:type="dxa"/>
            <w:vAlign w:val="bottom"/>
            <w:vMerge w:val="restart"/>
          </w:tcPr>
          <w:p>
            <w:pPr>
              <w:ind w:left="920"/>
              <w:spacing w:after="0"/>
              <w:rPr>
                <w:sz w:val="20"/>
                <w:szCs w:val="20"/>
                <w:color w:val="auto"/>
              </w:rPr>
            </w:pP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p>
        </w:tc>
        <w:tc>
          <w:tcPr>
            <w:tcW w:w="20" w:type="dxa"/>
            <w:vAlign w:val="bottom"/>
          </w:tcPr>
          <w:p>
            <w:pPr>
              <w:spacing w:after="0"/>
              <w:rPr>
                <w:sz w:val="5"/>
                <w:szCs w:val="5"/>
                <w:color w:val="auto"/>
              </w:rPr>
            </w:pPr>
          </w:p>
        </w:tc>
        <w:tc>
          <w:tcPr>
            <w:tcW w:w="1160" w:type="dxa"/>
            <w:vAlign w:val="bottom"/>
            <w:vMerge w:val="restart"/>
          </w:tcPr>
          <w:p>
            <w:pPr>
              <w:ind w:left="40"/>
              <w:spacing w:after="0"/>
              <w:rPr>
                <w:sz w:val="20"/>
                <w:szCs w:val="20"/>
                <w:color w:val="auto"/>
              </w:rPr>
            </w:pP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p>
        </w:tc>
        <w:tc>
          <w:tcPr>
            <w:tcW w:w="20" w:type="dxa"/>
            <w:vAlign w:val="bottom"/>
          </w:tcPr>
          <w:p>
            <w:pPr>
              <w:spacing w:after="0"/>
              <w:rPr>
                <w:sz w:val="5"/>
                <w:szCs w:val="5"/>
                <w:color w:val="auto"/>
              </w:rPr>
            </w:pPr>
          </w:p>
        </w:tc>
        <w:tc>
          <w:tcPr>
            <w:tcW w:w="960" w:type="dxa"/>
            <w:vAlign w:val="bottom"/>
            <w:vMerge w:val="restart"/>
          </w:tcPr>
          <w:p>
            <w:pPr>
              <w:ind w:left="20"/>
              <w:spacing w:after="0"/>
              <w:rPr>
                <w:sz w:val="20"/>
                <w:szCs w:val="20"/>
                <w:color w:val="auto"/>
              </w:rPr>
            </w:pP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tc>
        <w:tc>
          <w:tcPr>
            <w:tcW w:w="0" w:type="dxa"/>
            <w:vAlign w:val="bottom"/>
          </w:tcPr>
          <w:p>
            <w:pPr>
              <w:spacing w:after="0"/>
              <w:rPr>
                <w:sz w:val="1"/>
                <w:szCs w:val="1"/>
                <w:color w:val="auto"/>
              </w:rPr>
            </w:pPr>
          </w:p>
        </w:tc>
      </w:tr>
      <w:tr>
        <w:trPr>
          <w:trHeight w:val="140"/>
        </w:trPr>
        <w:tc>
          <w:tcPr>
            <w:tcW w:w="1060" w:type="dxa"/>
            <w:vAlign w:val="bottom"/>
            <w:vMerge w:val="continue"/>
          </w:tcPr>
          <w:p>
            <w:pPr>
              <w:spacing w:after="0"/>
              <w:rPr>
                <w:sz w:val="12"/>
                <w:szCs w:val="12"/>
                <w:color w:val="auto"/>
              </w:rPr>
            </w:pPr>
          </w:p>
        </w:tc>
        <w:tc>
          <w:tcPr>
            <w:tcW w:w="200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116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960" w:type="dxa"/>
            <w:vAlign w:val="bottom"/>
            <w:vMerge w:val="continue"/>
          </w:tcPr>
          <w:p>
            <w:pPr>
              <w:spacing w:after="0"/>
              <w:rPr>
                <w:sz w:val="12"/>
                <w:szCs w:val="12"/>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328" w:lineRule="exact"/>
        <w:rPr>
          <w:sz w:val="20"/>
          <w:szCs w:val="20"/>
          <w:color w:val="auto"/>
        </w:rPr>
      </w:pPr>
    </w:p>
    <w:p>
      <w:pPr>
        <w:jc w:val="both"/>
        <w:ind w:left="360" w:hanging="359"/>
        <w:spacing w:after="0" w:line="318" w:lineRule="auto"/>
        <w:rPr>
          <w:sz w:val="20"/>
          <w:szCs w:val="20"/>
          <w:color w:val="auto"/>
        </w:rPr>
      </w:pPr>
      <w:r>
        <w:rPr>
          <w:rFonts w:ascii="Times New Roman" w:cs="Times New Roman" w:eastAsia="Times New Roman" w:hAnsi="Times New Roman"/>
          <w:sz w:val="21"/>
          <w:szCs w:val="21"/>
          <w:color w:val="auto"/>
        </w:rPr>
        <w:t>Irschick, D. J. y B. C. Jayne (1999), “Comparative tridimensional kinematics of the hindlimb for the high-speed bipedal and quadrupedal locomotion of lizards”,</w:t>
      </w:r>
    </w:p>
    <w:p>
      <w:pPr>
        <w:ind w:left="360"/>
        <w:spacing w:after="0"/>
        <w:rPr>
          <w:sz w:val="20"/>
          <w:szCs w:val="20"/>
          <w:color w:val="auto"/>
        </w:rPr>
      </w:pPr>
      <w:r>
        <w:rPr>
          <w:rFonts w:ascii="Times New Roman" w:cs="Times New Roman" w:eastAsia="Times New Roman" w:hAnsi="Times New Roman"/>
          <w:sz w:val="22"/>
          <w:szCs w:val="22"/>
          <w:i w:val="1"/>
          <w:iCs w:val="1"/>
          <w:color w:val="auto"/>
        </w:rPr>
        <w:t>Journal of Experimental Biology</w:t>
      </w:r>
      <w:r>
        <w:rPr>
          <w:rFonts w:ascii="Times New Roman" w:cs="Times New Roman" w:eastAsia="Times New Roman" w:hAnsi="Times New Roman"/>
          <w:sz w:val="22"/>
          <w:szCs w:val="22"/>
          <w:color w:val="auto"/>
        </w:rPr>
        <w:t>, 202, pp. 1047-1065.</w:t>
      </w:r>
    </w:p>
    <w:p>
      <w:pPr>
        <w:spacing w:after="0" w:line="67"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Irschick, D. J. y J. B. Lossos (1998), “A comparative analysis of the ecological significance of locomotor performance in Caribbean </w:t>
      </w:r>
      <w:r>
        <w:rPr>
          <w:rFonts w:ascii="Times New Roman" w:cs="Times New Roman" w:eastAsia="Times New Roman" w:hAnsi="Times New Roman"/>
          <w:sz w:val="22"/>
          <w:szCs w:val="22"/>
          <w:i w:val="1"/>
          <w:iCs w:val="1"/>
          <w:color w:val="auto"/>
        </w:rPr>
        <w:t>Anolis</w:t>
      </w:r>
      <w:r>
        <w:rPr>
          <w:rFonts w:ascii="Times New Roman" w:cs="Times New Roman" w:eastAsia="Times New Roman" w:hAnsi="Times New Roman"/>
          <w:sz w:val="22"/>
          <w:szCs w:val="22"/>
          <w:color w:val="auto"/>
        </w:rPr>
        <w:t xml:space="preserve"> lizards”, </w:t>
      </w:r>
      <w:r>
        <w:rPr>
          <w:rFonts w:ascii="Times New Roman" w:cs="Times New Roman" w:eastAsia="Times New Roman" w:hAnsi="Times New Roman"/>
          <w:sz w:val="22"/>
          <w:szCs w:val="22"/>
          <w:i w:val="1"/>
          <w:iCs w:val="1"/>
          <w:color w:val="auto"/>
        </w:rPr>
        <w:t>Evolution</w:t>
      </w:r>
      <w:r>
        <w:rPr>
          <w:rFonts w:ascii="Times New Roman" w:cs="Times New Roman" w:eastAsia="Times New Roman" w:hAnsi="Times New Roman"/>
          <w:sz w:val="22"/>
          <w:szCs w:val="22"/>
          <w:color w:val="auto"/>
        </w:rPr>
        <w:t>, 52, pp. 219-226.</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Irschick, D. J. y T. Garland Jr. (2001), “Integrating function and ecology in studies of adaptation: investigations of locomotor capacity as a model system”, </w:t>
      </w:r>
      <w:r>
        <w:rPr>
          <w:rFonts w:ascii="Times New Roman" w:cs="Times New Roman" w:eastAsia="Times New Roman" w:hAnsi="Times New Roman"/>
          <w:sz w:val="22"/>
          <w:szCs w:val="22"/>
          <w:i w:val="1"/>
          <w:iCs w:val="1"/>
          <w:color w:val="auto"/>
        </w:rPr>
        <w:t>Ann. Review</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Ecology System</w:t>
      </w:r>
      <w:r>
        <w:rPr>
          <w:rFonts w:ascii="Times New Roman" w:cs="Times New Roman" w:eastAsia="Times New Roman" w:hAnsi="Times New Roman"/>
          <w:sz w:val="22"/>
          <w:szCs w:val="22"/>
          <w:color w:val="auto"/>
        </w:rPr>
        <w:t>, 32, pp. 367-396.</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Jayne, B. C. y R. V. Ellis (1998), “How inclines affect the escape behaviour of a dune-dwelling lizard, </w:t>
      </w:r>
      <w:r>
        <w:rPr>
          <w:rFonts w:ascii="Times New Roman" w:cs="Times New Roman" w:eastAsia="Times New Roman" w:hAnsi="Times New Roman"/>
          <w:sz w:val="22"/>
          <w:szCs w:val="22"/>
          <w:i w:val="1"/>
          <w:iCs w:val="1"/>
          <w:color w:val="auto"/>
        </w:rPr>
        <w:t>Uma scoparia”, Animal Behavior</w:t>
      </w:r>
      <w:r>
        <w:rPr>
          <w:rFonts w:ascii="Times New Roman" w:cs="Times New Roman" w:eastAsia="Times New Roman" w:hAnsi="Times New Roman"/>
          <w:sz w:val="22"/>
          <w:szCs w:val="22"/>
          <w:color w:val="auto"/>
        </w:rPr>
        <w:t>, 5, pp. 1115-1130.</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Kats, L. B. y L. M. Dill (1998), “The scent of death: chemosensory assessment of predation risk by prey animals”, </w:t>
      </w:r>
      <w:r>
        <w:rPr>
          <w:rFonts w:ascii="Times New Roman" w:cs="Times New Roman" w:eastAsia="Times New Roman" w:hAnsi="Times New Roman"/>
          <w:sz w:val="22"/>
          <w:szCs w:val="22"/>
          <w:i w:val="1"/>
          <w:iCs w:val="1"/>
          <w:color w:val="auto"/>
        </w:rPr>
        <w:t>Ecoscience,</w:t>
      </w:r>
      <w:r>
        <w:rPr>
          <w:rFonts w:ascii="Times New Roman" w:cs="Times New Roman" w:eastAsia="Times New Roman" w:hAnsi="Times New Roman"/>
          <w:sz w:val="22"/>
          <w:szCs w:val="22"/>
          <w:color w:val="auto"/>
        </w:rPr>
        <w:t xml:space="preserve"> 3, pp. 361-394.</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Kramer, D. L. y R. L. McLaughlin (2001), “The behavioral ecology of intermittent locomotion”, </w:t>
      </w:r>
      <w:r>
        <w:rPr>
          <w:rFonts w:ascii="Times New Roman" w:cs="Times New Roman" w:eastAsia="Times New Roman" w:hAnsi="Times New Roman"/>
          <w:sz w:val="22"/>
          <w:szCs w:val="22"/>
          <w:i w:val="1"/>
          <w:iCs w:val="1"/>
          <w:color w:val="auto"/>
        </w:rPr>
        <w:t>American Zoology</w:t>
      </w:r>
      <w:r>
        <w:rPr>
          <w:rFonts w:ascii="Times New Roman" w:cs="Times New Roman" w:eastAsia="Times New Roman" w:hAnsi="Times New Roman"/>
          <w:sz w:val="22"/>
          <w:szCs w:val="22"/>
          <w:color w:val="auto"/>
        </w:rPr>
        <w:t>, 41, pp. 137-153.</w:t>
      </w:r>
    </w:p>
    <w:p>
      <w:pPr>
        <w:spacing w:after="0" w:line="1" w:lineRule="exact"/>
        <w:rPr>
          <w:sz w:val="20"/>
          <w:szCs w:val="20"/>
          <w:color w:val="auto"/>
        </w:rPr>
      </w:pPr>
    </w:p>
    <w:p>
      <w:pPr>
        <w:jc w:val="both"/>
        <w:ind w:left="360" w:hanging="359"/>
        <w:spacing w:after="0" w:line="318" w:lineRule="auto"/>
        <w:rPr>
          <w:sz w:val="20"/>
          <w:szCs w:val="20"/>
          <w:color w:val="auto"/>
        </w:rPr>
      </w:pPr>
      <w:r>
        <w:rPr>
          <w:rFonts w:ascii="Times New Roman" w:cs="Times New Roman" w:eastAsia="Times New Roman" w:hAnsi="Times New Roman"/>
          <w:sz w:val="21"/>
          <w:szCs w:val="21"/>
          <w:color w:val="auto"/>
        </w:rPr>
        <w:t xml:space="preserve">Losos, J. B. (1990), “The evolution of form and function: morphology and locomotor performance in West Indian </w:t>
      </w:r>
      <w:r>
        <w:rPr>
          <w:rFonts w:ascii="Times New Roman" w:cs="Times New Roman" w:eastAsia="Times New Roman" w:hAnsi="Times New Roman"/>
          <w:sz w:val="21"/>
          <w:szCs w:val="21"/>
          <w:i w:val="1"/>
          <w:iCs w:val="1"/>
          <w:color w:val="auto"/>
        </w:rPr>
        <w:t>Anolis</w:t>
      </w:r>
      <w:r>
        <w:rPr>
          <w:rFonts w:ascii="Times New Roman" w:cs="Times New Roman" w:eastAsia="Times New Roman" w:hAnsi="Times New Roman"/>
          <w:sz w:val="21"/>
          <w:szCs w:val="21"/>
          <w:color w:val="auto"/>
        </w:rPr>
        <w:t xml:space="preserve"> lizards”, </w:t>
      </w:r>
      <w:r>
        <w:rPr>
          <w:rFonts w:ascii="Times New Roman" w:cs="Times New Roman" w:eastAsia="Times New Roman" w:hAnsi="Times New Roman"/>
          <w:sz w:val="21"/>
          <w:szCs w:val="21"/>
          <w:i w:val="1"/>
          <w:iCs w:val="1"/>
          <w:color w:val="auto"/>
        </w:rPr>
        <w:t>Evolution</w:t>
      </w:r>
      <w:r>
        <w:rPr>
          <w:rFonts w:ascii="Times New Roman" w:cs="Times New Roman" w:eastAsia="Times New Roman" w:hAnsi="Times New Roman"/>
          <w:sz w:val="21"/>
          <w:szCs w:val="21"/>
          <w:color w:val="auto"/>
        </w:rPr>
        <w:t>, 5, pp. 1189-1203.</w:t>
      </w: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McBrayer, L. D. y R. A. Anderson (2007), “Sexual size dimorphisms and bite force in the northern alligator lizard, </w:t>
      </w:r>
      <w:r>
        <w:rPr>
          <w:rFonts w:ascii="Times New Roman" w:cs="Times New Roman" w:eastAsia="Times New Roman" w:hAnsi="Times New Roman"/>
          <w:sz w:val="22"/>
          <w:szCs w:val="22"/>
          <w:i w:val="1"/>
          <w:iCs w:val="1"/>
          <w:color w:val="auto"/>
        </w:rPr>
        <w:t>Elgaria coerulea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Journal of Herpetology,</w:t>
      </w:r>
      <w:r>
        <w:rPr>
          <w:rFonts w:ascii="Times New Roman" w:cs="Times New Roman" w:eastAsia="Times New Roman" w:hAnsi="Times New Roman"/>
          <w:sz w:val="22"/>
          <w:szCs w:val="22"/>
          <w:color w:val="auto"/>
        </w:rPr>
        <w:t xml:space="preserve"> 4, pp. 554-559.</w:t>
      </w:r>
    </w:p>
    <w:p>
      <w:pPr>
        <w:spacing w:after="0" w:line="2" w:lineRule="exact"/>
        <w:rPr>
          <w:sz w:val="20"/>
          <w:szCs w:val="20"/>
          <w:color w:val="auto"/>
        </w:rPr>
      </w:pPr>
    </w:p>
    <w:p>
      <w:pPr>
        <w:jc w:val="both"/>
        <w:ind w:left="360" w:hanging="359"/>
        <w:spacing w:after="0" w:line="333" w:lineRule="auto"/>
        <w:rPr>
          <w:sz w:val="20"/>
          <w:szCs w:val="20"/>
          <w:color w:val="auto"/>
        </w:rPr>
      </w:pPr>
      <w:r>
        <w:rPr>
          <w:rFonts w:ascii="Times New Roman" w:cs="Times New Roman" w:eastAsia="Times New Roman" w:hAnsi="Times New Roman"/>
          <w:sz w:val="20"/>
          <w:szCs w:val="20"/>
          <w:color w:val="auto"/>
        </w:rPr>
        <w:t xml:space="preserve">Miles, D. B. (1994), “Covariation between morphology and locomotor performance in sceloporine lizards”, en L. J. Vitt y E. R. Pianka (eds.), </w:t>
      </w:r>
      <w:r>
        <w:rPr>
          <w:rFonts w:ascii="Times New Roman" w:cs="Times New Roman" w:eastAsia="Times New Roman" w:hAnsi="Times New Roman"/>
          <w:sz w:val="20"/>
          <w:szCs w:val="20"/>
          <w:i w:val="1"/>
          <w:iCs w:val="1"/>
          <w:color w:val="auto"/>
        </w:rPr>
        <w:t>Lizard ecology: historical</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and experimental perspectives</w:t>
      </w:r>
      <w:r>
        <w:rPr>
          <w:rFonts w:ascii="Times New Roman" w:cs="Times New Roman" w:eastAsia="Times New Roman" w:hAnsi="Times New Roman"/>
          <w:sz w:val="20"/>
          <w:szCs w:val="20"/>
          <w:color w:val="auto"/>
        </w:rPr>
        <w:t>, Princeton University Press, pp. 207-235.</w:t>
      </w:r>
    </w:p>
    <w:p>
      <w:pPr>
        <w:spacing w:after="0" w:line="3" w:lineRule="exact"/>
        <w:rPr>
          <w:sz w:val="20"/>
          <w:szCs w:val="20"/>
          <w:color w:val="auto"/>
        </w:rPr>
      </w:pPr>
    </w:p>
    <w:p>
      <w:pPr>
        <w:jc w:val="both"/>
        <w:ind w:left="360" w:hanging="359"/>
        <w:spacing w:after="0" w:line="351" w:lineRule="auto"/>
        <w:rPr>
          <w:sz w:val="20"/>
          <w:szCs w:val="20"/>
          <w:color w:val="auto"/>
        </w:rPr>
      </w:pPr>
      <w:r>
        <w:rPr>
          <w:rFonts w:ascii="Times New Roman" w:cs="Times New Roman" w:eastAsia="Times New Roman" w:hAnsi="Times New Roman"/>
          <w:sz w:val="19"/>
          <w:szCs w:val="19"/>
          <w:color w:val="auto"/>
        </w:rPr>
        <w:t xml:space="preserve">Miles, D. B. (2004), “The race goes to the swift: fitness consequences of variation in sprint performance in juvenile lizards”, </w:t>
      </w:r>
      <w:r>
        <w:rPr>
          <w:rFonts w:ascii="Times New Roman" w:cs="Times New Roman" w:eastAsia="Times New Roman" w:hAnsi="Times New Roman"/>
          <w:sz w:val="19"/>
          <w:szCs w:val="19"/>
          <w:i w:val="1"/>
          <w:iCs w:val="1"/>
          <w:color w:val="auto"/>
        </w:rPr>
        <w:t>Evolutionary Ecology Research</w:t>
      </w:r>
      <w:r>
        <w:rPr>
          <w:rFonts w:ascii="Times New Roman" w:cs="Times New Roman" w:eastAsia="Times New Roman" w:hAnsi="Times New Roman"/>
          <w:sz w:val="19"/>
          <w:szCs w:val="19"/>
          <w:color w:val="auto"/>
        </w:rPr>
        <w:t>, 1, pp. 63-75.</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Peterson, C. C. y J. F. Husak (2006), “Locomotor performance and sexual selection: individual variation in sprint speed of collared lizards (</w:t>
      </w:r>
      <w:r>
        <w:rPr>
          <w:rFonts w:ascii="Times New Roman" w:cs="Times New Roman" w:eastAsia="Times New Roman" w:hAnsi="Times New Roman"/>
          <w:sz w:val="22"/>
          <w:szCs w:val="22"/>
          <w:i w:val="1"/>
          <w:iCs w:val="1"/>
          <w:color w:val="auto"/>
        </w:rPr>
        <w:t>Crotaphytus collaris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Copeia, </w:t>
      </w:r>
      <w:r>
        <w:rPr>
          <w:rFonts w:ascii="Times New Roman" w:cs="Times New Roman" w:eastAsia="Times New Roman" w:hAnsi="Times New Roman"/>
          <w:sz w:val="22"/>
          <w:szCs w:val="22"/>
          <w:color w:val="auto"/>
        </w:rPr>
        <w:t>2, pp. 216–224.</w:t>
      </w:r>
    </w:p>
    <w:p>
      <w:pPr>
        <w:spacing w:after="0" w:line="2" w:lineRule="exact"/>
        <w:rPr>
          <w:sz w:val="20"/>
          <w:szCs w:val="20"/>
          <w:color w:val="auto"/>
        </w:rPr>
      </w:pPr>
    </w:p>
    <w:p>
      <w:pPr>
        <w:jc w:val="both"/>
        <w:ind w:left="360" w:hanging="359"/>
        <w:spacing w:after="0" w:line="315" w:lineRule="auto"/>
        <w:rPr>
          <w:sz w:val="20"/>
          <w:szCs w:val="20"/>
          <w:color w:val="auto"/>
        </w:rPr>
      </w:pPr>
      <w:r>
        <w:rPr>
          <w:rFonts w:ascii="Times New Roman" w:cs="Times New Roman" w:eastAsia="Times New Roman" w:hAnsi="Times New Roman"/>
          <w:sz w:val="22"/>
          <w:szCs w:val="22"/>
          <w:color w:val="auto"/>
        </w:rPr>
        <w:t xml:space="preserve">Pianka, E. R. y L. J. Vitt (2003), “Escaping predators”, en </w:t>
      </w:r>
      <w:r>
        <w:rPr>
          <w:rFonts w:ascii="Times New Roman" w:cs="Times New Roman" w:eastAsia="Times New Roman" w:hAnsi="Times New Roman"/>
          <w:sz w:val="22"/>
          <w:szCs w:val="22"/>
          <w:i w:val="1"/>
          <w:iCs w:val="1"/>
          <w:color w:val="auto"/>
        </w:rPr>
        <w:t>Lizards: windows to</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the evolution of diversity</w:t>
      </w:r>
      <w:r>
        <w:rPr>
          <w:rFonts w:ascii="Times New Roman" w:cs="Times New Roman" w:eastAsia="Times New Roman" w:hAnsi="Times New Roman"/>
          <w:sz w:val="22"/>
          <w:szCs w:val="22"/>
          <w:color w:val="auto"/>
        </w:rPr>
        <w:t>, Berkeley, California, University of California Press,</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pp. 63-84.</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48"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77" name="Shape 17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77" o:spid="_x0000_s120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78" name="Shape 17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78" o:spid="_x0000_s120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79" name="Shape 17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79" o:spid="_x0000_s120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81" w:name="page82"/>
    <w:bookmarkEnd w:id="81"/>
    <w:p>
      <w:pPr>
        <w:ind w:left="1080"/>
        <w:spacing w:after="0"/>
        <w:tabs>
          <w:tab w:leader="dot" w:pos="7020" w:val="left"/>
        </w:tabs>
        <w:rPr>
          <w:sz w:val="20"/>
          <w:szCs w:val="20"/>
          <w:color w:val="auto"/>
        </w:rPr>
      </w:pPr>
      <w:r>
        <w:rPr>
          <w:rFonts w:ascii="Arial Narrow" w:cs="Arial Narrow" w:eastAsia="Arial Narrow" w:hAnsi="Arial Narrow"/>
          <w:sz w:val="11"/>
          <w:szCs w:val="11"/>
          <w:color w:val="auto"/>
        </w:rPr>
        <w:t>morfología corporal y comparación de la velocidad de escape en algunas especies</w:t>
      </w:r>
      <w:r>
        <w:rPr>
          <w:sz w:val="20"/>
          <w:szCs w:val="20"/>
          <w:color w:val="auto"/>
        </w:rPr>
        <w:tab/>
      </w:r>
      <w:r>
        <w:rPr>
          <w:rFonts w:ascii="Arial Narrow" w:cs="Arial Narrow" w:eastAsia="Arial Narrow" w:hAnsi="Arial Narrow"/>
          <w:sz w:val="16"/>
          <w:szCs w:val="16"/>
          <w:color w:val="auto"/>
        </w:rPr>
        <w:t>81</w:t>
      </w:r>
    </w:p>
    <w:p>
      <w:pPr>
        <w:spacing w:after="0" w:line="200" w:lineRule="exact"/>
        <w:rPr>
          <w:sz w:val="20"/>
          <w:szCs w:val="20"/>
          <w:color w:val="auto"/>
        </w:rPr>
      </w:pPr>
    </w:p>
    <w:p>
      <w:pPr>
        <w:spacing w:after="0" w:line="349"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Punzo, F. (1982), “Tail autotomy and running speed in the lizards </w:t>
      </w:r>
      <w:r>
        <w:rPr>
          <w:rFonts w:ascii="Times New Roman" w:cs="Times New Roman" w:eastAsia="Times New Roman" w:hAnsi="Times New Roman"/>
          <w:sz w:val="22"/>
          <w:szCs w:val="22"/>
          <w:i w:val="1"/>
          <w:iCs w:val="1"/>
          <w:color w:val="auto"/>
        </w:rPr>
        <w:t>Cophosaurus texanus</w:t>
      </w:r>
      <w:r>
        <w:rPr>
          <w:rFonts w:ascii="Times New Roman" w:cs="Times New Roman" w:eastAsia="Times New Roman" w:hAnsi="Times New Roman"/>
          <w:sz w:val="22"/>
          <w:szCs w:val="22"/>
          <w:color w:val="auto"/>
        </w:rPr>
        <w:t xml:space="preserve"> and </w:t>
      </w:r>
      <w:r>
        <w:rPr>
          <w:rFonts w:ascii="Times New Roman" w:cs="Times New Roman" w:eastAsia="Times New Roman" w:hAnsi="Times New Roman"/>
          <w:sz w:val="22"/>
          <w:szCs w:val="22"/>
          <w:i w:val="1"/>
          <w:iCs w:val="1"/>
          <w:color w:val="auto"/>
        </w:rPr>
        <w:t>Uma notata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Journal of Herpetology</w:t>
      </w:r>
      <w:r>
        <w:rPr>
          <w:rFonts w:ascii="Times New Roman" w:cs="Times New Roman" w:eastAsia="Times New Roman" w:hAnsi="Times New Roman"/>
          <w:sz w:val="22"/>
          <w:szCs w:val="22"/>
          <w:color w:val="auto"/>
        </w:rPr>
        <w:t>, 3, pp. 329-331.</w:t>
      </w:r>
    </w:p>
    <w:p>
      <w:pPr>
        <w:spacing w:after="0" w:line="1" w:lineRule="exact"/>
        <w:rPr>
          <w:sz w:val="20"/>
          <w:szCs w:val="20"/>
          <w:color w:val="auto"/>
        </w:rPr>
      </w:pPr>
    </w:p>
    <w:p>
      <w:pPr>
        <w:jc w:val="both"/>
        <w:ind w:left="360" w:hanging="359"/>
        <w:spacing w:after="0" w:line="333" w:lineRule="auto"/>
        <w:rPr>
          <w:sz w:val="20"/>
          <w:szCs w:val="20"/>
          <w:color w:val="auto"/>
        </w:rPr>
      </w:pPr>
      <w:r>
        <w:rPr>
          <w:rFonts w:ascii="Times New Roman" w:cs="Times New Roman" w:eastAsia="Times New Roman" w:hAnsi="Times New Roman"/>
          <w:sz w:val="20"/>
          <w:szCs w:val="20"/>
          <w:color w:val="auto"/>
        </w:rPr>
        <w:t xml:space="preserve">Punzo, F. (2000), </w:t>
      </w:r>
      <w:r>
        <w:rPr>
          <w:rFonts w:ascii="Times New Roman" w:cs="Times New Roman" w:eastAsia="Times New Roman" w:hAnsi="Times New Roman"/>
          <w:sz w:val="20"/>
          <w:szCs w:val="20"/>
          <w:i w:val="1"/>
          <w:iCs w:val="1"/>
          <w:color w:val="auto"/>
        </w:rPr>
        <w:t>Desert arthropods: life history variations</w:t>
      </w:r>
      <w:r>
        <w:rPr>
          <w:rFonts w:ascii="Times New Roman" w:cs="Times New Roman" w:eastAsia="Times New Roman" w:hAnsi="Times New Roman"/>
          <w:sz w:val="20"/>
          <w:szCs w:val="20"/>
          <w:color w:val="auto"/>
        </w:rPr>
        <w:t>, Heidelberg, Springer</w:t>
      </w:r>
      <w:r>
        <w:rPr>
          <w:rFonts w:ascii="Times New Roman" w:cs="Times New Roman" w:eastAsia="Times New Roman" w:hAnsi="Times New Roman"/>
          <w:sz w:val="20"/>
          <w:szCs w:val="20"/>
          <w:i w:val="1"/>
          <w:iCs w:val="1"/>
          <w:color w:val="auto"/>
        </w:rPr>
        <w:t>,</w:t>
      </w:r>
      <w:r>
        <w:rPr>
          <w:rFonts w:ascii="Times New Roman" w:cs="Times New Roman" w:eastAsia="Times New Roman" w:hAnsi="Times New Roman"/>
          <w:sz w:val="20"/>
          <w:szCs w:val="20"/>
          <w:color w:val="auto"/>
        </w:rPr>
        <w:t xml:space="preserve"> http:// books.google.com.mx/books?hl=es&amp;lr=&amp;id=AjOjs7TJXwsC&amp;oi=fnd&amp;pg=PA1 &amp;dq=%22Punzo%22+%22Desert+arthropods:+life+history+variations%22+&amp;o ts=IL7bc5v8GU&amp;sig=uaOFqv7x3vglEDdDeb6NLnLEHUU#v=onepage&amp;q=&amp; f=false, consultado el 23 de noviembre de 2009.</w:t>
      </w:r>
    </w:p>
    <w:p>
      <w:pPr>
        <w:spacing w:after="0" w:line="5"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Punzo, F. (2001), “Studies on the natural history and ecology of sympatric whiptail lizards (</w:t>
      </w:r>
      <w:r>
        <w:rPr>
          <w:rFonts w:ascii="Times New Roman" w:cs="Times New Roman" w:eastAsia="Times New Roman" w:hAnsi="Times New Roman"/>
          <w:sz w:val="22"/>
          <w:szCs w:val="22"/>
          <w:i w:val="1"/>
          <w:iCs w:val="1"/>
          <w:color w:val="auto"/>
        </w:rPr>
        <w:t>Cnemidophorus marmoratus</w:t>
      </w:r>
      <w:r>
        <w:rPr>
          <w:rFonts w:ascii="Times New Roman" w:cs="Times New Roman" w:eastAsia="Times New Roman" w:hAnsi="Times New Roman"/>
          <w:sz w:val="22"/>
          <w:szCs w:val="22"/>
          <w:color w:val="auto"/>
        </w:rPr>
        <w:t xml:space="preserve"> and </w:t>
      </w:r>
      <w:r>
        <w:rPr>
          <w:rFonts w:ascii="Times New Roman" w:cs="Times New Roman" w:eastAsia="Times New Roman" w:hAnsi="Times New Roman"/>
          <w:sz w:val="22"/>
          <w:szCs w:val="22"/>
          <w:i w:val="1"/>
          <w:iCs w:val="1"/>
          <w:color w:val="auto"/>
        </w:rPr>
        <w:t>C. tesselatus</w:t>
      </w:r>
      <w:r>
        <w:rPr>
          <w:rFonts w:ascii="Times New Roman" w:cs="Times New Roman" w:eastAsia="Times New Roman" w:hAnsi="Times New Roman"/>
          <w:sz w:val="22"/>
          <w:szCs w:val="22"/>
          <w:color w:val="auto"/>
        </w:rPr>
        <w:t xml:space="preserve">) in Madera Canyon (Brewster County, Texas)”, </w:t>
      </w:r>
      <w:r>
        <w:rPr>
          <w:rFonts w:ascii="Times New Roman" w:cs="Times New Roman" w:eastAsia="Times New Roman" w:hAnsi="Times New Roman"/>
          <w:sz w:val="22"/>
          <w:szCs w:val="22"/>
          <w:i w:val="1"/>
          <w:iCs w:val="1"/>
          <w:color w:val="auto"/>
        </w:rPr>
        <w:t>Texas Journal of Science,</w:t>
      </w:r>
      <w:r>
        <w:rPr>
          <w:rFonts w:ascii="Times New Roman" w:cs="Times New Roman" w:eastAsia="Times New Roman" w:hAnsi="Times New Roman"/>
          <w:sz w:val="22"/>
          <w:szCs w:val="22"/>
          <w:color w:val="auto"/>
        </w:rPr>
        <w:t xml:space="preserve"> 53, pp. 43-54.</w:t>
      </w:r>
    </w:p>
    <w:p>
      <w:pPr>
        <w:spacing w:after="0" w:line="2"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Punzo, F. (2005), “Chemosensory recognition by males of the desert pocket mouse,</w:t>
      </w:r>
    </w:p>
    <w:p>
      <w:pPr>
        <w:spacing w:after="0" w:line="79" w:lineRule="exact"/>
        <w:rPr>
          <w:sz w:val="20"/>
          <w:szCs w:val="20"/>
          <w:color w:val="auto"/>
        </w:rPr>
      </w:pPr>
    </w:p>
    <w:p>
      <w:pPr>
        <w:ind w:left="360"/>
        <w:spacing w:after="0" w:line="303" w:lineRule="auto"/>
        <w:rPr>
          <w:sz w:val="20"/>
          <w:szCs w:val="20"/>
          <w:color w:val="auto"/>
        </w:rPr>
      </w:pPr>
      <w:r>
        <w:rPr>
          <w:rFonts w:ascii="Times New Roman" w:cs="Times New Roman" w:eastAsia="Times New Roman" w:hAnsi="Times New Roman"/>
          <w:sz w:val="22"/>
          <w:szCs w:val="22"/>
          <w:i w:val="1"/>
          <w:iCs w:val="1"/>
          <w:color w:val="auto"/>
        </w:rPr>
        <w:t xml:space="preserve">Chaetodipus pencillatus </w:t>
      </w:r>
      <w:r>
        <w:rPr>
          <w:rFonts w:ascii="Times New Roman" w:cs="Times New Roman" w:eastAsia="Times New Roman" w:hAnsi="Times New Roman"/>
          <w:sz w:val="22"/>
          <w:szCs w:val="22"/>
          <w:color w:val="auto"/>
        </w:rPr>
        <w:t>to odors of various species of snake”,</w:t>
      </w:r>
      <w:r>
        <w:rPr>
          <w:rFonts w:ascii="Times New Roman" w:cs="Times New Roman" w:eastAsia="Times New Roman" w:hAnsi="Times New Roman"/>
          <w:sz w:val="22"/>
          <w:szCs w:val="22"/>
          <w:i w:val="1"/>
          <w:iCs w:val="1"/>
          <w:color w:val="auto"/>
        </w:rPr>
        <w:t xml:space="preserve"> Ethology, Ecology and Evolution</w:t>
      </w:r>
      <w:r>
        <w:rPr>
          <w:rFonts w:ascii="Times New Roman" w:cs="Times New Roman" w:eastAsia="Times New Roman" w:hAnsi="Times New Roman"/>
          <w:sz w:val="22"/>
          <w:szCs w:val="22"/>
          <w:color w:val="auto"/>
        </w:rPr>
        <w:t>, 17, pp. 61-67.</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Punzo, F. (2007), “Sprint speed and degree of wariness in two populations of whiptail lizards (</w:t>
      </w:r>
      <w:r>
        <w:rPr>
          <w:rFonts w:ascii="Times New Roman" w:cs="Times New Roman" w:eastAsia="Times New Roman" w:hAnsi="Times New Roman"/>
          <w:sz w:val="22"/>
          <w:szCs w:val="22"/>
          <w:i w:val="1"/>
          <w:iCs w:val="1"/>
          <w:color w:val="auto"/>
        </w:rPr>
        <w:t>Aspidoscelis tesselata</w:t>
      </w:r>
      <w:r>
        <w:rPr>
          <w:rFonts w:ascii="Times New Roman" w:cs="Times New Roman" w:eastAsia="Times New Roman" w:hAnsi="Times New Roman"/>
          <w:sz w:val="22"/>
          <w:szCs w:val="22"/>
          <w:color w:val="auto"/>
        </w:rPr>
        <w:t xml:space="preserve">) (Squamata: Teiidae)”, </w:t>
      </w:r>
      <w:r>
        <w:rPr>
          <w:rFonts w:ascii="Times New Roman" w:cs="Times New Roman" w:eastAsia="Times New Roman" w:hAnsi="Times New Roman"/>
          <w:sz w:val="22"/>
          <w:szCs w:val="22"/>
          <w:i w:val="1"/>
          <w:iCs w:val="1"/>
          <w:color w:val="auto"/>
        </w:rPr>
        <w:t>Ethology Ecology Evolution,</w:t>
      </w:r>
      <w:r>
        <w:rPr>
          <w:rFonts w:ascii="Times New Roman" w:cs="Times New Roman" w:eastAsia="Times New Roman" w:hAnsi="Times New Roman"/>
          <w:sz w:val="22"/>
          <w:szCs w:val="22"/>
          <w:color w:val="auto"/>
        </w:rPr>
        <w:t xml:space="preserve"> 2, pp. 159-169.</w:t>
      </w:r>
    </w:p>
    <w:p>
      <w:pPr>
        <w:spacing w:after="0" w:line="2" w:lineRule="exact"/>
        <w:rPr>
          <w:sz w:val="20"/>
          <w:szCs w:val="20"/>
          <w:color w:val="auto"/>
        </w:rPr>
      </w:pPr>
    </w:p>
    <w:p>
      <w:pPr>
        <w:jc w:val="both"/>
        <w:ind w:left="360" w:hanging="359"/>
        <w:spacing w:after="0" w:line="318" w:lineRule="auto"/>
        <w:rPr>
          <w:sz w:val="20"/>
          <w:szCs w:val="20"/>
          <w:color w:val="auto"/>
        </w:rPr>
      </w:pPr>
      <w:r>
        <w:rPr>
          <w:rFonts w:ascii="Times New Roman" w:cs="Times New Roman" w:eastAsia="Times New Roman" w:hAnsi="Times New Roman"/>
          <w:sz w:val="21"/>
          <w:szCs w:val="21"/>
          <w:color w:val="auto"/>
        </w:rPr>
        <w:t xml:space="preserve">Rodríguez-Romero, F., F. R. Méndez, R. García-Collazo y M. Villagrán-Santa Cruz (2002), “Comparación del esfuerzo reproductor en dos especies hermanas del género </w:t>
      </w:r>
      <w:r>
        <w:rPr>
          <w:rFonts w:ascii="Times New Roman" w:cs="Times New Roman" w:eastAsia="Times New Roman" w:hAnsi="Times New Roman"/>
          <w:sz w:val="21"/>
          <w:szCs w:val="21"/>
          <w:i w:val="1"/>
          <w:iCs w:val="1"/>
          <w:color w:val="auto"/>
        </w:rPr>
        <w:t>Sceloporus</w:t>
      </w:r>
      <w:r>
        <w:rPr>
          <w:rFonts w:ascii="Times New Roman" w:cs="Times New Roman" w:eastAsia="Times New Roman" w:hAnsi="Times New Roman"/>
          <w:sz w:val="21"/>
          <w:szCs w:val="21"/>
          <w:color w:val="auto"/>
        </w:rPr>
        <w:t xml:space="preserve"> (Sauria: Phrynosomatidae) con diferente modo reproductor”,</w:t>
      </w:r>
    </w:p>
    <w:p>
      <w:pPr>
        <w:ind w:left="360"/>
        <w:spacing w:after="0"/>
        <w:rPr>
          <w:sz w:val="20"/>
          <w:szCs w:val="20"/>
          <w:color w:val="auto"/>
        </w:rPr>
      </w:pPr>
      <w:r>
        <w:rPr>
          <w:rFonts w:ascii="Times New Roman" w:cs="Times New Roman" w:eastAsia="Times New Roman" w:hAnsi="Times New Roman"/>
          <w:sz w:val="22"/>
          <w:szCs w:val="22"/>
          <w:i w:val="1"/>
          <w:iCs w:val="1"/>
          <w:color w:val="auto"/>
        </w:rPr>
        <w:t xml:space="preserve">Acta Zoológica Mexicana, </w:t>
      </w:r>
      <w:r>
        <w:rPr>
          <w:rFonts w:ascii="Times New Roman" w:cs="Times New Roman" w:eastAsia="Times New Roman" w:hAnsi="Times New Roman"/>
          <w:sz w:val="22"/>
          <w:szCs w:val="22"/>
          <w:color w:val="auto"/>
        </w:rPr>
        <w:t>85, pp. 181-188.</w:t>
      </w:r>
    </w:p>
    <w:p>
      <w:pPr>
        <w:spacing w:after="0" w:line="6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 xml:space="preserve">Rzedowski, J. (1983), </w:t>
      </w:r>
      <w:r>
        <w:rPr>
          <w:rFonts w:ascii="Times New Roman" w:cs="Times New Roman" w:eastAsia="Times New Roman" w:hAnsi="Times New Roman"/>
          <w:sz w:val="22"/>
          <w:szCs w:val="22"/>
          <w:i w:val="1"/>
          <w:iCs w:val="1"/>
          <w:color w:val="auto"/>
        </w:rPr>
        <w:t>Vegetación de México</w:t>
      </w:r>
      <w:r>
        <w:rPr>
          <w:rFonts w:ascii="Times New Roman" w:cs="Times New Roman" w:eastAsia="Times New Roman" w:hAnsi="Times New Roman"/>
          <w:sz w:val="22"/>
          <w:szCs w:val="22"/>
          <w:color w:val="auto"/>
        </w:rPr>
        <w:t>, México, Editorial Limusa.</w:t>
      </w:r>
    </w:p>
    <w:p>
      <w:pPr>
        <w:spacing w:after="0" w:line="67"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Schall, J. J. y E. R. Pianka (1980), “Evolution of escape behavior diversity”, </w:t>
      </w:r>
      <w:r>
        <w:rPr>
          <w:rFonts w:ascii="Times New Roman" w:cs="Times New Roman" w:eastAsia="Times New Roman" w:hAnsi="Times New Roman"/>
          <w:sz w:val="22"/>
          <w:szCs w:val="22"/>
          <w:i w:val="1"/>
          <w:iCs w:val="1"/>
          <w:color w:val="auto"/>
        </w:rPr>
        <w:t>The</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American Naturalist, </w:t>
      </w:r>
      <w:r>
        <w:rPr>
          <w:rFonts w:ascii="Times New Roman" w:cs="Times New Roman" w:eastAsia="Times New Roman" w:hAnsi="Times New Roman"/>
          <w:sz w:val="22"/>
          <w:szCs w:val="22"/>
          <w:color w:val="auto"/>
        </w:rPr>
        <w:t>4, pp. 551-566.</w:t>
      </w:r>
    </w:p>
    <w:p>
      <w:pPr>
        <w:spacing w:after="0" w:line="1" w:lineRule="exact"/>
        <w:rPr>
          <w:sz w:val="20"/>
          <w:szCs w:val="20"/>
          <w:color w:val="auto"/>
        </w:rPr>
      </w:pPr>
    </w:p>
    <w:p>
      <w:pPr>
        <w:jc w:val="both"/>
        <w:ind w:left="360" w:hanging="359"/>
        <w:spacing w:after="0" w:line="333" w:lineRule="auto"/>
        <w:rPr>
          <w:sz w:val="20"/>
          <w:szCs w:val="20"/>
          <w:color w:val="auto"/>
        </w:rPr>
      </w:pPr>
      <w:r>
        <w:rPr>
          <w:rFonts w:ascii="Times New Roman" w:cs="Times New Roman" w:eastAsia="Times New Roman" w:hAnsi="Times New Roman"/>
          <w:sz w:val="20"/>
          <w:szCs w:val="20"/>
          <w:color w:val="auto"/>
        </w:rPr>
        <w:t xml:space="preserve">Schwarzkopf, L. y R. Shine (1992), “Costs of reproduction in lizards: escape tactics and susceptibility to predation”, </w:t>
      </w:r>
      <w:r>
        <w:rPr>
          <w:rFonts w:ascii="Times New Roman" w:cs="Times New Roman" w:eastAsia="Times New Roman" w:hAnsi="Times New Roman"/>
          <w:sz w:val="20"/>
          <w:szCs w:val="20"/>
          <w:i w:val="1"/>
          <w:iCs w:val="1"/>
          <w:color w:val="auto"/>
        </w:rPr>
        <w:t>Behavioral Ecology and Sociobiology,</w:t>
      </w:r>
      <w:r>
        <w:rPr>
          <w:rFonts w:ascii="Times New Roman" w:cs="Times New Roman" w:eastAsia="Times New Roman" w:hAnsi="Times New Roman"/>
          <w:sz w:val="20"/>
          <w:szCs w:val="20"/>
          <w:color w:val="auto"/>
        </w:rPr>
        <w:t xml:space="preserve"> 1, pp. 17-25.</w:t>
      </w:r>
    </w:p>
    <w:p>
      <w:pPr>
        <w:spacing w:after="0" w:line="2" w:lineRule="exact"/>
        <w:rPr>
          <w:sz w:val="20"/>
          <w:szCs w:val="20"/>
          <w:color w:val="auto"/>
        </w:rPr>
      </w:pPr>
    </w:p>
    <w:p>
      <w:pPr>
        <w:jc w:val="both"/>
        <w:ind w:left="360" w:hanging="359"/>
        <w:spacing w:after="0" w:line="318" w:lineRule="auto"/>
        <w:rPr>
          <w:sz w:val="20"/>
          <w:szCs w:val="20"/>
          <w:color w:val="auto"/>
        </w:rPr>
      </w:pPr>
      <w:r>
        <w:rPr>
          <w:rFonts w:ascii="Times New Roman" w:cs="Times New Roman" w:eastAsia="Times New Roman" w:hAnsi="Times New Roman"/>
          <w:sz w:val="21"/>
          <w:szCs w:val="21"/>
          <w:color w:val="auto"/>
        </w:rPr>
        <w:t xml:space="preserve">Shine, R. (2003), “Locomotor speeds of gravid lizards: placing ‘costs of reproduction’ within an ecological context”, </w:t>
      </w:r>
      <w:r>
        <w:rPr>
          <w:rFonts w:ascii="Times New Roman" w:cs="Times New Roman" w:eastAsia="Times New Roman" w:hAnsi="Times New Roman"/>
          <w:sz w:val="21"/>
          <w:szCs w:val="21"/>
          <w:i w:val="1"/>
          <w:iCs w:val="1"/>
          <w:color w:val="auto"/>
        </w:rPr>
        <w:t>Functional Ecology,</w:t>
      </w:r>
      <w:r>
        <w:rPr>
          <w:rFonts w:ascii="Times New Roman" w:cs="Times New Roman" w:eastAsia="Times New Roman" w:hAnsi="Times New Roman"/>
          <w:sz w:val="21"/>
          <w:szCs w:val="21"/>
          <w:color w:val="auto"/>
        </w:rPr>
        <w:t xml:space="preserve"> 4, pp. 526-533.</w:t>
      </w:r>
    </w:p>
    <w:p>
      <w:pPr>
        <w:jc w:val="both"/>
        <w:ind w:left="360" w:hanging="359"/>
        <w:spacing w:after="0" w:line="311" w:lineRule="auto"/>
        <w:rPr>
          <w:sz w:val="20"/>
          <w:szCs w:val="20"/>
          <w:color w:val="auto"/>
        </w:rPr>
      </w:pPr>
      <w:r>
        <w:rPr>
          <w:rFonts w:ascii="Times New Roman" w:cs="Times New Roman" w:eastAsia="Times New Roman" w:hAnsi="Times New Roman"/>
          <w:sz w:val="22"/>
          <w:szCs w:val="22"/>
          <w:color w:val="auto"/>
        </w:rPr>
        <w:t>Tsuji, J. S., R. B. Huey, F. H. van Berkum, T. Garland Jr. y Ruth G. Shaw (1989), “Locomotor performance of hatchling fence lizards (</w:t>
      </w:r>
      <w:r>
        <w:rPr>
          <w:rFonts w:ascii="Times New Roman" w:cs="Times New Roman" w:eastAsia="Times New Roman" w:hAnsi="Times New Roman"/>
          <w:sz w:val="22"/>
          <w:szCs w:val="22"/>
          <w:i w:val="1"/>
          <w:iCs w:val="1"/>
          <w:color w:val="auto"/>
        </w:rPr>
        <w:t>Sceloporus occidentalis</w:t>
      </w:r>
      <w:r>
        <w:rPr>
          <w:rFonts w:ascii="Times New Roman" w:cs="Times New Roman" w:eastAsia="Times New Roman" w:hAnsi="Times New Roman"/>
          <w:sz w:val="22"/>
          <w:szCs w:val="22"/>
          <w:color w:val="auto"/>
        </w:rPr>
        <w:t xml:space="preserve">): quantitative genetics and morphometric correlates”, </w:t>
      </w:r>
      <w:r>
        <w:rPr>
          <w:rFonts w:ascii="Times New Roman" w:cs="Times New Roman" w:eastAsia="Times New Roman" w:hAnsi="Times New Roman"/>
          <w:sz w:val="22"/>
          <w:szCs w:val="22"/>
          <w:i w:val="1"/>
          <w:iCs w:val="1"/>
          <w:color w:val="auto"/>
        </w:rPr>
        <w:t>Evolutionary Ecology,</w:t>
      </w:r>
      <w:r>
        <w:rPr>
          <w:rFonts w:ascii="Times New Roman" w:cs="Times New Roman" w:eastAsia="Times New Roman" w:hAnsi="Times New Roman"/>
          <w:sz w:val="22"/>
          <w:szCs w:val="22"/>
          <w:color w:val="auto"/>
        </w:rPr>
        <w:t xml:space="preserve"> 3, pp. 240-252.</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353"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82" w:name="page83"/>
    <w:bookmarkEnd w:id="82"/>
    <w:p>
      <w:pPr>
        <w:spacing w:after="0"/>
        <w:tabs>
          <w:tab w:leader="none" w:pos="1960" w:val="left"/>
          <w:tab w:leader="none" w:pos="3100" w:val="left"/>
          <w:tab w:leader="none" w:pos="4260" w:val="left"/>
        </w:tabs>
        <w:rPr>
          <w:sz w:val="20"/>
          <w:szCs w:val="20"/>
          <w:color w:val="auto"/>
        </w:rPr>
      </w:pPr>
      <w:r>
        <w:rPr>
          <w:rFonts w:ascii="Arial Narrow" w:cs="Arial Narrow" w:eastAsia="Arial Narrow" w:hAnsi="Arial Narrow"/>
          <w:sz w:val="16"/>
          <w:szCs w:val="16"/>
          <w:color w:val="auto"/>
        </w:rPr>
        <w:t>82</w:t>
      </w:r>
      <w:r>
        <w:rPr>
          <w:sz w:val="20"/>
          <w:szCs w:val="20"/>
          <w:color w:val="auto"/>
        </w:rPr>
        <w:tab/>
      </w:r>
      <w:r>
        <w:rPr>
          <w:rFonts w:ascii="Arial Narrow" w:cs="Arial Narrow" w:eastAsia="Arial Narrow" w:hAnsi="Arial Narrow"/>
          <w:sz w:val="11"/>
          <w:szCs w:val="11"/>
          <w:color w:val="auto"/>
        </w:rPr>
        <w:t>suárez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1945640</wp:posOffset>
                </wp:positionH>
                <wp:positionV relativeFrom="paragraph">
                  <wp:posOffset>-76835</wp:posOffset>
                </wp:positionV>
                <wp:extent cx="0" cy="88900"/>
                <wp:wrapNone/>
                <wp:docPr id="180" name="Shape 18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80" o:spid="_x0000_s120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3.2pt,-6.0499pt" to="153.2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2689225</wp:posOffset>
                </wp:positionH>
                <wp:positionV relativeFrom="paragraph">
                  <wp:posOffset>-76835</wp:posOffset>
                </wp:positionV>
                <wp:extent cx="0" cy="88900"/>
                <wp:wrapNone/>
                <wp:docPr id="181" name="Shape 18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81" o:spid="_x0000_s120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1.75pt,-6.0499pt" to="211.75pt,0.95pt" o:allowincell="f" strokecolor="#000000" strokeweight="0.4pt"/>
            </w:pict>
          </mc:Fallback>
        </mc:AlternateContent>
      </w:r>
    </w:p>
    <w:p>
      <w:pPr>
        <w:spacing w:after="0" w:line="347"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Urban, E. K. (1965), “Quantitative study of locomotion in teiid lizards”, </w:t>
      </w:r>
      <w:r>
        <w:rPr>
          <w:rFonts w:ascii="Times New Roman" w:cs="Times New Roman" w:eastAsia="Times New Roman" w:hAnsi="Times New Roman"/>
          <w:sz w:val="22"/>
          <w:szCs w:val="22"/>
          <w:i w:val="1"/>
          <w:iCs w:val="1"/>
          <w:color w:val="auto"/>
        </w:rPr>
        <w:t>Animal</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Behaviour, </w:t>
      </w:r>
      <w:r>
        <w:rPr>
          <w:rFonts w:ascii="Times New Roman" w:cs="Times New Roman" w:eastAsia="Times New Roman" w:hAnsi="Times New Roman"/>
          <w:sz w:val="22"/>
          <w:szCs w:val="22"/>
          <w:color w:val="auto"/>
        </w:rPr>
        <w:t>4, pp. 513-529.</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Valencia Flores, A. L. (2008), </w:t>
      </w:r>
      <w:r>
        <w:rPr>
          <w:rFonts w:ascii="Times New Roman" w:cs="Times New Roman" w:eastAsia="Times New Roman" w:hAnsi="Times New Roman"/>
          <w:sz w:val="22"/>
          <w:szCs w:val="22"/>
          <w:i w:val="1"/>
          <w:iCs w:val="1"/>
          <w:color w:val="auto"/>
        </w:rPr>
        <w:t>Ecomorfología en lagartijas de los géneros</w:t>
      </w:r>
      <w:r>
        <w:rPr>
          <w:rFonts w:ascii="Times New Roman" w:cs="Times New Roman" w:eastAsia="Times New Roman" w:hAnsi="Times New Roman"/>
          <w:sz w:val="22"/>
          <w:szCs w:val="22"/>
          <w:color w:val="auto"/>
        </w:rPr>
        <w:t xml:space="preserve"> Sceloporus, Aspidoscelis </w:t>
      </w:r>
      <w:r>
        <w:rPr>
          <w:rFonts w:ascii="Times New Roman" w:cs="Times New Roman" w:eastAsia="Times New Roman" w:hAnsi="Times New Roman"/>
          <w:sz w:val="22"/>
          <w:szCs w:val="22"/>
          <w:i w:val="1"/>
          <w:iCs w:val="1"/>
          <w:color w:val="auto"/>
        </w:rPr>
        <w:t>y</w:t>
      </w:r>
      <w:r>
        <w:rPr>
          <w:rFonts w:ascii="Times New Roman" w:cs="Times New Roman" w:eastAsia="Times New Roman" w:hAnsi="Times New Roman"/>
          <w:sz w:val="22"/>
          <w:szCs w:val="22"/>
          <w:color w:val="auto"/>
        </w:rPr>
        <w:t xml:space="preserve"> Lepidophyma </w:t>
      </w:r>
      <w:r>
        <w:rPr>
          <w:rFonts w:ascii="Times New Roman" w:cs="Times New Roman" w:eastAsia="Times New Roman" w:hAnsi="Times New Roman"/>
          <w:sz w:val="22"/>
          <w:szCs w:val="22"/>
          <w:i w:val="1"/>
          <w:iCs w:val="1"/>
          <w:color w:val="auto"/>
        </w:rPr>
        <w:t>(Squamata),</w:t>
      </w:r>
      <w:r>
        <w:rPr>
          <w:rFonts w:ascii="Times New Roman" w:cs="Times New Roman" w:eastAsia="Times New Roman" w:hAnsi="Times New Roman"/>
          <w:sz w:val="22"/>
          <w:szCs w:val="22"/>
          <w:color w:val="auto"/>
        </w:rPr>
        <w:t xml:space="preserve"> tesis de licenciatura, Toluca, Facultad de Ciencias/Universidad Autónoma del Estado de México.</w:t>
      </w:r>
    </w:p>
    <w:p>
      <w:pPr>
        <w:spacing w:after="0" w:line="2" w:lineRule="exact"/>
        <w:rPr>
          <w:sz w:val="20"/>
          <w:szCs w:val="20"/>
          <w:color w:val="auto"/>
        </w:rPr>
      </w:pPr>
    </w:p>
    <w:p>
      <w:pPr>
        <w:jc w:val="both"/>
        <w:ind w:left="360" w:hanging="359"/>
        <w:spacing w:after="0" w:line="333" w:lineRule="auto"/>
        <w:rPr>
          <w:sz w:val="20"/>
          <w:szCs w:val="20"/>
          <w:color w:val="auto"/>
        </w:rPr>
      </w:pPr>
      <w:r>
        <w:rPr>
          <w:rFonts w:ascii="Times New Roman" w:cs="Times New Roman" w:eastAsia="Times New Roman" w:hAnsi="Times New Roman"/>
          <w:sz w:val="20"/>
          <w:szCs w:val="20"/>
          <w:color w:val="auto"/>
        </w:rPr>
        <w:t xml:space="preserve">Valenzuela, G. V. (1986), </w:t>
      </w:r>
      <w:r>
        <w:rPr>
          <w:rFonts w:ascii="Times New Roman" w:cs="Times New Roman" w:eastAsia="Times New Roman" w:hAnsi="Times New Roman"/>
          <w:sz w:val="20"/>
          <w:szCs w:val="20"/>
          <w:i w:val="1"/>
          <w:iCs w:val="1"/>
          <w:color w:val="auto"/>
        </w:rPr>
        <w:t>Estudio preliminar sobre microfagia por animales silvestres de la</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Estación Experimental de Fauna Silvestre, San Cayetano, Estado de México</w:t>
      </w:r>
      <w:r>
        <w:rPr>
          <w:rFonts w:ascii="Times New Roman" w:cs="Times New Roman" w:eastAsia="Times New Roman" w:hAnsi="Times New Roman"/>
          <w:sz w:val="20"/>
          <w:szCs w:val="20"/>
          <w:color w:val="auto"/>
        </w:rPr>
        <w:t>, tesis de</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licenciatura, México, Universidad Nacional Autónoma de México.</w:t>
      </w:r>
    </w:p>
    <w:p>
      <w:pPr>
        <w:spacing w:after="0" w:line="3"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Van Damme R., P. Aerts y B. Vanhooydonck (1998), “Variation in morphology, gait characteristics and speed of locomotion in two populations of lizards”, </w:t>
      </w:r>
      <w:r>
        <w:rPr>
          <w:rFonts w:ascii="Times New Roman" w:cs="Times New Roman" w:eastAsia="Times New Roman" w:hAnsi="Times New Roman"/>
          <w:sz w:val="22"/>
          <w:szCs w:val="22"/>
          <w:i w:val="1"/>
          <w:iCs w:val="1"/>
          <w:color w:val="auto"/>
        </w:rPr>
        <w:t>Biological</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Journal of the Linnean Society, </w:t>
      </w:r>
      <w:r>
        <w:rPr>
          <w:rFonts w:ascii="Times New Roman" w:cs="Times New Roman" w:eastAsia="Times New Roman" w:hAnsi="Times New Roman"/>
          <w:sz w:val="22"/>
          <w:szCs w:val="22"/>
          <w:color w:val="auto"/>
        </w:rPr>
        <w:t>63, pp. 409-427.</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Van Damme R. y B. Vanhooydonck (2001), “Origins of interspecific variation in lizard sprint capacity”, </w:t>
      </w:r>
      <w:r>
        <w:rPr>
          <w:rFonts w:ascii="Times New Roman" w:cs="Times New Roman" w:eastAsia="Times New Roman" w:hAnsi="Times New Roman"/>
          <w:sz w:val="22"/>
          <w:szCs w:val="22"/>
          <w:i w:val="1"/>
          <w:iCs w:val="1"/>
          <w:color w:val="auto"/>
        </w:rPr>
        <w:t>Functional Ecology</w:t>
      </w:r>
      <w:r>
        <w:rPr>
          <w:rFonts w:ascii="Times New Roman" w:cs="Times New Roman" w:eastAsia="Times New Roman" w:hAnsi="Times New Roman"/>
          <w:sz w:val="22"/>
          <w:szCs w:val="22"/>
          <w:color w:val="auto"/>
        </w:rPr>
        <w:t>, 15, pp. 186-202.</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Vanhooydonck, B., R. van Damme y P. Aerts (2002), “Variation in speed, gait characteristics and microhabitat use in lacertids lizards”, </w:t>
      </w:r>
      <w:r>
        <w:rPr>
          <w:rFonts w:ascii="Times New Roman" w:cs="Times New Roman" w:eastAsia="Times New Roman" w:hAnsi="Times New Roman"/>
          <w:sz w:val="22"/>
          <w:szCs w:val="22"/>
          <w:i w:val="1"/>
          <w:iCs w:val="1"/>
          <w:color w:val="auto"/>
        </w:rPr>
        <w:t>The Journal of Experimental</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Biology</w:t>
      </w:r>
      <w:r>
        <w:rPr>
          <w:rFonts w:ascii="Times New Roman" w:cs="Times New Roman" w:eastAsia="Times New Roman" w:hAnsi="Times New Roman"/>
          <w:sz w:val="22"/>
          <w:szCs w:val="22"/>
          <w:color w:val="auto"/>
        </w:rPr>
        <w:t>, 205, pp. 1037-1046.</w:t>
      </w:r>
    </w:p>
    <w:p>
      <w:pPr>
        <w:spacing w:after="0" w:line="2" w:lineRule="exact"/>
        <w:rPr>
          <w:sz w:val="20"/>
          <w:szCs w:val="20"/>
          <w:color w:val="auto"/>
        </w:rPr>
      </w:pPr>
    </w:p>
    <w:p>
      <w:pPr>
        <w:jc w:val="both"/>
        <w:ind w:left="360" w:hanging="359"/>
        <w:spacing w:after="0" w:line="333" w:lineRule="auto"/>
        <w:rPr>
          <w:sz w:val="20"/>
          <w:szCs w:val="20"/>
          <w:color w:val="auto"/>
        </w:rPr>
      </w:pPr>
      <w:r>
        <w:rPr>
          <w:rFonts w:ascii="Times New Roman" w:cs="Times New Roman" w:eastAsia="Times New Roman" w:hAnsi="Times New Roman"/>
          <w:sz w:val="20"/>
          <w:szCs w:val="20"/>
          <w:color w:val="auto"/>
        </w:rPr>
        <w:t xml:space="preserve">Vanhooydonck, B., P. Aerts, D. J. Irschick y A. Herrel (2006), “Power generation during locomotion in </w:t>
      </w:r>
      <w:r>
        <w:rPr>
          <w:rFonts w:ascii="Times New Roman" w:cs="Times New Roman" w:eastAsia="Times New Roman" w:hAnsi="Times New Roman"/>
          <w:sz w:val="20"/>
          <w:szCs w:val="20"/>
          <w:i w:val="1"/>
          <w:iCs w:val="1"/>
          <w:color w:val="auto"/>
        </w:rPr>
        <w:t>Anolis</w:t>
      </w:r>
      <w:r>
        <w:rPr>
          <w:rFonts w:ascii="Times New Roman" w:cs="Times New Roman" w:eastAsia="Times New Roman" w:hAnsi="Times New Roman"/>
          <w:sz w:val="20"/>
          <w:szCs w:val="20"/>
          <w:color w:val="auto"/>
        </w:rPr>
        <w:t xml:space="preserve"> lizards: an ecomorphological approach”, en A. Herrel, T. Speck y N. Rowe (eds.), </w:t>
      </w:r>
      <w:r>
        <w:rPr>
          <w:rFonts w:ascii="Times New Roman" w:cs="Times New Roman" w:eastAsia="Times New Roman" w:hAnsi="Times New Roman"/>
          <w:sz w:val="20"/>
          <w:szCs w:val="20"/>
          <w:i w:val="1"/>
          <w:iCs w:val="1"/>
          <w:color w:val="auto"/>
        </w:rPr>
        <w:t>Ecology and biomechanics: a mechanical approach to the</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ecology of animals and plants</w:t>
      </w:r>
      <w:r>
        <w:rPr>
          <w:rFonts w:ascii="Times New Roman" w:cs="Times New Roman" w:eastAsia="Times New Roman" w:hAnsi="Times New Roman"/>
          <w:sz w:val="20"/>
          <w:szCs w:val="20"/>
          <w:color w:val="auto"/>
        </w:rPr>
        <w:t>, CRC Press, Boca Raton, pp. 253-269.</w:t>
      </w:r>
    </w:p>
    <w:p>
      <w:pPr>
        <w:spacing w:after="0" w:line="4"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Vitt, L. J. (1992), “Mimicry of millipedes and centipedes by elongate terrestrial vertebrates”, </w:t>
      </w:r>
      <w:r>
        <w:rPr>
          <w:rFonts w:ascii="Times New Roman" w:cs="Times New Roman" w:eastAsia="Times New Roman" w:hAnsi="Times New Roman"/>
          <w:sz w:val="22"/>
          <w:szCs w:val="22"/>
          <w:i w:val="1"/>
          <w:iCs w:val="1"/>
          <w:color w:val="auto"/>
        </w:rPr>
        <w:t>National Geographics Researchs Exploits,</w:t>
      </w:r>
      <w:r>
        <w:rPr>
          <w:rFonts w:ascii="Times New Roman" w:cs="Times New Roman" w:eastAsia="Times New Roman" w:hAnsi="Times New Roman"/>
          <w:sz w:val="22"/>
          <w:szCs w:val="22"/>
          <w:color w:val="auto"/>
        </w:rPr>
        <w:t xml:space="preserve"> 8, pp. 76-95.</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Warner, D. A. y R. M. Andrews (2002), “Laboratory and field experiments identify sources of variation in phenotypes and survival of hatchling lizards”, </w:t>
      </w:r>
      <w:r>
        <w:rPr>
          <w:rFonts w:ascii="Times New Roman" w:cs="Times New Roman" w:eastAsia="Times New Roman" w:hAnsi="Times New Roman"/>
          <w:sz w:val="22"/>
          <w:szCs w:val="22"/>
          <w:i w:val="1"/>
          <w:iCs w:val="1"/>
          <w:color w:val="auto"/>
        </w:rPr>
        <w:t>Biological</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Journal of the Linnean Society</w:t>
      </w:r>
      <w:r>
        <w:rPr>
          <w:rFonts w:ascii="Times New Roman" w:cs="Times New Roman" w:eastAsia="Times New Roman" w:hAnsi="Times New Roman"/>
          <w:sz w:val="22"/>
          <w:szCs w:val="22"/>
          <w:color w:val="auto"/>
        </w:rPr>
        <w:t>, 1, pp. 105-124.</w:t>
      </w:r>
    </w:p>
    <w:p>
      <w:pPr>
        <w:spacing w:after="0" w:line="2" w:lineRule="exact"/>
        <w:rPr>
          <w:sz w:val="20"/>
          <w:szCs w:val="20"/>
          <w:color w:val="auto"/>
        </w:rPr>
      </w:pPr>
    </w:p>
    <w:p>
      <w:pPr>
        <w:jc w:val="both"/>
        <w:ind w:left="360" w:hanging="359"/>
        <w:spacing w:after="0" w:line="333" w:lineRule="auto"/>
        <w:rPr>
          <w:sz w:val="20"/>
          <w:szCs w:val="20"/>
          <w:color w:val="auto"/>
        </w:rPr>
      </w:pPr>
      <w:r>
        <w:rPr>
          <w:rFonts w:ascii="Times New Roman" w:cs="Times New Roman" w:eastAsia="Times New Roman" w:hAnsi="Times New Roman"/>
          <w:sz w:val="20"/>
          <w:szCs w:val="20"/>
          <w:color w:val="auto"/>
        </w:rPr>
        <w:t xml:space="preserve">Zaldívar, R. A., W. Schmit y P. Heimes (2004), </w:t>
      </w:r>
      <w:r>
        <w:rPr>
          <w:rFonts w:ascii="Times New Roman" w:cs="Times New Roman" w:eastAsia="Times New Roman" w:hAnsi="Times New Roman"/>
          <w:sz w:val="20"/>
          <w:szCs w:val="20"/>
          <w:i w:val="1"/>
          <w:iCs w:val="1"/>
          <w:color w:val="auto"/>
        </w:rPr>
        <w:t>Barisia imbricate</w:t>
      </w:r>
      <w:r>
        <w:rPr>
          <w:rFonts w:ascii="Times New Roman" w:cs="Times New Roman" w:eastAsia="Times New Roman" w:hAnsi="Times New Roman"/>
          <w:sz w:val="20"/>
          <w:szCs w:val="20"/>
          <w:color w:val="auto"/>
        </w:rPr>
        <w:t xml:space="preserve"> [Bases de datos snib/ Conabio], http://www.conabio.gob.mx/conocimiento/ise/fichas/doctos/reptiles, consultado el, 23 de noviembre de 2009</w:t>
      </w:r>
    </w:p>
    <w:p>
      <w:pPr>
        <w:spacing w:after="0" w:line="3"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 xml:space="preserve">Zar, H. J. (1999), </w:t>
      </w:r>
      <w:r>
        <w:rPr>
          <w:rFonts w:ascii="Times New Roman" w:cs="Times New Roman" w:eastAsia="Times New Roman" w:hAnsi="Times New Roman"/>
          <w:sz w:val="22"/>
          <w:szCs w:val="22"/>
          <w:i w:val="1"/>
          <w:iCs w:val="1"/>
          <w:color w:val="auto"/>
        </w:rPr>
        <w:t>Biostatistical analysis</w:t>
      </w:r>
      <w:r>
        <w:rPr>
          <w:rFonts w:ascii="Times New Roman" w:cs="Times New Roman" w:eastAsia="Times New Roman" w:hAnsi="Times New Roman"/>
          <w:sz w:val="22"/>
          <w:szCs w:val="22"/>
          <w:color w:val="auto"/>
        </w:rPr>
        <w:t>, Estados Unidos, Prentice Hall, 4ª ed.</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1"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82" name="Shape 18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82" o:spid="_x0000_s120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83" name="Shape 18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83" o:spid="_x0000_s120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84" name="Shape 18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84" o:spid="_x0000_s120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83" w:name="page84"/>
    <w:bookmarkEnd w:id="83"/>
    <w:p>
      <w:pPr>
        <w:spacing w:after="0" w:line="198" w:lineRule="exact"/>
        <w:rPr>
          <w:sz w:val="20"/>
          <w:szCs w:val="20"/>
          <w:color w:val="auto"/>
        </w:rPr>
      </w:pPr>
    </w:p>
    <w:p>
      <w:pPr>
        <w:ind w:left="420"/>
        <w:spacing w:after="0"/>
        <w:rPr>
          <w:sz w:val="20"/>
          <w:szCs w:val="20"/>
          <w:color w:val="auto"/>
        </w:rPr>
      </w:pPr>
      <w:r>
        <w:rPr>
          <w:rFonts w:ascii="Times New Roman" w:cs="Times New Roman" w:eastAsia="Times New Roman" w:hAnsi="Times New Roman"/>
          <w:sz w:val="22"/>
          <w:szCs w:val="22"/>
          <w:color w:val="auto"/>
        </w:rPr>
        <w:t>MORFOLOGÍA GEOMÉTRICA DE LAS ESCAMAS CEFÁLICAS</w:t>
      </w:r>
    </w:p>
    <w:p>
      <w:pPr>
        <w:spacing w:after="0" w:line="67" w:lineRule="exact"/>
        <w:rPr>
          <w:sz w:val="20"/>
          <w:szCs w:val="20"/>
          <w:color w:val="auto"/>
        </w:rPr>
      </w:pPr>
    </w:p>
    <w:p>
      <w:pPr>
        <w:ind w:left="2380"/>
        <w:spacing w:after="0"/>
        <w:rPr>
          <w:sz w:val="20"/>
          <w:szCs w:val="20"/>
          <w:color w:val="auto"/>
        </w:rPr>
      </w:pPr>
      <w:r>
        <w:rPr>
          <w:rFonts w:ascii="Times New Roman" w:cs="Times New Roman" w:eastAsia="Times New Roman" w:hAnsi="Times New Roman"/>
          <w:sz w:val="22"/>
          <w:szCs w:val="22"/>
          <w:color w:val="auto"/>
        </w:rPr>
        <w:t xml:space="preserve">EN </w:t>
      </w:r>
      <w:r>
        <w:rPr>
          <w:rFonts w:ascii="Times New Roman" w:cs="Times New Roman" w:eastAsia="Times New Roman" w:hAnsi="Times New Roman"/>
          <w:sz w:val="22"/>
          <w:szCs w:val="22"/>
          <w:i w:val="1"/>
          <w:iCs w:val="1"/>
          <w:color w:val="auto"/>
        </w:rPr>
        <w:t>BARISIA IMBRICATA</w:t>
      </w:r>
    </w:p>
    <w:p>
      <w:pPr>
        <w:spacing w:after="0" w:line="200" w:lineRule="exact"/>
        <w:rPr>
          <w:sz w:val="20"/>
          <w:szCs w:val="20"/>
          <w:color w:val="auto"/>
        </w:rPr>
      </w:pPr>
    </w:p>
    <w:p>
      <w:pPr>
        <w:spacing w:after="0" w:line="205"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0"/>
          <w:szCs w:val="20"/>
          <w:i w:val="1"/>
          <w:iCs w:val="1"/>
          <w:color w:val="auto"/>
        </w:rPr>
        <w:t>J. M. Carmen-Cristóbal</w:t>
      </w:r>
    </w:p>
    <w:p>
      <w:pPr>
        <w:spacing w:after="0" w:line="90"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0"/>
          <w:szCs w:val="20"/>
          <w:i w:val="1"/>
          <w:iCs w:val="1"/>
          <w:color w:val="auto"/>
        </w:rPr>
        <w:t>F. Rodríguez-Romero</w:t>
      </w:r>
    </w:p>
    <w:p>
      <w:pPr>
        <w:spacing w:after="0" w:line="90"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0"/>
          <w:szCs w:val="20"/>
          <w:i w:val="1"/>
          <w:iCs w:val="1"/>
          <w:color w:val="auto"/>
        </w:rPr>
        <w:t>P. Sánchez-Nava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2"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Resumen</w:t>
      </w:r>
    </w:p>
    <w:p>
      <w:pPr>
        <w:spacing w:after="0" w:line="387" w:lineRule="exact"/>
        <w:rPr>
          <w:sz w:val="20"/>
          <w:szCs w:val="20"/>
          <w:color w:val="auto"/>
        </w:rPr>
      </w:pPr>
    </w:p>
    <w:p>
      <w:pPr>
        <w:jc w:val="both"/>
        <w:spacing w:after="0" w:line="336" w:lineRule="auto"/>
        <w:rPr>
          <w:sz w:val="20"/>
          <w:szCs w:val="20"/>
          <w:color w:val="auto"/>
        </w:rPr>
      </w:pPr>
      <w:r>
        <w:rPr>
          <w:rFonts w:ascii="Times New Roman" w:cs="Times New Roman" w:eastAsia="Times New Roman" w:hAnsi="Times New Roman"/>
          <w:sz w:val="20"/>
          <w:szCs w:val="20"/>
          <w:color w:val="auto"/>
        </w:rPr>
        <w:t xml:space="preserve">La morfometría geométrica es una herramienta usada para realizar comparaciones que permiten visualizar las diferencias entre organismos y, al mismo tiempo, entre las poblaciones de estudio; da respuestas que llevan a la deducción de la interacción entre marcas, funcionamiento del carácter morfológico e importancia sistemática a través de la descripción cuantitativa, análisis y variación de la forma; define el dimorfismo sexual y también es esencial para trabajar en grupos donde no es muy clara esta característica, tal es el caso de </w:t>
      </w:r>
      <w:r>
        <w:rPr>
          <w:rFonts w:ascii="Times New Roman" w:cs="Times New Roman" w:eastAsia="Times New Roman" w:hAnsi="Times New Roman"/>
          <w:sz w:val="20"/>
          <w:szCs w:val="20"/>
          <w:i w:val="1"/>
          <w:iCs w:val="1"/>
          <w:color w:val="auto"/>
        </w:rPr>
        <w:t>Barisia imbricata</w:t>
      </w:r>
      <w:r>
        <w:rPr>
          <w:rFonts w:ascii="Times New Roman" w:cs="Times New Roman" w:eastAsia="Times New Roman" w:hAnsi="Times New Roman"/>
          <w:sz w:val="20"/>
          <w:szCs w:val="20"/>
          <w:color w:val="auto"/>
        </w:rPr>
        <w:t xml:space="preserve">. Los objetivos de este trabajo fueron determinar si existe dimorfismo sexual intra e interespecíficamente en </w:t>
      </w:r>
      <w:r>
        <w:rPr>
          <w:rFonts w:ascii="Times New Roman" w:cs="Times New Roman" w:eastAsia="Times New Roman" w:hAnsi="Times New Roman"/>
          <w:sz w:val="20"/>
          <w:szCs w:val="20"/>
          <w:i w:val="1"/>
          <w:iCs w:val="1"/>
          <w:color w:val="auto"/>
        </w:rPr>
        <w:t>Barisia</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imbricata</w:t>
      </w:r>
      <w:r>
        <w:rPr>
          <w:rFonts w:ascii="Times New Roman" w:cs="Times New Roman" w:eastAsia="Times New Roman" w:hAnsi="Times New Roman"/>
          <w:sz w:val="20"/>
          <w:szCs w:val="20"/>
          <w:color w:val="auto"/>
        </w:rPr>
        <w:t>, así como analizar, comparar y relacionar las escamas cefálicas (dorsales,</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 xml:space="preserve">laterales y ventrales, así como la forma de la cabeza), inter e intrasexualmente, de esta especie de tres localidades del Estado de México (Parque Sierra Morelos, El Mapa y Nevado de Toluca) utilizando la morfología geométrica. Los resultados sugieren que no hay diferencias significativas en las escamas dorsales, ventrales y forma de la cabeza en </w:t>
      </w:r>
      <w:r>
        <w:rPr>
          <w:rFonts w:ascii="Times New Roman" w:cs="Times New Roman" w:eastAsia="Times New Roman" w:hAnsi="Times New Roman"/>
          <w:sz w:val="20"/>
          <w:szCs w:val="20"/>
          <w:i w:val="1"/>
          <w:iCs w:val="1"/>
          <w:color w:val="auto"/>
        </w:rPr>
        <w:t>B. imbricata</w:t>
      </w:r>
      <w:r>
        <w:rPr>
          <w:rFonts w:ascii="Times New Roman" w:cs="Times New Roman" w:eastAsia="Times New Roman" w:hAnsi="Times New Roman"/>
          <w:sz w:val="20"/>
          <w:szCs w:val="20"/>
          <w:color w:val="auto"/>
        </w:rPr>
        <w:t xml:space="preserve"> de las tres áreas de estudio, pues no se observan entidades o morfotipos definidos dentro de dichas zonas. En las escamas laterales, al realizar la F de Goodall (</w:t>
      </w:r>
      <w:r>
        <w:rPr>
          <w:rFonts w:ascii="Times New Roman" w:cs="Times New Roman" w:eastAsia="Times New Roman" w:hAnsi="Times New Roman"/>
          <w:sz w:val="20"/>
          <w:szCs w:val="20"/>
          <w:i w:val="1"/>
          <w:iCs w:val="1"/>
          <w:color w:val="auto"/>
        </w:rPr>
        <w:t>F</w:t>
      </w:r>
      <w:r>
        <w:rPr>
          <w:rFonts w:ascii="Times New Roman" w:cs="Times New Roman" w:eastAsia="Times New Roman" w:hAnsi="Times New Roman"/>
          <w:sz w:val="20"/>
          <w:szCs w:val="20"/>
          <w:color w:val="auto"/>
        </w:rPr>
        <w:t xml:space="preserve"> = 1.5831, </w:t>
      </w:r>
      <w:r>
        <w:rPr>
          <w:rFonts w:ascii="Times New Roman" w:cs="Times New Roman" w:eastAsia="Times New Roman" w:hAnsi="Times New Roman"/>
          <w:sz w:val="20"/>
          <w:szCs w:val="20"/>
          <w:i w:val="1"/>
          <w:iCs w:val="1"/>
          <w:color w:val="auto"/>
        </w:rPr>
        <w:t>p</w:t>
      </w:r>
      <w:r>
        <w:rPr>
          <w:rFonts w:ascii="Times New Roman" w:cs="Times New Roman" w:eastAsia="Times New Roman" w:hAnsi="Times New Roman"/>
          <w:sz w:val="20"/>
          <w:szCs w:val="20"/>
          <w:color w:val="auto"/>
        </w:rPr>
        <w:t xml:space="preserve"> = 0.0250), apareció que sí existen diferencias significativas entre el Parque Sierra y El Mapa. En el análisis de las escamas laterales de las lagartijas de El Mapa, se observó que la altura de la cabeza es mayor en los machos y con una mayor distancia entre el borde de la escama rostral y la subocular; en las hembras, la escama subocular es más alargada. Por consiguiente, el presente estudio sugiere que la especie</w:t>
      </w:r>
    </w:p>
    <w:p>
      <w:pPr>
        <w:sectPr>
          <w:pgSz w:w="9360" w:h="13039" w:orient="portrait"/>
          <w:cols w:equalWidth="0" w:num="1">
            <w:col w:w="7200"/>
          </w:cols>
          <w:pgMar w:left="1080" w:top="1440" w:right="1080" w:bottom="437" w:gutter="0" w:footer="0" w:header="0"/>
        </w:sectPr>
      </w:pPr>
    </w:p>
    <w:p>
      <w:pPr>
        <w:spacing w:after="0" w:line="200" w:lineRule="exact"/>
        <w:rPr>
          <w:sz w:val="20"/>
          <w:szCs w:val="20"/>
          <w:color w:val="auto"/>
        </w:rPr>
      </w:pPr>
    </w:p>
    <w:p>
      <w:pPr>
        <w:spacing w:after="0" w:line="335"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1440" w:right="1080" w:bottom="437" w:gutter="0" w:footer="0" w:header="0"/>
          <w:type w:val="continuous"/>
        </w:sectPr>
      </w:pPr>
    </w:p>
    <w:bookmarkStart w:id="84" w:name="page85"/>
    <w:bookmarkEnd w:id="84"/>
    <w:p>
      <w:pPr>
        <w:spacing w:after="0"/>
        <w:tabs>
          <w:tab w:leader="none" w:pos="2040" w:val="left"/>
          <w:tab w:leader="none" w:pos="3180" w:val="left"/>
          <w:tab w:leader="none" w:pos="4340" w:val="left"/>
        </w:tabs>
        <w:rPr>
          <w:sz w:val="20"/>
          <w:szCs w:val="20"/>
          <w:color w:val="auto"/>
        </w:rPr>
      </w:pPr>
      <w:r>
        <w:rPr>
          <w:rFonts w:ascii="Arial Narrow" w:cs="Arial Narrow" w:eastAsia="Arial Narrow" w:hAnsi="Arial Narrow"/>
          <w:sz w:val="16"/>
          <w:szCs w:val="16"/>
          <w:color w:val="auto"/>
        </w:rPr>
        <w:t>84</w:t>
      </w:r>
      <w:r>
        <w:rPr>
          <w:sz w:val="20"/>
          <w:szCs w:val="20"/>
          <w:color w:val="auto"/>
        </w:rPr>
        <w:tab/>
      </w:r>
      <w:r>
        <w:rPr>
          <w:rFonts w:ascii="Arial Narrow" w:cs="Arial Narrow" w:eastAsia="Arial Narrow" w:hAnsi="Arial Narrow"/>
          <w:sz w:val="11"/>
          <w:szCs w:val="11"/>
          <w:color w:val="auto"/>
        </w:rPr>
        <w:t>carmen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cristóbal</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nava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1994535</wp:posOffset>
                </wp:positionH>
                <wp:positionV relativeFrom="paragraph">
                  <wp:posOffset>-76835</wp:posOffset>
                </wp:positionV>
                <wp:extent cx="0" cy="88900"/>
                <wp:wrapNone/>
                <wp:docPr id="185" name="Shape 18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85" o:spid="_x0000_s121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7.05pt,-6.0499pt" to="157.0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2738120</wp:posOffset>
                </wp:positionH>
                <wp:positionV relativeFrom="paragraph">
                  <wp:posOffset>-76835</wp:posOffset>
                </wp:positionV>
                <wp:extent cx="0" cy="88900"/>
                <wp:wrapNone/>
                <wp:docPr id="186" name="Shape 18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86" o:spid="_x0000_s121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5.6pt,-6.0499pt" to="215.6pt,0.95pt" o:allowincell="f" strokecolor="#000000" strokeweight="0.4pt"/>
            </w:pict>
          </mc:Fallback>
        </mc:AlternateContent>
      </w:r>
    </w:p>
    <w:p>
      <w:pPr>
        <w:spacing w:after="0" w:line="347" w:lineRule="exact"/>
        <w:rPr>
          <w:sz w:val="20"/>
          <w:szCs w:val="20"/>
          <w:color w:val="auto"/>
        </w:rPr>
      </w:pPr>
    </w:p>
    <w:p>
      <w:pPr>
        <w:jc w:val="both"/>
        <w:spacing w:after="0" w:line="311" w:lineRule="auto"/>
        <w:rPr>
          <w:sz w:val="20"/>
          <w:szCs w:val="20"/>
          <w:color w:val="auto"/>
        </w:rPr>
      </w:pPr>
      <w:r>
        <w:rPr>
          <w:rFonts w:ascii="Times New Roman" w:cs="Times New Roman" w:eastAsia="Times New Roman" w:hAnsi="Times New Roman"/>
          <w:sz w:val="22"/>
          <w:szCs w:val="22"/>
          <w:color w:val="auto"/>
        </w:rPr>
        <w:t xml:space="preserve">se encuentra bajo las mismas presiones de selección y que ésta influye en el desarrollo de las escamas, por lo que es necesario realizar estudios ecológicos y conductuales que ayuden a identificar los factores responsables del dimorfismo sexual y las variaciones intraespecíficas en </w:t>
      </w:r>
      <w:r>
        <w:rPr>
          <w:rFonts w:ascii="Times New Roman" w:cs="Times New Roman" w:eastAsia="Times New Roman" w:hAnsi="Times New Roman"/>
          <w:sz w:val="22"/>
          <w:szCs w:val="22"/>
          <w:i w:val="1"/>
          <w:iCs w:val="1"/>
          <w:color w:val="auto"/>
        </w:rPr>
        <w:t>Barisia imbricata.</w:t>
      </w:r>
    </w:p>
    <w:p>
      <w:pPr>
        <w:spacing w:after="0" w:line="200" w:lineRule="exact"/>
        <w:rPr>
          <w:sz w:val="20"/>
          <w:szCs w:val="20"/>
          <w:color w:val="auto"/>
        </w:rPr>
      </w:pPr>
    </w:p>
    <w:p>
      <w:pPr>
        <w:spacing w:after="0" w:line="200" w:lineRule="exact"/>
        <w:rPr>
          <w:sz w:val="20"/>
          <w:szCs w:val="20"/>
          <w:color w:val="auto"/>
        </w:rPr>
      </w:pPr>
    </w:p>
    <w:p>
      <w:pPr>
        <w:spacing w:after="0" w:line="209"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Introducción</w:t>
      </w:r>
    </w:p>
    <w:p>
      <w:pPr>
        <w:spacing w:after="0" w:line="38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 xml:space="preserve">Una característica morfológica de vital importancia en diversos grupos de animales es la cabeza, y en particular para las lagartijas, dadas las numerosas fuerzas que actúan sobre ella. Esta estructura anatómica se encuentra asociada con una variedad de funciones trascendentales, como la alimentación (Herrel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1999; Herrel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2001), la adquisición y defensa de territorio, el uso del hábitat y del refugio (Arnold, 1998), así como el apareamiento (Gvoždík y Van Damme, 2003). Todas estas funciones proporcionan oportunidades para investigar la acción de fuerzas selectivas sobre el tamaño y la forma de la cabeza.</w:t>
      </w:r>
    </w:p>
    <w:p>
      <w:pPr>
        <w:spacing w:after="0" w:line="5"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Diversos grupos de reptiles son sexualmente dimórficos en el tamaño del cuerpo principalmente. Estas diferencias pueden ser explicadas en términos de presiones selectivas: la selección natural en ocasiones impone restricciones en el tamaño del cuerpo que pueden resultar en patrones de dimorfismo sexual (Shine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1998). En años recientes, el desarrollo de la morfometría geométrica ha permitido el estudio directo de la variación de la forma. A la fecha, los métodos geométricos no han sido extensivamente aplicados en estudios de morfología externa de lagartijas y sólo unos cuantos autores han empleado estos métodos en reptiles. La cabeza de la lagartija, cubierta por escamas relativamente grandes, es ideal para este tipo de análisis en morfometría geométrica.</w:t>
      </w:r>
    </w:p>
    <w:p>
      <w:pPr>
        <w:spacing w:after="0" w:line="6" w:lineRule="exact"/>
        <w:rPr>
          <w:sz w:val="20"/>
          <w:szCs w:val="20"/>
          <w:color w:val="auto"/>
        </w:rPr>
      </w:pPr>
    </w:p>
    <w:p>
      <w:pPr>
        <w:jc w:val="both"/>
        <w:ind w:firstLine="360"/>
        <w:spacing w:after="0" w:line="346" w:lineRule="auto"/>
        <w:rPr>
          <w:sz w:val="20"/>
          <w:szCs w:val="20"/>
          <w:color w:val="auto"/>
        </w:rPr>
      </w:pPr>
      <w:r>
        <w:rPr>
          <w:rFonts w:ascii="Times New Roman" w:cs="Times New Roman" w:eastAsia="Times New Roman" w:hAnsi="Times New Roman"/>
          <w:sz w:val="20"/>
          <w:szCs w:val="20"/>
          <w:color w:val="auto"/>
        </w:rPr>
        <w:t xml:space="preserve">Dentro de los reptiles, los lacertilios son considerados como organismos modelo para diversos estudios, entre ellos se encuentra la especie </w:t>
      </w:r>
      <w:r>
        <w:rPr>
          <w:rFonts w:ascii="Times New Roman" w:cs="Times New Roman" w:eastAsia="Times New Roman" w:hAnsi="Times New Roman"/>
          <w:sz w:val="20"/>
          <w:szCs w:val="20"/>
          <w:i w:val="1"/>
          <w:iCs w:val="1"/>
          <w:color w:val="auto"/>
        </w:rPr>
        <w:t>B. imbricata</w:t>
      </w:r>
      <w:r>
        <w:rPr>
          <w:rFonts w:ascii="Times New Roman" w:cs="Times New Roman" w:eastAsia="Times New Roman" w:hAnsi="Times New Roman"/>
          <w:sz w:val="20"/>
          <w:szCs w:val="20"/>
          <w:color w:val="auto"/>
        </w:rPr>
        <w:t>, que ocupa una gran diversidad de espacios en un gradiente altitudinal que va desde 2 100 a 4 000 m. La morfometría geométrica permitirá definir el dimorfismo sexual en los lacertilios, dado que para este grupo los cambios en las dimensiones del cuerpo y, quizá, en</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27"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87" name="Shape 18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87" o:spid="_x0000_s121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88" name="Shape 18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88" o:spid="_x0000_s121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89" name="Shape 18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89" o:spid="_x0000_s121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85" w:name="page86"/>
    <w:bookmarkEnd w:id="85"/>
    <w:tbl>
      <w:tblPr>
        <w:tblLayout w:type="fixed"/>
        <w:tblInd w:w="1580" w:type="dxa"/>
        <w:tblCellMar>
          <w:top w:w="0" w:type="dxa"/>
          <w:left w:w="0" w:type="dxa"/>
          <w:bottom w:w="0" w:type="dxa"/>
          <w:right w:w="0" w:type="dxa"/>
        </w:tblCellMar>
      </w:tblPr>
      <w:tr>
        <w:trPr>
          <w:trHeight w:val="222"/>
        </w:trPr>
        <w:tc>
          <w:tcPr>
            <w:tcW w:w="4760" w:type="dxa"/>
            <w:vAlign w:val="bottom"/>
          </w:tcPr>
          <w:p>
            <w:pPr>
              <w:spacing w:after="0"/>
              <w:rPr>
                <w:sz w:val="20"/>
                <w:szCs w:val="20"/>
                <w:color w:val="auto"/>
              </w:rPr>
            </w:pPr>
            <w:r>
              <w:rPr>
                <w:rFonts w:ascii="Arial Narrow" w:cs="Arial Narrow" w:eastAsia="Arial Narrow" w:hAnsi="Arial Narrow"/>
                <w:sz w:val="11"/>
                <w:szCs w:val="11"/>
                <w:color w:val="auto"/>
              </w:rPr>
              <w:t xml:space="preserve">morfología geométrica de las escamas cefálicas en </w:t>
            </w:r>
            <w:r>
              <w:rPr>
                <w:rFonts w:ascii="Arial Narrow" w:cs="Arial Narrow" w:eastAsia="Arial Narrow" w:hAnsi="Arial Narrow"/>
                <w:sz w:val="11"/>
                <w:szCs w:val="11"/>
                <w:i w:val="1"/>
                <w:iCs w:val="1"/>
                <w:color w:val="auto"/>
              </w:rPr>
              <w:t>barisia imbricata</w:t>
            </w:r>
          </w:p>
        </w:tc>
        <w:tc>
          <w:tcPr>
            <w:tcW w:w="860" w:type="dxa"/>
            <w:vAlign w:val="bottom"/>
          </w:tcPr>
          <w:p>
            <w:pPr>
              <w:jc w:val="right"/>
              <w:spacing w:after="0"/>
              <w:rPr>
                <w:sz w:val="20"/>
                <w:szCs w:val="20"/>
                <w:color w:val="auto"/>
              </w:rPr>
            </w:pPr>
            <w:r>
              <w:rPr>
                <w:rFonts w:ascii="Arial Narrow" w:cs="Arial Narrow" w:eastAsia="Arial Narrow" w:hAnsi="Arial Narrow"/>
                <w:sz w:val="16"/>
                <w:szCs w:val="16"/>
                <w:color w:val="auto"/>
              </w:rPr>
              <w:t>85</w:t>
            </w:r>
          </w:p>
        </w:tc>
      </w:tr>
    </w:tbl>
    <w:p>
      <w:pPr>
        <w:spacing w:after="0" w:line="200" w:lineRule="exact"/>
        <w:rPr>
          <w:sz w:val="20"/>
          <w:szCs w:val="20"/>
          <w:color w:val="auto"/>
        </w:rPr>
      </w:pPr>
    </w:p>
    <w:p>
      <w:pPr>
        <w:spacing w:after="0" w:line="309" w:lineRule="exact"/>
        <w:rPr>
          <w:sz w:val="20"/>
          <w:szCs w:val="20"/>
          <w:color w:val="auto"/>
        </w:rPr>
      </w:pPr>
    </w:p>
    <w:p>
      <w:pPr>
        <w:jc w:val="both"/>
        <w:spacing w:after="0" w:line="302" w:lineRule="auto"/>
        <w:rPr>
          <w:sz w:val="20"/>
          <w:szCs w:val="20"/>
          <w:color w:val="auto"/>
        </w:rPr>
      </w:pPr>
      <w:r>
        <w:rPr>
          <w:rFonts w:ascii="Times New Roman" w:cs="Times New Roman" w:eastAsia="Times New Roman" w:hAnsi="Times New Roman"/>
          <w:sz w:val="22"/>
          <w:szCs w:val="22"/>
          <w:color w:val="auto"/>
        </w:rPr>
        <w:t>la forma de la cabeza no son muy evidentes. El uso de nuevas herramientas sobre morfología puede ser de gran utilidad para observar minuciosamente los cambios de algunas partes del cuerpo que con anterioridad no se habían trabajado. Esto, aunado a la limitada información sobre dimorfismo sexual en especies mexicanas, abre un área del conocimiento en la selección sexual y natural que aún no ha sido analizada a detalle en el país.</w:t>
      </w:r>
    </w:p>
    <w:p>
      <w:pPr>
        <w:spacing w:after="0" w:line="200" w:lineRule="exact"/>
        <w:rPr>
          <w:sz w:val="20"/>
          <w:szCs w:val="20"/>
          <w:color w:val="auto"/>
        </w:rPr>
      </w:pPr>
    </w:p>
    <w:p>
      <w:pPr>
        <w:spacing w:after="0" w:line="390"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Método</w:t>
      </w:r>
    </w:p>
    <w:p>
      <w:pPr>
        <w:spacing w:after="0" w:line="36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Áreas de estudio</w:t>
      </w:r>
    </w:p>
    <w:p>
      <w:pPr>
        <w:spacing w:after="0" w:line="367" w:lineRule="exact"/>
        <w:rPr>
          <w:sz w:val="20"/>
          <w:szCs w:val="20"/>
          <w:color w:val="auto"/>
        </w:rPr>
      </w:pPr>
    </w:p>
    <w:p>
      <w:pPr>
        <w:jc w:val="both"/>
        <w:spacing w:after="0" w:line="308" w:lineRule="auto"/>
        <w:rPr>
          <w:sz w:val="20"/>
          <w:szCs w:val="20"/>
          <w:color w:val="auto"/>
        </w:rPr>
      </w:pPr>
      <w:r>
        <w:rPr>
          <w:rFonts w:ascii="Times New Roman" w:cs="Times New Roman" w:eastAsia="Times New Roman" w:hAnsi="Times New Roman"/>
          <w:sz w:val="21"/>
          <w:szCs w:val="21"/>
          <w:color w:val="auto"/>
        </w:rPr>
        <w:t xml:space="preserve">Nevado de Toluca: se encuentra en las coordenadas 19° 07’ 30” latitud norte y 99° 46’ 15” longitud oeste. Los ejemplares se buscaron a 4 200 msnm, donde el clima es frío o glacial en un régimen térmico promedio de 6.5 °C; la precipitación pluvial media anual varía entre 1 000-1 400 mm y llega a ser menor de 1 000 mm en verano y otoño (Inafed/Gobierno del Estado de México, 2005). La vegetación representativa es </w:t>
      </w:r>
      <w:r>
        <w:rPr>
          <w:rFonts w:ascii="Times New Roman" w:cs="Times New Roman" w:eastAsia="Times New Roman" w:hAnsi="Times New Roman"/>
          <w:sz w:val="21"/>
          <w:szCs w:val="21"/>
          <w:i w:val="1"/>
          <w:iCs w:val="1"/>
          <w:color w:val="auto"/>
        </w:rPr>
        <w:t>Festuca tolucencis, Calamagrostis tolucencis</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Eryngium protiflorum</w:t>
      </w:r>
    </w:p>
    <w:p>
      <w:pPr>
        <w:spacing w:after="0" w:line="1"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(Rzedowski, 1983).</w:t>
      </w:r>
    </w:p>
    <w:p>
      <w:pPr>
        <w:spacing w:after="0" w:line="57" w:lineRule="exact"/>
        <w:rPr>
          <w:sz w:val="20"/>
          <w:szCs w:val="20"/>
          <w:color w:val="auto"/>
        </w:rPr>
      </w:pPr>
    </w:p>
    <w:p>
      <w:pPr>
        <w:jc w:val="both"/>
        <w:ind w:firstLine="360"/>
        <w:spacing w:after="0" w:line="308" w:lineRule="auto"/>
        <w:rPr>
          <w:sz w:val="20"/>
          <w:szCs w:val="20"/>
          <w:color w:val="auto"/>
        </w:rPr>
      </w:pPr>
      <w:r>
        <w:rPr>
          <w:rFonts w:ascii="Times New Roman" w:cs="Times New Roman" w:eastAsia="Times New Roman" w:hAnsi="Times New Roman"/>
          <w:sz w:val="21"/>
          <w:szCs w:val="21"/>
          <w:color w:val="auto"/>
        </w:rPr>
        <w:t>El Mapa, Zinacantepec, Estado de México: zona ubicada entre las coordenadas 19° 22’ 30” latitud norte y 100° 05’ 57” longitud oeste, en el municipio de Zinacantepec, a una altitud de 3 200 m. Es un bosque templado en el que predominan los pinos (</w:t>
      </w:r>
      <w:r>
        <w:rPr>
          <w:rFonts w:ascii="Times New Roman" w:cs="Times New Roman" w:eastAsia="Times New Roman" w:hAnsi="Times New Roman"/>
          <w:sz w:val="21"/>
          <w:szCs w:val="21"/>
          <w:i w:val="1"/>
          <w:iCs w:val="1"/>
          <w:color w:val="auto"/>
        </w:rPr>
        <w:t>Pinus montezumae</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P. leiophyla</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P. patula</w:t>
      </w:r>
      <w:r>
        <w:rPr>
          <w:rFonts w:ascii="Times New Roman" w:cs="Times New Roman" w:eastAsia="Times New Roman" w:hAnsi="Times New Roman"/>
          <w:sz w:val="21"/>
          <w:szCs w:val="21"/>
          <w:color w:val="auto"/>
        </w:rPr>
        <w:t>) y pastizales (</w:t>
      </w:r>
      <w:r>
        <w:rPr>
          <w:rFonts w:ascii="Times New Roman" w:cs="Times New Roman" w:eastAsia="Times New Roman" w:hAnsi="Times New Roman"/>
          <w:sz w:val="21"/>
          <w:szCs w:val="21"/>
          <w:i w:val="1"/>
          <w:iCs w:val="1"/>
          <w:color w:val="auto"/>
        </w:rPr>
        <w:t>Muhlembergia macroura</w:t>
      </w:r>
      <w:r>
        <w:rPr>
          <w:rFonts w:ascii="Times New Roman" w:cs="Times New Roman" w:eastAsia="Times New Roman" w:hAnsi="Times New Roman"/>
          <w:sz w:val="21"/>
          <w:szCs w:val="21"/>
          <w:color w:val="auto"/>
        </w:rPr>
        <w:t>). El clima es semifrío subhúmedo y templado subhúmedo con lluvias en verano (García, 1981). La temperatura promedio es de 17 °C y la precipitación anual es de 940.4 mm (Valenzuela, 1986).</w:t>
      </w:r>
    </w:p>
    <w:p>
      <w:pPr>
        <w:spacing w:after="0" w:line="1" w:lineRule="exact"/>
        <w:rPr>
          <w:sz w:val="20"/>
          <w:szCs w:val="20"/>
          <w:color w:val="auto"/>
        </w:rPr>
      </w:pPr>
    </w:p>
    <w:p>
      <w:pPr>
        <w:jc w:val="both"/>
        <w:ind w:firstLine="360"/>
        <w:spacing w:after="0" w:line="353" w:lineRule="auto"/>
        <w:rPr>
          <w:sz w:val="20"/>
          <w:szCs w:val="20"/>
          <w:color w:val="auto"/>
        </w:rPr>
      </w:pPr>
      <w:r>
        <w:rPr>
          <w:rFonts w:ascii="Times New Roman" w:cs="Times New Roman" w:eastAsia="Times New Roman" w:hAnsi="Times New Roman"/>
          <w:sz w:val="19"/>
          <w:szCs w:val="19"/>
          <w:color w:val="auto"/>
        </w:rPr>
        <w:t xml:space="preserve">Parque Sierra Morelos: se localiza a 2 733 msnm, entre las coordenadas 19° 18’ 41.1” latitud norte y 99° 41’ 34” longitud oeste. El clima es templado; la temperatura varía de 12 a 14 °C, y la precipitación anual es de 282.40 mm (Cepanaf, 2009). Esta área se destinó para la forestación, reforestación, absorción de agua, mejoramiento de suelos y recreación. La vegetación se compone de bosque inducido de pinos, eucaliptos y pastizal, entre las especies que destacan están: </w:t>
      </w:r>
      <w:r>
        <w:rPr>
          <w:rFonts w:ascii="Times New Roman" w:cs="Times New Roman" w:eastAsia="Times New Roman" w:hAnsi="Times New Roman"/>
          <w:sz w:val="19"/>
          <w:szCs w:val="19"/>
          <w:i w:val="1"/>
          <w:iCs w:val="1"/>
          <w:color w:val="auto"/>
        </w:rPr>
        <w:t>Pinus radiata, P. montezumae, P. patula, Cupressus</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96"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86" w:name="page87"/>
    <w:bookmarkEnd w:id="86"/>
    <w:p>
      <w:pPr>
        <w:spacing w:after="0"/>
        <w:tabs>
          <w:tab w:leader="none" w:pos="2040" w:val="left"/>
          <w:tab w:leader="none" w:pos="3180" w:val="left"/>
          <w:tab w:leader="none" w:pos="4340" w:val="left"/>
        </w:tabs>
        <w:rPr>
          <w:sz w:val="20"/>
          <w:szCs w:val="20"/>
          <w:color w:val="auto"/>
        </w:rPr>
      </w:pPr>
      <w:r>
        <w:rPr>
          <w:rFonts w:ascii="Arial Narrow" w:cs="Arial Narrow" w:eastAsia="Arial Narrow" w:hAnsi="Arial Narrow"/>
          <w:sz w:val="16"/>
          <w:szCs w:val="16"/>
          <w:color w:val="auto"/>
        </w:rPr>
        <w:t>86</w:t>
      </w:r>
      <w:r>
        <w:rPr>
          <w:sz w:val="20"/>
          <w:szCs w:val="20"/>
          <w:color w:val="auto"/>
        </w:rPr>
        <w:tab/>
      </w:r>
      <w:r>
        <w:rPr>
          <w:rFonts w:ascii="Arial Narrow" w:cs="Arial Narrow" w:eastAsia="Arial Narrow" w:hAnsi="Arial Narrow"/>
          <w:sz w:val="11"/>
          <w:szCs w:val="11"/>
          <w:color w:val="auto"/>
        </w:rPr>
        <w:t>carmen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cristóbal</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nava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1994535</wp:posOffset>
                </wp:positionH>
                <wp:positionV relativeFrom="paragraph">
                  <wp:posOffset>-76835</wp:posOffset>
                </wp:positionV>
                <wp:extent cx="0" cy="88900"/>
                <wp:wrapNone/>
                <wp:docPr id="190" name="Shape 19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90" o:spid="_x0000_s121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7.05pt,-6.0499pt" to="157.0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2738120</wp:posOffset>
                </wp:positionH>
                <wp:positionV relativeFrom="paragraph">
                  <wp:posOffset>-76835</wp:posOffset>
                </wp:positionV>
                <wp:extent cx="0" cy="88900"/>
                <wp:wrapNone/>
                <wp:docPr id="191" name="Shape 19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91" o:spid="_x0000_s121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5.6pt,-6.0499pt" to="215.6pt,0.95pt" o:allowincell="f" strokecolor="#000000" strokeweight="0.4pt"/>
            </w:pict>
          </mc:Fallback>
        </mc:AlternateContent>
      </w:r>
    </w:p>
    <w:p>
      <w:pPr>
        <w:spacing w:after="0" w:line="347" w:lineRule="exact"/>
        <w:rPr>
          <w:sz w:val="20"/>
          <w:szCs w:val="20"/>
          <w:color w:val="auto"/>
        </w:rPr>
      </w:pPr>
    </w:p>
    <w:p>
      <w:pPr>
        <w:jc w:val="both"/>
        <w:spacing w:after="0" w:line="343" w:lineRule="auto"/>
        <w:rPr>
          <w:sz w:val="20"/>
          <w:szCs w:val="20"/>
          <w:color w:val="auto"/>
        </w:rPr>
      </w:pPr>
      <w:r>
        <w:rPr>
          <w:rFonts w:ascii="Times New Roman" w:cs="Times New Roman" w:eastAsia="Times New Roman" w:hAnsi="Times New Roman"/>
          <w:sz w:val="20"/>
          <w:szCs w:val="20"/>
          <w:i w:val="1"/>
          <w:iCs w:val="1"/>
          <w:color w:val="auto"/>
        </w:rPr>
        <w:t xml:space="preserve">lindleyii </w:t>
      </w:r>
      <w:r>
        <w:rPr>
          <w:rFonts w:ascii="Times New Roman" w:cs="Times New Roman" w:eastAsia="Times New Roman" w:hAnsi="Times New Roman"/>
          <w:sz w:val="20"/>
          <w:szCs w:val="20"/>
          <w:color w:val="auto"/>
        </w:rPr>
        <w:t>y</w:t>
      </w:r>
      <w:r>
        <w:rPr>
          <w:rFonts w:ascii="Times New Roman" w:cs="Times New Roman" w:eastAsia="Times New Roman" w:hAnsi="Times New Roman"/>
          <w:sz w:val="20"/>
          <w:szCs w:val="20"/>
          <w:i w:val="1"/>
          <w:iCs w:val="1"/>
          <w:color w:val="auto"/>
        </w:rPr>
        <w:t xml:space="preserve"> Pinus pseudostrabus </w:t>
      </w:r>
      <w:r>
        <w:rPr>
          <w:rFonts w:ascii="Times New Roman" w:cs="Times New Roman" w:eastAsia="Times New Roman" w:hAnsi="Times New Roman"/>
          <w:sz w:val="20"/>
          <w:szCs w:val="20"/>
          <w:color w:val="auto"/>
        </w:rPr>
        <w:t>(Cepanaf, 2009). El Parque, que goza de una importancia</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de primer orden en la reforestación del Valle de Toluca, es uno de los lugares de equilibrio ecológico que tiene la población de la ciudad de Toluca, ya que se encuentra a 4 km de ésta, ubicado entre este municipio y Zinacantepec (Cepanaf, 2009).</w:t>
      </w:r>
    </w:p>
    <w:p>
      <w:pPr>
        <w:spacing w:after="0" w:line="200" w:lineRule="exact"/>
        <w:rPr>
          <w:sz w:val="20"/>
          <w:szCs w:val="20"/>
          <w:color w:val="auto"/>
        </w:rPr>
      </w:pPr>
    </w:p>
    <w:p>
      <w:pPr>
        <w:spacing w:after="0" w:line="385"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Morfometría geométrica</w:t>
      </w:r>
    </w:p>
    <w:p>
      <w:pPr>
        <w:spacing w:after="0" w:line="38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Respecto al área cefálica, a cada ejemplar se le tomaron fotografías con una cámara digital Sony Alpha DSLR-A350, con una resolución de 14.2 megapixeles, a una distancia de 25 cm de altura y con papel milimétrico al fondo para controlar la escala de cada una de ellas.</w:t>
      </w:r>
    </w:p>
    <w:p>
      <w:pPr>
        <w:spacing w:after="0" w:line="2"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Las fotos se tomaron en posición dorsal, lateral y ventral. Todas las imágenes fueron cargadas a una computadora y transformadas a formato tps, creado para cada uno de los grupos estudiados, mediante el programa tpsUtil (Rohlf, 1990).</w:t>
      </w:r>
    </w:p>
    <w:p>
      <w:pPr>
        <w:spacing w:after="0" w:line="2" w:lineRule="exact"/>
        <w:rPr>
          <w:sz w:val="20"/>
          <w:szCs w:val="20"/>
          <w:color w:val="auto"/>
        </w:rPr>
      </w:pPr>
    </w:p>
    <w:p>
      <w:pPr>
        <w:jc w:val="both"/>
        <w:ind w:firstLine="360"/>
        <w:spacing w:after="0" w:line="324" w:lineRule="auto"/>
        <w:rPr>
          <w:sz w:val="20"/>
          <w:szCs w:val="20"/>
          <w:color w:val="auto"/>
        </w:rPr>
      </w:pPr>
      <w:r>
        <w:rPr>
          <w:rFonts w:ascii="Times New Roman" w:cs="Times New Roman" w:eastAsia="Times New Roman" w:hAnsi="Times New Roman"/>
          <w:sz w:val="21"/>
          <w:szCs w:val="21"/>
          <w:color w:val="auto"/>
        </w:rPr>
        <w:t xml:space="preserve">Para la vista dorsal, se colocaron 63 </w:t>
      </w:r>
      <w:r>
        <w:rPr>
          <w:rFonts w:ascii="Times New Roman" w:cs="Times New Roman" w:eastAsia="Times New Roman" w:hAnsi="Times New Roman"/>
          <w:sz w:val="21"/>
          <w:szCs w:val="21"/>
          <w:i w:val="1"/>
          <w:iCs w:val="1"/>
          <w:color w:val="auto"/>
        </w:rPr>
        <w:t>landmarks</w:t>
      </w:r>
      <w:r>
        <w:rPr>
          <w:rFonts w:ascii="Times New Roman" w:cs="Times New Roman" w:eastAsia="Times New Roman" w:hAnsi="Times New Roman"/>
          <w:sz w:val="21"/>
          <w:szCs w:val="21"/>
          <w:color w:val="auto"/>
        </w:rPr>
        <w:t xml:space="preserve"> en los puntos de unión de las escamas: rostral, internasal, prefrontal, frontal, frontoparietal, parietal, interparietal y occipital (figura 1A); para la vista ventral, se colocaron 30 </w:t>
      </w:r>
      <w:r>
        <w:rPr>
          <w:rFonts w:ascii="Times New Roman" w:cs="Times New Roman" w:eastAsia="Times New Roman" w:hAnsi="Times New Roman"/>
          <w:sz w:val="21"/>
          <w:szCs w:val="21"/>
          <w:i w:val="1"/>
          <w:iCs w:val="1"/>
          <w:color w:val="auto"/>
        </w:rPr>
        <w:t>landmarks</w:t>
      </w:r>
      <w:r>
        <w:rPr>
          <w:rFonts w:ascii="Times New Roman" w:cs="Times New Roman" w:eastAsia="Times New Roman" w:hAnsi="Times New Roman"/>
          <w:sz w:val="21"/>
          <w:szCs w:val="21"/>
          <w:color w:val="auto"/>
        </w:rPr>
        <w:t xml:space="preserve"> sobre las uniones de las escamas (figura 1C); para la lateral, se consideró el lado derecho de la cabeza de la lagartija y se colocaron 17 </w:t>
      </w:r>
      <w:r>
        <w:rPr>
          <w:rFonts w:ascii="Times New Roman" w:cs="Times New Roman" w:eastAsia="Times New Roman" w:hAnsi="Times New Roman"/>
          <w:sz w:val="21"/>
          <w:szCs w:val="21"/>
          <w:i w:val="1"/>
          <w:iCs w:val="1"/>
          <w:color w:val="auto"/>
        </w:rPr>
        <w:t>landmarks</w:t>
      </w:r>
      <w:r>
        <w:rPr>
          <w:rFonts w:ascii="Times New Roman" w:cs="Times New Roman" w:eastAsia="Times New Roman" w:hAnsi="Times New Roman"/>
          <w:sz w:val="21"/>
          <w:szCs w:val="21"/>
          <w:color w:val="auto"/>
        </w:rPr>
        <w:t xml:space="preserve"> (Kaliontzopoulou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xml:space="preserve">, 2007) (figura 1D); y, finalmente, se pusieron 11 </w:t>
      </w:r>
      <w:r>
        <w:rPr>
          <w:rFonts w:ascii="Times New Roman" w:cs="Times New Roman" w:eastAsia="Times New Roman" w:hAnsi="Times New Roman"/>
          <w:sz w:val="21"/>
          <w:szCs w:val="21"/>
          <w:i w:val="1"/>
          <w:iCs w:val="1"/>
          <w:color w:val="auto"/>
        </w:rPr>
        <w:t>landmarks</w:t>
      </w:r>
      <w:r>
        <w:rPr>
          <w:rFonts w:ascii="Times New Roman" w:cs="Times New Roman" w:eastAsia="Times New Roman" w:hAnsi="Times New Roman"/>
          <w:sz w:val="21"/>
          <w:szCs w:val="21"/>
          <w:color w:val="auto"/>
        </w:rPr>
        <w:t xml:space="preserve"> sobre el contorno de la cabeza (figura 1B). Para todos los casos se usó el programa tpsDig2.</w:t>
      </w:r>
    </w:p>
    <w:p>
      <w:pPr>
        <w:spacing w:after="0" w:line="200" w:lineRule="exact"/>
        <w:rPr>
          <w:sz w:val="20"/>
          <w:szCs w:val="20"/>
          <w:color w:val="auto"/>
        </w:rPr>
      </w:pPr>
    </w:p>
    <w:p>
      <w:pPr>
        <w:spacing w:after="0" w:line="398"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Análisis estadísticos</w:t>
      </w:r>
    </w:p>
    <w:p>
      <w:pPr>
        <w:spacing w:after="0" w:line="387" w:lineRule="exact"/>
        <w:rPr>
          <w:sz w:val="20"/>
          <w:szCs w:val="20"/>
          <w:color w:val="auto"/>
        </w:rPr>
      </w:pPr>
    </w:p>
    <w:p>
      <w:pPr>
        <w:jc w:val="both"/>
        <w:spacing w:after="0" w:line="346" w:lineRule="auto"/>
        <w:rPr>
          <w:sz w:val="20"/>
          <w:szCs w:val="20"/>
          <w:color w:val="auto"/>
        </w:rPr>
      </w:pPr>
      <w:r>
        <w:rPr>
          <w:rFonts w:ascii="Times New Roman" w:cs="Times New Roman" w:eastAsia="Times New Roman" w:hAnsi="Times New Roman"/>
          <w:sz w:val="20"/>
          <w:szCs w:val="20"/>
          <w:color w:val="221F1F"/>
        </w:rPr>
        <w:t xml:space="preserve">Se aplicó </w:t>
      </w:r>
      <w:r>
        <w:rPr>
          <w:rFonts w:ascii="Times New Roman" w:cs="Times New Roman" w:eastAsia="Times New Roman" w:hAnsi="Times New Roman"/>
          <w:sz w:val="20"/>
          <w:szCs w:val="20"/>
          <w:color w:val="000000"/>
        </w:rPr>
        <w:t>un análisis general de Procrustes (gpa), que permite observar la superposición</w:t>
      </w:r>
      <w:r>
        <w:rPr>
          <w:rFonts w:ascii="Times New Roman" w:cs="Times New Roman" w:eastAsia="Times New Roman" w:hAnsi="Times New Roman"/>
          <w:sz w:val="20"/>
          <w:szCs w:val="20"/>
          <w:color w:val="221F1F"/>
        </w:rPr>
        <w:t xml:space="preserve"> </w:t>
      </w:r>
      <w:r>
        <w:rPr>
          <w:rFonts w:ascii="Times New Roman" w:cs="Times New Roman" w:eastAsia="Times New Roman" w:hAnsi="Times New Roman"/>
          <w:sz w:val="20"/>
          <w:szCs w:val="20"/>
          <w:color w:val="000000"/>
        </w:rPr>
        <w:t>de los puntos, por lo que se eliminaron diferencias individuales (tamaño, orientación y posición) y se obtuvo la matriz de deformaciones parciales (</w:t>
      </w:r>
      <w:r>
        <w:rPr>
          <w:rFonts w:ascii="Times New Roman" w:cs="Times New Roman" w:eastAsia="Times New Roman" w:hAnsi="Times New Roman"/>
          <w:sz w:val="20"/>
          <w:szCs w:val="20"/>
          <w:i w:val="1"/>
          <w:iCs w:val="1"/>
          <w:color w:val="000000"/>
        </w:rPr>
        <w:t>partial warps</w:t>
      </w:r>
      <w:r>
        <w:rPr>
          <w:rFonts w:ascii="Times New Roman" w:cs="Times New Roman" w:eastAsia="Times New Roman" w:hAnsi="Times New Roman"/>
          <w:sz w:val="20"/>
          <w:szCs w:val="20"/>
          <w:color w:val="000000"/>
        </w:rPr>
        <w:t xml:space="preserve">) usando el </w:t>
      </w:r>
      <w:r>
        <w:rPr>
          <w:rFonts w:ascii="Times New Roman" w:cs="Times New Roman" w:eastAsia="Times New Roman" w:hAnsi="Times New Roman"/>
          <w:sz w:val="20"/>
          <w:szCs w:val="20"/>
          <w:i w:val="1"/>
          <w:iCs w:val="1"/>
          <w:color w:val="000000"/>
        </w:rPr>
        <w:t>software</w:t>
      </w:r>
      <w:r>
        <w:rPr>
          <w:rFonts w:ascii="Times New Roman" w:cs="Times New Roman" w:eastAsia="Times New Roman" w:hAnsi="Times New Roman"/>
          <w:sz w:val="20"/>
          <w:szCs w:val="20"/>
          <w:color w:val="000000"/>
        </w:rPr>
        <w:t xml:space="preserve"> tpsRelw. También se realizaron análisis de componentes principales (acp), análisis de funciones discriminantes (afd) y una prueba de Bonferroni con el sexo</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47"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92" name="Shape 19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92" o:spid="_x0000_s121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93" name="Shape 19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93" o:spid="_x0000_s121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194" name="Shape 19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94" o:spid="_x0000_s121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87" w:name="page88"/>
    <w:bookmarkEnd w:id="87"/>
    <w:tbl>
      <w:tblPr>
        <w:tblLayout w:type="fixed"/>
        <w:tblInd w:w="1580" w:type="dxa"/>
        <w:tblCellMar>
          <w:top w:w="0" w:type="dxa"/>
          <w:left w:w="0" w:type="dxa"/>
          <w:bottom w:w="0" w:type="dxa"/>
          <w:right w:w="0" w:type="dxa"/>
        </w:tblCellMar>
      </w:tblPr>
      <w:tr>
        <w:trPr>
          <w:trHeight w:val="222"/>
        </w:trPr>
        <w:tc>
          <w:tcPr>
            <w:tcW w:w="4760" w:type="dxa"/>
            <w:vAlign w:val="bottom"/>
          </w:tcPr>
          <w:p>
            <w:pPr>
              <w:spacing w:after="0"/>
              <w:rPr>
                <w:sz w:val="20"/>
                <w:szCs w:val="20"/>
                <w:color w:val="auto"/>
              </w:rPr>
            </w:pPr>
            <w:r>
              <w:rPr>
                <w:rFonts w:ascii="Arial Narrow" w:cs="Arial Narrow" w:eastAsia="Arial Narrow" w:hAnsi="Arial Narrow"/>
                <w:sz w:val="11"/>
                <w:szCs w:val="11"/>
                <w:color w:val="auto"/>
              </w:rPr>
              <w:t xml:space="preserve">morfología geométrica de las escamas cefálicas en </w:t>
            </w:r>
            <w:r>
              <w:rPr>
                <w:rFonts w:ascii="Arial Narrow" w:cs="Arial Narrow" w:eastAsia="Arial Narrow" w:hAnsi="Arial Narrow"/>
                <w:sz w:val="11"/>
                <w:szCs w:val="11"/>
                <w:i w:val="1"/>
                <w:iCs w:val="1"/>
                <w:color w:val="auto"/>
              </w:rPr>
              <w:t>barisia imbricata</w:t>
            </w:r>
          </w:p>
        </w:tc>
        <w:tc>
          <w:tcPr>
            <w:tcW w:w="860" w:type="dxa"/>
            <w:vAlign w:val="bottom"/>
          </w:tcPr>
          <w:p>
            <w:pPr>
              <w:jc w:val="right"/>
              <w:spacing w:after="0"/>
              <w:rPr>
                <w:sz w:val="20"/>
                <w:szCs w:val="20"/>
                <w:color w:val="auto"/>
              </w:rPr>
            </w:pPr>
            <w:r>
              <w:rPr>
                <w:rFonts w:ascii="Arial Narrow" w:cs="Arial Narrow" w:eastAsia="Arial Narrow" w:hAnsi="Arial Narrow"/>
                <w:sz w:val="16"/>
                <w:szCs w:val="16"/>
                <w:color w:val="auto"/>
              </w:rPr>
              <w:t>87</w:t>
            </w:r>
          </w:p>
        </w:tc>
      </w:tr>
    </w:tbl>
    <w:p>
      <w:pPr>
        <w:spacing w:after="0" w:line="200" w:lineRule="exact"/>
        <w:rPr>
          <w:sz w:val="20"/>
          <w:szCs w:val="20"/>
          <w:color w:val="auto"/>
        </w:rPr>
      </w:pPr>
    </w:p>
    <w:p>
      <w:pPr>
        <w:spacing w:after="0" w:line="309" w:lineRule="exact"/>
        <w:rPr>
          <w:sz w:val="20"/>
          <w:szCs w:val="20"/>
          <w:color w:val="auto"/>
        </w:rPr>
      </w:pPr>
    </w:p>
    <w:p>
      <w:pPr>
        <w:jc w:val="both"/>
        <w:ind w:right="20"/>
        <w:spacing w:after="0" w:line="330" w:lineRule="auto"/>
        <w:rPr>
          <w:sz w:val="20"/>
          <w:szCs w:val="20"/>
          <w:color w:val="auto"/>
        </w:rPr>
      </w:pPr>
      <w:r>
        <w:rPr>
          <w:rFonts w:ascii="Times New Roman" w:cs="Times New Roman" w:eastAsia="Times New Roman" w:hAnsi="Times New Roman"/>
          <w:sz w:val="21"/>
          <w:szCs w:val="21"/>
          <w:color w:val="auto"/>
        </w:rPr>
        <w:t xml:space="preserve">y la altitud como factores y utilizando el programa SPSS Statistics 17.0. Asimismo, se empleó la prueba de F de Goodall para observar las diferencias entre sexos por localidad (Rohlf, 1990; Adams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xml:space="preserve">, 2004; Zeldictch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2004). Las pruebas estadísticas se trabajaron con un nivel de confianza de 95% (Zar, 1999).</w:t>
      </w:r>
    </w:p>
    <w:p>
      <w:pPr>
        <w:spacing w:after="0" w:line="335" w:lineRule="exact"/>
        <w:rPr>
          <w:sz w:val="20"/>
          <w:szCs w:val="20"/>
          <w:color w:val="auto"/>
        </w:rPr>
      </w:pPr>
    </w:p>
    <w:p>
      <w:pPr>
        <w:ind w:left="3320"/>
        <w:spacing w:after="0"/>
        <w:rPr>
          <w:sz w:val="20"/>
          <w:szCs w:val="20"/>
          <w:color w:val="auto"/>
        </w:rPr>
      </w:pPr>
      <w:r>
        <w:rPr>
          <w:rFonts w:ascii="Times New Roman" w:cs="Times New Roman" w:eastAsia="Times New Roman" w:hAnsi="Times New Roman"/>
          <w:sz w:val="18"/>
          <w:szCs w:val="18"/>
          <w:i w:val="1"/>
          <w:iCs w:val="1"/>
          <w:color w:val="auto"/>
        </w:rPr>
        <w:t>Figura 1</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-2540</wp:posOffset>
            </wp:positionH>
            <wp:positionV relativeFrom="paragraph">
              <wp:posOffset>107315</wp:posOffset>
            </wp:positionV>
            <wp:extent cx="4574540" cy="4024630"/>
            <wp:wrapNone/>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43">
                      <a:extLst>
                        <a:ext uri="{28A0092B-C50C-407E-A947-70E740481C1C}"/>
                      </a:extLst>
                    </a:blip>
                    <a:srcRect/>
                    <a:stretch>
                      <a:fillRect/>
                    </a:stretch>
                  </pic:blipFill>
                  <pic:spPr bwMode="auto">
                    <a:xfrm>
                      <a:off x="0" y="0"/>
                      <a:ext cx="4574540" cy="402463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3" w:lineRule="exact"/>
        <w:rPr>
          <w:sz w:val="20"/>
          <w:szCs w:val="20"/>
          <w:color w:val="auto"/>
        </w:rPr>
      </w:pPr>
    </w:p>
    <w:p>
      <w:pPr>
        <w:ind w:left="260"/>
        <w:spacing w:after="0"/>
        <w:tabs>
          <w:tab w:leader="none" w:pos="6820" w:val="left"/>
        </w:tabs>
        <w:rPr>
          <w:sz w:val="20"/>
          <w:szCs w:val="20"/>
          <w:color w:val="auto"/>
        </w:rPr>
      </w:pPr>
      <w:r>
        <w:rPr>
          <w:rFonts w:ascii="Times New Roman" w:cs="Times New Roman" w:eastAsia="Times New Roman" w:hAnsi="Times New Roman"/>
          <w:sz w:val="16"/>
          <w:szCs w:val="16"/>
          <w:color w:val="auto"/>
        </w:rPr>
        <w:t>A</w:t>
      </w:r>
      <w:r>
        <w:rPr>
          <w:sz w:val="20"/>
          <w:szCs w:val="20"/>
          <w:color w:val="auto"/>
        </w:rPr>
        <w:tab/>
      </w:r>
      <w:r>
        <w:rPr>
          <w:rFonts w:ascii="Times New Roman" w:cs="Times New Roman" w:eastAsia="Times New Roman" w:hAnsi="Times New Roman"/>
          <w:sz w:val="16"/>
          <w:szCs w:val="16"/>
          <w:color w:val="auto"/>
        </w:rPr>
        <w:t>B</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4" w:lineRule="exact"/>
        <w:rPr>
          <w:sz w:val="20"/>
          <w:szCs w:val="20"/>
          <w:color w:val="auto"/>
        </w:rPr>
      </w:pPr>
    </w:p>
    <w:p>
      <w:pPr>
        <w:ind w:left="260"/>
        <w:spacing w:after="0"/>
        <w:tabs>
          <w:tab w:leader="none" w:pos="6800" w:val="left"/>
        </w:tabs>
        <w:rPr>
          <w:sz w:val="20"/>
          <w:szCs w:val="20"/>
          <w:color w:val="auto"/>
        </w:rPr>
      </w:pPr>
      <w:r>
        <w:rPr>
          <w:rFonts w:ascii="Times New Roman" w:cs="Times New Roman" w:eastAsia="Times New Roman" w:hAnsi="Times New Roman"/>
          <w:sz w:val="16"/>
          <w:szCs w:val="16"/>
          <w:color w:val="auto"/>
        </w:rPr>
        <w:t>C</w:t>
      </w:r>
      <w:r>
        <w:rPr>
          <w:sz w:val="20"/>
          <w:szCs w:val="20"/>
          <w:color w:val="auto"/>
        </w:rPr>
        <w:tab/>
      </w:r>
      <w:r>
        <w:rPr>
          <w:rFonts w:ascii="Times New Roman" w:cs="Times New Roman" w:eastAsia="Times New Roman" w:hAnsi="Times New Roman"/>
          <w:sz w:val="16"/>
          <w:szCs w:val="16"/>
          <w:color w:val="auto"/>
        </w:rPr>
        <w:t>D</w:t>
      </w:r>
    </w:p>
    <w:p>
      <w:pPr>
        <w:spacing w:after="0" w:line="298" w:lineRule="exact"/>
        <w:rPr>
          <w:sz w:val="20"/>
          <w:szCs w:val="20"/>
          <w:color w:val="auto"/>
        </w:rPr>
      </w:pPr>
    </w:p>
    <w:p>
      <w:pPr>
        <w:jc w:val="both"/>
        <w:spacing w:after="0" w:line="314" w:lineRule="auto"/>
        <w:rPr>
          <w:sz w:val="20"/>
          <w:szCs w:val="20"/>
          <w:color w:val="auto"/>
        </w:rPr>
      </w:pPr>
      <w:r>
        <w:rPr>
          <w:rFonts w:ascii="Times New Roman" w:cs="Times New Roman" w:eastAsia="Times New Roman" w:hAnsi="Times New Roman"/>
          <w:sz w:val="15"/>
          <w:szCs w:val="15"/>
          <w:color w:val="auto"/>
        </w:rPr>
        <w:t>Representación esquemática de los puntos (</w:t>
      </w:r>
      <w:r>
        <w:rPr>
          <w:rFonts w:ascii="Times New Roman" w:cs="Times New Roman" w:eastAsia="Times New Roman" w:hAnsi="Times New Roman"/>
          <w:sz w:val="15"/>
          <w:szCs w:val="15"/>
          <w:i w:val="1"/>
          <w:iCs w:val="1"/>
          <w:color w:val="auto"/>
        </w:rPr>
        <w:t>landmarks</w:t>
      </w:r>
      <w:r>
        <w:rPr>
          <w:rFonts w:ascii="Times New Roman" w:cs="Times New Roman" w:eastAsia="Times New Roman" w:hAnsi="Times New Roman"/>
          <w:sz w:val="15"/>
          <w:szCs w:val="15"/>
          <w:color w:val="auto"/>
        </w:rPr>
        <w:t xml:space="preserve">) en </w:t>
      </w:r>
      <w:r>
        <w:rPr>
          <w:rFonts w:ascii="Times New Roman" w:cs="Times New Roman" w:eastAsia="Times New Roman" w:hAnsi="Times New Roman"/>
          <w:sz w:val="15"/>
          <w:szCs w:val="15"/>
          <w:i w:val="1"/>
          <w:iCs w:val="1"/>
          <w:color w:val="auto"/>
        </w:rPr>
        <w:t>B. imbricata</w:t>
      </w:r>
      <w:r>
        <w:rPr>
          <w:rFonts w:ascii="Times New Roman" w:cs="Times New Roman" w:eastAsia="Times New Roman" w:hAnsi="Times New Roman"/>
          <w:sz w:val="15"/>
          <w:szCs w:val="15"/>
          <w:color w:val="auto"/>
        </w:rPr>
        <w:t xml:space="preserve"> y ubicación de las escamas. A) Vista dorsal (63 landmarks) (Ro: rostral, In: interparietal, Pf: prefrontal, Fr: frontal, So: supraoculares, Ip: interparietal, Fp: frontoparietal, Pa: parietal, Tp: temporal, Oc: occipital). B) Ubicación de los landmarks (11) en el contorno de la cabeza. C) Vista ventral (30 landmarks) (Me: mental, Pm: postmental, Eb: escudos de la barbilla, Sl: sublabial). D) Vista lateral (17 landmarks) (Sc: superciliares, So: subocular, Cl: cantholoreal, Ca: cantoral, Lo: loreal, Na: nasal, Sl: supralabial, Il: infralabial) (Fuente: elaboración propia a partir de Smith, 1939).</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87"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88" w:name="page89"/>
    <w:bookmarkEnd w:id="88"/>
    <w:p>
      <w:pPr>
        <w:spacing w:after="0"/>
        <w:tabs>
          <w:tab w:leader="none" w:pos="2040" w:val="left"/>
          <w:tab w:leader="none" w:pos="3180" w:val="left"/>
          <w:tab w:leader="none" w:pos="4340" w:val="left"/>
        </w:tabs>
        <w:rPr>
          <w:sz w:val="20"/>
          <w:szCs w:val="20"/>
          <w:color w:val="auto"/>
        </w:rPr>
      </w:pPr>
      <w:r>
        <w:rPr>
          <w:rFonts w:ascii="Arial Narrow" w:cs="Arial Narrow" w:eastAsia="Arial Narrow" w:hAnsi="Arial Narrow"/>
          <w:sz w:val="16"/>
          <w:szCs w:val="16"/>
          <w:color w:val="auto"/>
        </w:rPr>
        <w:t>88</w:t>
      </w:r>
      <w:r>
        <w:rPr>
          <w:sz w:val="20"/>
          <w:szCs w:val="20"/>
          <w:color w:val="auto"/>
        </w:rPr>
        <w:tab/>
      </w:r>
      <w:r>
        <w:rPr>
          <w:rFonts w:ascii="Arial Narrow" w:cs="Arial Narrow" w:eastAsia="Arial Narrow" w:hAnsi="Arial Narrow"/>
          <w:sz w:val="11"/>
          <w:szCs w:val="11"/>
          <w:color w:val="auto"/>
        </w:rPr>
        <w:t>carmen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cristóbal</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nava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1994535</wp:posOffset>
                </wp:positionH>
                <wp:positionV relativeFrom="paragraph">
                  <wp:posOffset>-76835</wp:posOffset>
                </wp:positionV>
                <wp:extent cx="0" cy="88900"/>
                <wp:wrapNone/>
                <wp:docPr id="196" name="Shape 19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96" o:spid="_x0000_s122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7.05pt,-6.0499pt" to="157.0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2738120</wp:posOffset>
                </wp:positionH>
                <wp:positionV relativeFrom="paragraph">
                  <wp:posOffset>-76835</wp:posOffset>
                </wp:positionV>
                <wp:extent cx="0" cy="88900"/>
                <wp:wrapNone/>
                <wp:docPr id="197" name="Shape 19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97" o:spid="_x0000_s122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5.6pt,-6.0499pt" to="215.6pt,0.95pt" o:allowincell="f" strokecolor="#000000" strokeweight="0.4pt"/>
            </w:pict>
          </mc:Fallback>
        </mc:AlternateContent>
      </w:r>
    </w:p>
    <w:p>
      <w:pPr>
        <w:spacing w:after="0" w:line="345"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Resultados</w:t>
      </w:r>
    </w:p>
    <w:p>
      <w:pPr>
        <w:spacing w:after="0" w:line="36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Escamas dorsales</w:t>
      </w:r>
    </w:p>
    <w:p>
      <w:pPr>
        <w:spacing w:after="0" w:line="367" w:lineRule="exact"/>
        <w:rPr>
          <w:sz w:val="20"/>
          <w:szCs w:val="20"/>
          <w:color w:val="auto"/>
        </w:rPr>
      </w:pPr>
    </w:p>
    <w:p>
      <w:pPr>
        <w:jc w:val="both"/>
        <w:spacing w:after="0" w:line="308" w:lineRule="auto"/>
        <w:rPr>
          <w:sz w:val="20"/>
          <w:szCs w:val="20"/>
          <w:color w:val="auto"/>
        </w:rPr>
      </w:pPr>
      <w:r>
        <w:rPr>
          <w:rFonts w:ascii="Times New Roman" w:cs="Times New Roman" w:eastAsia="Times New Roman" w:hAnsi="Times New Roman"/>
          <w:sz w:val="21"/>
          <w:szCs w:val="21"/>
          <w:color w:val="auto"/>
        </w:rPr>
        <w:t xml:space="preserve">Mediante el afd no se encontraron diferencias significativas (lambda de Wilks = 0.000, </w:t>
      </w: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1"/>
          <w:szCs w:val="21"/>
          <w:color w:val="auto"/>
        </w:rPr>
        <w:t xml:space="preserve"> = 1.778,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 0.428) entre las localidades de </w:t>
      </w:r>
      <w:r>
        <w:rPr>
          <w:rFonts w:ascii="Times New Roman" w:cs="Times New Roman" w:eastAsia="Times New Roman" w:hAnsi="Times New Roman"/>
          <w:sz w:val="21"/>
          <w:szCs w:val="21"/>
          <w:i w:val="1"/>
          <w:iCs w:val="1"/>
          <w:color w:val="auto"/>
        </w:rPr>
        <w:t>B. imbricata</w:t>
      </w:r>
      <w:r>
        <w:rPr>
          <w:rFonts w:ascii="Times New Roman" w:cs="Times New Roman" w:eastAsia="Times New Roman" w:hAnsi="Times New Roman"/>
          <w:sz w:val="21"/>
          <w:szCs w:val="21"/>
          <w:color w:val="auto"/>
        </w:rPr>
        <w:t xml:space="preserve"> con respecto a las escamas dorsales (figura 2). El componente 1 (CP1) explica 7.8% de la varianza; mientras que el CP2 detalla 6.4%, es decir, entre los dos exponen 14.2% de la varianza. La representación de la forma obtenida del programa tps permite observar las deformaciones en las escamas dorsales. Se puede notar que para el CP1, hacia al extremo positivo, existe una reducción en las escamas internasales; en tanto que las supraoculares, por el contorno del ojo, pierden cierta curvatura; las occipitales, parietales e interparietales tienden a ensancharse. Para el CP2, hacia el lado positivo, las escamas (excepto supraoculares y frontales) se ensanchan; por lo tanto, las lagartijas ubicadas en este morfoespacio presentan cabezas más grandes.</w:t>
      </w:r>
    </w:p>
    <w:p>
      <w:pPr>
        <w:spacing w:after="0" w:line="1" w:lineRule="exact"/>
        <w:rPr>
          <w:sz w:val="20"/>
          <w:szCs w:val="20"/>
          <w:color w:val="auto"/>
        </w:rPr>
      </w:pPr>
    </w:p>
    <w:p>
      <w:pPr>
        <w:jc w:val="both"/>
        <w:ind w:firstLine="360"/>
        <w:spacing w:after="0" w:line="294" w:lineRule="auto"/>
        <w:rPr>
          <w:sz w:val="20"/>
          <w:szCs w:val="20"/>
          <w:color w:val="auto"/>
        </w:rPr>
      </w:pPr>
      <w:r>
        <w:rPr>
          <w:rFonts w:ascii="Times New Roman" w:cs="Times New Roman" w:eastAsia="Times New Roman" w:hAnsi="Times New Roman"/>
          <w:sz w:val="22"/>
          <w:szCs w:val="22"/>
          <w:color w:val="auto"/>
        </w:rPr>
        <w:t xml:space="preserve">La comparación entre machos y hembras en las escamas dorsales indica que no hay diferencias significativas en el afd (lambda de Wilks = 0.000, </w:t>
      </w:r>
      <w:r>
        <w:rPr>
          <w:rFonts w:ascii="Times New Roman" w:cs="Times New Roman" w:eastAsia="Times New Roman" w:hAnsi="Times New Roman"/>
          <w:sz w:val="22"/>
          <w:szCs w:val="22"/>
          <w:i w:val="1"/>
          <w:iCs w:val="1"/>
          <w:color w:val="auto"/>
        </w:rPr>
        <w:t>F</w:t>
      </w:r>
      <w:r>
        <w:rPr>
          <w:rFonts w:ascii="Times New Roman" w:cs="Times New Roman" w:eastAsia="Times New Roman" w:hAnsi="Times New Roman"/>
          <w:sz w:val="22"/>
          <w:szCs w:val="22"/>
          <w:color w:val="auto"/>
        </w:rPr>
        <w:t xml:space="preserve"> = 1.858, </w:t>
      </w:r>
      <w:r>
        <w:rPr>
          <w:rFonts w:ascii="Times New Roman" w:cs="Times New Roman" w:eastAsia="Times New Roman" w:hAnsi="Times New Roman"/>
          <w:sz w:val="22"/>
          <w:szCs w:val="22"/>
          <w:i w:val="1"/>
          <w:iCs w:val="1"/>
          <w:color w:val="auto"/>
        </w:rPr>
        <w:t xml:space="preserve">p </w:t>
      </w:r>
      <w:r>
        <w:rPr>
          <w:rFonts w:ascii="Times New Roman" w:cs="Times New Roman" w:eastAsia="Times New Roman" w:hAnsi="Times New Roman"/>
          <w:sz w:val="22"/>
          <w:szCs w:val="22"/>
          <w:color w:val="auto"/>
        </w:rPr>
        <w:t>= 0.136); no obstante el resultado estadístico, se nota claramente como los</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machos del Nevado de Toluca tienden a separarse hacia el lado positivo del CP2 y las hembras, al lado negativo (figura 2). Las otras dos poblaciones se encuentran totalmente dispersas.</w:t>
      </w:r>
    </w:p>
    <w:p>
      <w:pPr>
        <w:spacing w:after="0" w:line="1" w:lineRule="exact"/>
        <w:rPr>
          <w:sz w:val="20"/>
          <w:szCs w:val="20"/>
          <w:color w:val="auto"/>
        </w:rPr>
      </w:pPr>
    </w:p>
    <w:p>
      <w:pPr>
        <w:jc w:val="both"/>
        <w:ind w:firstLine="360"/>
        <w:spacing w:after="0" w:line="330" w:lineRule="auto"/>
        <w:rPr>
          <w:sz w:val="20"/>
          <w:szCs w:val="20"/>
          <w:color w:val="auto"/>
        </w:rPr>
      </w:pPr>
      <w:r>
        <w:rPr>
          <w:rFonts w:ascii="Times New Roman" w:cs="Times New Roman" w:eastAsia="Times New Roman" w:hAnsi="Times New Roman"/>
          <w:sz w:val="20"/>
          <w:szCs w:val="20"/>
          <w:color w:val="auto"/>
        </w:rPr>
        <w:t>En las redes de deformación (figura 3) se advierte ligeramente un ensanchamiento en la región occipital de las tres poblaciones para los machos; además, también se observa un ligero alargamiento de las escamas frontales, prefrontales e internasales.</w:t>
      </w:r>
    </w:p>
    <w:p>
      <w:pPr>
        <w:spacing w:after="0" w:line="1" w:lineRule="exact"/>
        <w:rPr>
          <w:sz w:val="20"/>
          <w:szCs w:val="20"/>
          <w:color w:val="auto"/>
        </w:rPr>
      </w:pPr>
    </w:p>
    <w:p>
      <w:pPr>
        <w:jc w:val="both"/>
        <w:ind w:firstLine="360"/>
        <w:spacing w:after="0" w:line="311" w:lineRule="auto"/>
        <w:rPr>
          <w:sz w:val="20"/>
          <w:szCs w:val="20"/>
          <w:color w:val="auto"/>
        </w:rPr>
      </w:pPr>
      <w:r>
        <w:rPr>
          <w:rFonts w:ascii="Times New Roman" w:cs="Times New Roman" w:eastAsia="Times New Roman" w:hAnsi="Times New Roman"/>
          <w:sz w:val="22"/>
          <w:szCs w:val="22"/>
          <w:color w:val="auto"/>
        </w:rPr>
        <w:t xml:space="preserve">No se encontraron diferencias significativas entre los sexos de cada población en las escamas dorsales de la cabeza usando F de Goodall (Parque Sierra: </w:t>
      </w:r>
      <w:r>
        <w:rPr>
          <w:rFonts w:ascii="Times New Roman" w:cs="Times New Roman" w:eastAsia="Times New Roman" w:hAnsi="Times New Roman"/>
          <w:sz w:val="22"/>
          <w:szCs w:val="22"/>
          <w:i w:val="1"/>
          <w:iCs w:val="1"/>
          <w:color w:val="auto"/>
        </w:rPr>
        <w:t>F</w:t>
      </w:r>
      <w:r>
        <w:rPr>
          <w:rFonts w:ascii="Times New Roman" w:cs="Times New Roman" w:eastAsia="Times New Roman" w:hAnsi="Times New Roman"/>
          <w:sz w:val="22"/>
          <w:szCs w:val="22"/>
          <w:color w:val="auto"/>
        </w:rPr>
        <w:t xml:space="preserve"> = 1.0642, </w:t>
      </w:r>
      <w:r>
        <w:rPr>
          <w:rFonts w:ascii="Times New Roman" w:cs="Times New Roman" w:eastAsia="Times New Roman" w:hAnsi="Times New Roman"/>
          <w:sz w:val="22"/>
          <w:szCs w:val="22"/>
          <w:i w:val="1"/>
          <w:iCs w:val="1"/>
          <w:color w:val="auto"/>
        </w:rPr>
        <w:t xml:space="preserve">p </w:t>
      </w:r>
      <w:r>
        <w:rPr>
          <w:rFonts w:ascii="Times New Roman" w:cs="Times New Roman" w:eastAsia="Times New Roman" w:hAnsi="Times New Roman"/>
          <w:sz w:val="22"/>
          <w:szCs w:val="22"/>
          <w:color w:val="auto"/>
        </w:rPr>
        <w:t>= 0.3039; El Mapa:</w:t>
      </w:r>
      <w:r>
        <w:rPr>
          <w:rFonts w:ascii="Times New Roman" w:cs="Times New Roman" w:eastAsia="Times New Roman" w:hAnsi="Times New Roman"/>
          <w:sz w:val="22"/>
          <w:szCs w:val="22"/>
          <w:i w:val="1"/>
          <w:iCs w:val="1"/>
          <w:color w:val="auto"/>
        </w:rPr>
        <w:t xml:space="preserve"> F </w:t>
      </w:r>
      <w:r>
        <w:rPr>
          <w:rFonts w:ascii="Times New Roman" w:cs="Times New Roman" w:eastAsia="Times New Roman" w:hAnsi="Times New Roman"/>
          <w:sz w:val="22"/>
          <w:szCs w:val="22"/>
          <w:color w:val="auto"/>
        </w:rPr>
        <w:t>= 0.9520,</w:t>
      </w:r>
      <w:r>
        <w:rPr>
          <w:rFonts w:ascii="Times New Roman" w:cs="Times New Roman" w:eastAsia="Times New Roman" w:hAnsi="Times New Roman"/>
          <w:sz w:val="22"/>
          <w:szCs w:val="22"/>
          <w:i w:val="1"/>
          <w:iCs w:val="1"/>
          <w:color w:val="auto"/>
        </w:rPr>
        <w:t xml:space="preserve"> p </w:t>
      </w:r>
      <w:r>
        <w:rPr>
          <w:rFonts w:ascii="Times New Roman" w:cs="Times New Roman" w:eastAsia="Times New Roman" w:hAnsi="Times New Roman"/>
          <w:sz w:val="22"/>
          <w:szCs w:val="22"/>
          <w:color w:val="auto"/>
        </w:rPr>
        <w:t>= 0.6289; Nevado de Toluca:</w:t>
      </w:r>
      <w:r>
        <w:rPr>
          <w:rFonts w:ascii="Times New Roman" w:cs="Times New Roman" w:eastAsia="Times New Roman" w:hAnsi="Times New Roman"/>
          <w:sz w:val="22"/>
          <w:szCs w:val="22"/>
          <w:i w:val="1"/>
          <w:iCs w:val="1"/>
          <w:color w:val="auto"/>
        </w:rPr>
        <w:t xml:space="preserve"> F </w:t>
      </w:r>
      <w:r>
        <w:rPr>
          <w:rFonts w:ascii="Times New Roman" w:cs="Times New Roman" w:eastAsia="Times New Roman" w:hAnsi="Times New Roman"/>
          <w:sz w:val="22"/>
          <w:szCs w:val="22"/>
          <w:color w:val="auto"/>
        </w:rPr>
        <w:t>= 0.6231,</w:t>
      </w:r>
      <w:r>
        <w:rPr>
          <w:rFonts w:ascii="Times New Roman" w:cs="Times New Roman" w:eastAsia="Times New Roman" w:hAnsi="Times New Roman"/>
          <w:sz w:val="22"/>
          <w:szCs w:val="22"/>
          <w:i w:val="1"/>
          <w:iCs w:val="1"/>
          <w:color w:val="auto"/>
        </w:rPr>
        <w:t xml:space="preserve"> p </w:t>
      </w:r>
      <w:r>
        <w:rPr>
          <w:rFonts w:ascii="Times New Roman" w:cs="Times New Roman" w:eastAsia="Times New Roman" w:hAnsi="Times New Roman"/>
          <w:sz w:val="22"/>
          <w:szCs w:val="22"/>
          <w:color w:val="auto"/>
        </w:rPr>
        <w:t>= 0.9994).</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5"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198" name="Shape 19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98" o:spid="_x0000_s122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199" name="Shape 19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199" o:spid="_x0000_s122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00" name="Shape 20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00" o:spid="_x0000_s122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89" w:name="page90"/>
    <w:bookmarkEnd w:id="89"/>
    <w:tbl>
      <w:tblPr>
        <w:tblLayout w:type="fixed"/>
        <w:tblInd w:w="0" w:type="dxa"/>
        <w:tblCellMar>
          <w:top w:w="0" w:type="dxa"/>
          <w:left w:w="0" w:type="dxa"/>
          <w:bottom w:w="0" w:type="dxa"/>
          <w:right w:w="0" w:type="dxa"/>
        </w:tblCellMar>
      </w:tblPr>
      <w:tr>
        <w:trPr>
          <w:trHeight w:val="222"/>
        </w:trPr>
        <w:tc>
          <w:tcPr>
            <w:tcW w:w="4760" w:type="dxa"/>
            <w:vAlign w:val="bottom"/>
          </w:tcPr>
          <w:p>
            <w:pPr>
              <w:spacing w:after="0"/>
              <w:rPr>
                <w:sz w:val="20"/>
                <w:szCs w:val="20"/>
                <w:color w:val="auto"/>
              </w:rPr>
            </w:pPr>
            <w:r>
              <w:rPr>
                <w:rFonts w:ascii="Arial Narrow" w:cs="Arial Narrow" w:eastAsia="Arial Narrow" w:hAnsi="Arial Narrow"/>
                <w:sz w:val="11"/>
                <w:szCs w:val="11"/>
                <w:color w:val="auto"/>
              </w:rPr>
              <w:t xml:space="preserve">morfología geométrica de las escamas cefálicas en </w:t>
            </w:r>
            <w:r>
              <w:rPr>
                <w:rFonts w:ascii="Arial Narrow" w:cs="Arial Narrow" w:eastAsia="Arial Narrow" w:hAnsi="Arial Narrow"/>
                <w:sz w:val="11"/>
                <w:szCs w:val="11"/>
                <w:i w:val="1"/>
                <w:iCs w:val="1"/>
                <w:color w:val="auto"/>
              </w:rPr>
              <w:t>barisia imbricata</w:t>
            </w:r>
          </w:p>
        </w:tc>
        <w:tc>
          <w:tcPr>
            <w:tcW w:w="860" w:type="dxa"/>
            <w:vAlign w:val="bottom"/>
          </w:tcPr>
          <w:p>
            <w:pPr>
              <w:jc w:val="right"/>
              <w:spacing w:after="0"/>
              <w:rPr>
                <w:sz w:val="20"/>
                <w:szCs w:val="20"/>
                <w:color w:val="auto"/>
              </w:rPr>
            </w:pPr>
            <w:r>
              <w:rPr>
                <w:rFonts w:ascii="Arial Narrow" w:cs="Arial Narrow" w:eastAsia="Arial Narrow" w:hAnsi="Arial Narrow"/>
                <w:sz w:val="16"/>
                <w:szCs w:val="16"/>
                <w:color w:val="auto"/>
              </w:rPr>
              <w:t>89</w:t>
            </w:r>
          </w:p>
        </w:tc>
      </w:tr>
    </w:tbl>
    <w:p>
      <w:pPr>
        <w:spacing w:after="0" w:line="200" w:lineRule="exact"/>
        <w:rPr>
          <w:sz w:val="20"/>
          <w:szCs w:val="20"/>
          <w:color w:val="auto"/>
        </w:rPr>
      </w:pPr>
    </w:p>
    <w:p>
      <w:pPr>
        <w:spacing w:after="0" w:line="317" w:lineRule="exact"/>
        <w:rPr>
          <w:sz w:val="20"/>
          <w:szCs w:val="20"/>
          <w:color w:val="auto"/>
        </w:rPr>
      </w:pPr>
    </w:p>
    <w:p>
      <w:pPr>
        <w:ind w:left="1720"/>
        <w:spacing w:after="0"/>
        <w:rPr>
          <w:sz w:val="20"/>
          <w:szCs w:val="20"/>
          <w:color w:val="auto"/>
        </w:rPr>
      </w:pPr>
      <w:r>
        <w:rPr>
          <w:rFonts w:ascii="Times New Roman" w:cs="Times New Roman" w:eastAsia="Times New Roman" w:hAnsi="Times New Roman"/>
          <w:sz w:val="18"/>
          <w:szCs w:val="18"/>
          <w:i w:val="1"/>
          <w:iCs w:val="1"/>
          <w:color w:val="auto"/>
        </w:rPr>
        <w:t>Figura 2</w:t>
      </w:r>
    </w:p>
    <w:p>
      <w:pPr>
        <w:ind w:left="1720"/>
        <w:spacing w:after="0"/>
        <w:rPr>
          <w:sz w:val="20"/>
          <w:szCs w:val="20"/>
          <w:color w:val="auto"/>
        </w:rPr>
        <w:sectPr>
          <w:pgSz w:w="9360" w:h="13039" w:orient="portrait"/>
          <w:cols w:equalWidth="0" w:num="1">
            <w:col w:w="5620"/>
          </w:cols>
          <w:pgMar w:left="2660" w:top="906" w:right="1080" w:bottom="437" w:gutter="0" w:footer="0" w:header="0"/>
        </w:sectPr>
      </w:pPr>
      <w:r>
        <w:rPr>
          <w:sz w:val="20"/>
          <w:szCs w:val="20"/>
          <w:color w:val="auto"/>
        </w:rPr>
        <w:drawing>
          <wp:anchor simplePos="0" relativeHeight="251657728" behindDoc="1" locked="0" layoutInCell="0" allowOverlap="1">
            <wp:simplePos x="0" y="0"/>
            <wp:positionH relativeFrom="column">
              <wp:posOffset>-1005840</wp:posOffset>
            </wp:positionH>
            <wp:positionV relativeFrom="paragraph">
              <wp:posOffset>113665</wp:posOffset>
            </wp:positionV>
            <wp:extent cx="4571365" cy="4192270"/>
            <wp:wrapNone/>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44">
                      <a:extLst>
                        <a:ext uri="{28A0092B-C50C-407E-A947-70E740481C1C}"/>
                      </a:extLst>
                    </a:blip>
                    <a:srcRect/>
                    <a:stretch>
                      <a:fillRect/>
                    </a:stretch>
                  </pic:blipFill>
                  <pic:spPr bwMode="auto">
                    <a:xfrm>
                      <a:off x="0" y="0"/>
                      <a:ext cx="4571365" cy="419227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7" w:lineRule="exact"/>
        <w:rPr>
          <w:sz w:val="20"/>
          <w:szCs w:val="20"/>
          <w:color w:val="auto"/>
        </w:rPr>
      </w:pPr>
    </w:p>
    <w:tbl>
      <w:tblPr>
        <w:tblLayout w:type="fixed"/>
        <w:tblInd w:w="0" w:type="dxa"/>
        <w:tblCellMar>
          <w:top w:w="0" w:type="dxa"/>
          <w:left w:w="0" w:type="dxa"/>
          <w:bottom w:w="0" w:type="dxa"/>
          <w:right w:w="0" w:type="dxa"/>
        </w:tblCellMar>
      </w:tblPr>
      <w:tr>
        <w:trPr>
          <w:trHeight w:val="500"/>
          <w:jc w:val="center"/>
        </w:trPr>
        <w:tc>
          <w:tcPr>
            <w:tcW w:w="92" w:type="dxa"/>
            <w:vAlign w:val="bottom"/>
            <w:textDirection w:val="btLr"/>
          </w:tcPr>
          <w:p>
            <w:pPr>
              <w:spacing w:after="0"/>
              <w:rPr>
                <w:sz w:val="20"/>
                <w:szCs w:val="20"/>
                <w:color w:val="auto"/>
              </w:rPr>
            </w:pPr>
            <w:r>
              <w:rPr>
                <w:rFonts w:ascii="Times New Roman" w:cs="Times New Roman" w:eastAsia="Times New Roman" w:hAnsi="Times New Roman"/>
                <w:sz w:val="8"/>
                <w:szCs w:val="8"/>
                <w:b w:val="1"/>
                <w:bCs w:val="1"/>
                <w:color w:val="auto"/>
              </w:rPr>
              <w:t>Componente 2</w:t>
            </w:r>
          </w:p>
        </w:tc>
      </w:tr>
    </w:tbl>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5" w:lineRule="exact"/>
        <w:rPr>
          <w:sz w:val="20"/>
          <w:szCs w:val="20"/>
          <w:color w:val="auto"/>
        </w:rPr>
      </w:pPr>
    </w:p>
    <w:p>
      <w:pPr>
        <w:ind w:left="20"/>
        <w:spacing w:after="0"/>
        <w:rPr>
          <w:sz w:val="20"/>
          <w:szCs w:val="20"/>
          <w:color w:val="auto"/>
        </w:rPr>
      </w:pPr>
      <w:r>
        <w:rPr>
          <w:rFonts w:ascii="Times New Roman" w:cs="Times New Roman" w:eastAsia="Times New Roman" w:hAnsi="Times New Roman"/>
          <w:sz w:val="8"/>
          <w:szCs w:val="8"/>
          <w:color w:val="auto"/>
        </w:rPr>
        <w:t>2 00000</w:t>
      </w:r>
    </w:p>
    <w:p>
      <w:pPr>
        <w:spacing w:after="0" w:line="200" w:lineRule="exact"/>
        <w:rPr>
          <w:sz w:val="20"/>
          <w:szCs w:val="20"/>
          <w:color w:val="auto"/>
        </w:rPr>
      </w:pPr>
    </w:p>
    <w:p>
      <w:pPr>
        <w:spacing w:after="0" w:line="248" w:lineRule="exact"/>
        <w:rPr>
          <w:sz w:val="20"/>
          <w:szCs w:val="20"/>
          <w:color w:val="auto"/>
        </w:rPr>
      </w:pPr>
    </w:p>
    <w:p>
      <w:pPr>
        <w:ind w:left="20"/>
        <w:spacing w:after="0"/>
        <w:rPr>
          <w:sz w:val="20"/>
          <w:szCs w:val="20"/>
          <w:color w:val="auto"/>
        </w:rPr>
      </w:pPr>
      <w:r>
        <w:rPr>
          <w:rFonts w:ascii="Times New Roman" w:cs="Times New Roman" w:eastAsia="Times New Roman" w:hAnsi="Times New Roman"/>
          <w:sz w:val="8"/>
          <w:szCs w:val="8"/>
          <w:color w:val="auto"/>
        </w:rPr>
        <w:t>1 00000</w:t>
      </w:r>
    </w:p>
    <w:p>
      <w:pPr>
        <w:spacing w:after="0" w:line="200" w:lineRule="exact"/>
        <w:rPr>
          <w:sz w:val="20"/>
          <w:szCs w:val="20"/>
          <w:color w:val="auto"/>
        </w:rPr>
      </w:pPr>
    </w:p>
    <w:p>
      <w:pPr>
        <w:spacing w:after="0" w:line="268" w:lineRule="exact"/>
        <w:rPr>
          <w:sz w:val="20"/>
          <w:szCs w:val="20"/>
          <w:color w:val="auto"/>
        </w:rPr>
      </w:pPr>
    </w:p>
    <w:p>
      <w:pPr>
        <w:ind w:left="20"/>
        <w:spacing w:after="0"/>
        <w:rPr>
          <w:sz w:val="20"/>
          <w:szCs w:val="20"/>
          <w:color w:val="auto"/>
        </w:rPr>
      </w:pPr>
      <w:r>
        <w:rPr>
          <w:rFonts w:ascii="Times New Roman" w:cs="Times New Roman" w:eastAsia="Times New Roman" w:hAnsi="Times New Roman"/>
          <w:sz w:val="8"/>
          <w:szCs w:val="8"/>
          <w:color w:val="auto"/>
        </w:rPr>
        <w:t>0 00000</w:t>
      </w:r>
    </w:p>
    <w:p>
      <w:pPr>
        <w:spacing w:after="0" w:line="200" w:lineRule="exact"/>
        <w:rPr>
          <w:sz w:val="20"/>
          <w:szCs w:val="20"/>
          <w:color w:val="auto"/>
        </w:rPr>
      </w:pPr>
    </w:p>
    <w:p>
      <w:pPr>
        <w:spacing w:after="0" w:line="258" w:lineRule="exact"/>
        <w:rPr>
          <w:sz w:val="20"/>
          <w:szCs w:val="20"/>
          <w:color w:val="auto"/>
        </w:rPr>
      </w:pPr>
    </w:p>
    <w:p>
      <w:pPr>
        <w:spacing w:after="0"/>
        <w:rPr>
          <w:sz w:val="20"/>
          <w:szCs w:val="20"/>
          <w:color w:val="auto"/>
        </w:rPr>
      </w:pPr>
      <w:r>
        <w:rPr>
          <w:rFonts w:ascii="Times New Roman" w:cs="Times New Roman" w:eastAsia="Times New Roman" w:hAnsi="Times New Roman"/>
          <w:sz w:val="8"/>
          <w:szCs w:val="8"/>
          <w:color w:val="auto"/>
        </w:rPr>
        <w:t>-1 00000</w:t>
      </w:r>
    </w:p>
    <w:p>
      <w:pPr>
        <w:spacing w:after="0" w:line="200" w:lineRule="exact"/>
        <w:rPr>
          <w:sz w:val="20"/>
          <w:szCs w:val="20"/>
          <w:color w:val="auto"/>
        </w:rPr>
      </w:pPr>
    </w:p>
    <w:p>
      <w:pPr>
        <w:spacing w:after="0" w:line="268" w:lineRule="exact"/>
        <w:rPr>
          <w:sz w:val="20"/>
          <w:szCs w:val="20"/>
          <w:color w:val="auto"/>
        </w:rPr>
      </w:pPr>
    </w:p>
    <w:p>
      <w:pPr>
        <w:spacing w:after="0"/>
        <w:rPr>
          <w:sz w:val="20"/>
          <w:szCs w:val="20"/>
          <w:color w:val="auto"/>
        </w:rPr>
      </w:pPr>
      <w:r>
        <w:rPr>
          <w:rFonts w:ascii="Times New Roman" w:cs="Times New Roman" w:eastAsia="Times New Roman" w:hAnsi="Times New Roman"/>
          <w:sz w:val="8"/>
          <w:szCs w:val="8"/>
          <w:color w:val="auto"/>
        </w:rPr>
        <w:t>-2 00000</w:t>
      </w:r>
    </w:p>
    <w:p>
      <w:pPr>
        <w:spacing w:after="0" w:line="162" w:lineRule="exact"/>
        <w:rPr>
          <w:sz w:val="20"/>
          <w:szCs w:val="20"/>
          <w:color w:val="auto"/>
        </w:rPr>
      </w:pPr>
    </w:p>
    <w:p>
      <w:pPr>
        <w:jc w:val="right"/>
        <w:spacing w:after="0"/>
        <w:tabs>
          <w:tab w:leader="none" w:pos="2100" w:val="left"/>
          <w:tab w:leader="none" w:pos="1740" w:val="left"/>
          <w:tab w:leader="none" w:pos="1380" w:val="left"/>
          <w:tab w:leader="none" w:pos="980" w:val="left"/>
          <w:tab w:leader="none" w:pos="620" w:val="left"/>
          <w:tab w:leader="none" w:pos="240" w:val="left"/>
        </w:tabs>
        <w:rPr>
          <w:sz w:val="20"/>
          <w:szCs w:val="20"/>
          <w:color w:val="auto"/>
        </w:rPr>
      </w:pPr>
      <w:r>
        <w:rPr>
          <w:rFonts w:ascii="Times New Roman" w:cs="Times New Roman" w:eastAsia="Times New Roman" w:hAnsi="Times New Roman"/>
          <w:sz w:val="8"/>
          <w:szCs w:val="8"/>
          <w:color w:val="auto"/>
        </w:rPr>
        <w:t>-4 00000</w:t>
      </w:r>
      <w:r>
        <w:rPr>
          <w:sz w:val="20"/>
          <w:szCs w:val="20"/>
          <w:color w:val="auto"/>
        </w:rPr>
        <w:tab/>
      </w:r>
      <w:r>
        <w:rPr>
          <w:rFonts w:ascii="Times New Roman" w:cs="Times New Roman" w:eastAsia="Times New Roman" w:hAnsi="Times New Roman"/>
          <w:sz w:val="8"/>
          <w:szCs w:val="8"/>
          <w:color w:val="auto"/>
        </w:rPr>
        <w:t>-3 00000</w:t>
      </w:r>
      <w:r>
        <w:rPr>
          <w:sz w:val="20"/>
          <w:szCs w:val="20"/>
          <w:color w:val="auto"/>
        </w:rPr>
        <w:tab/>
      </w:r>
      <w:r>
        <w:rPr>
          <w:rFonts w:ascii="Times New Roman" w:cs="Times New Roman" w:eastAsia="Times New Roman" w:hAnsi="Times New Roman"/>
          <w:sz w:val="8"/>
          <w:szCs w:val="8"/>
          <w:color w:val="auto"/>
        </w:rPr>
        <w:t>-2 00000</w:t>
      </w:r>
      <w:r>
        <w:rPr>
          <w:sz w:val="20"/>
          <w:szCs w:val="20"/>
          <w:color w:val="auto"/>
        </w:rPr>
        <w:tab/>
      </w:r>
      <w:r>
        <w:rPr>
          <w:rFonts w:ascii="Times New Roman" w:cs="Times New Roman" w:eastAsia="Times New Roman" w:hAnsi="Times New Roman"/>
          <w:sz w:val="8"/>
          <w:szCs w:val="8"/>
          <w:color w:val="auto"/>
        </w:rPr>
        <w:t>-1 00000</w:t>
      </w:r>
      <w:r>
        <w:rPr>
          <w:sz w:val="20"/>
          <w:szCs w:val="20"/>
          <w:color w:val="auto"/>
        </w:rPr>
        <w:tab/>
      </w:r>
      <w:r>
        <w:rPr>
          <w:rFonts w:ascii="Times New Roman" w:cs="Times New Roman" w:eastAsia="Times New Roman" w:hAnsi="Times New Roman"/>
          <w:sz w:val="8"/>
          <w:szCs w:val="8"/>
          <w:color w:val="auto"/>
        </w:rPr>
        <w:t>0 00000</w:t>
      </w:r>
      <w:r>
        <w:rPr>
          <w:sz w:val="20"/>
          <w:szCs w:val="20"/>
          <w:color w:val="auto"/>
        </w:rPr>
        <w:tab/>
      </w:r>
      <w:r>
        <w:rPr>
          <w:rFonts w:ascii="Times New Roman" w:cs="Times New Roman" w:eastAsia="Times New Roman" w:hAnsi="Times New Roman"/>
          <w:sz w:val="8"/>
          <w:szCs w:val="8"/>
          <w:color w:val="auto"/>
        </w:rPr>
        <w:t>1 00000</w:t>
      </w:r>
      <w:r>
        <w:rPr>
          <w:sz w:val="20"/>
          <w:szCs w:val="20"/>
          <w:color w:val="auto"/>
        </w:rPr>
        <w:tab/>
      </w:r>
      <w:r>
        <w:rPr>
          <w:rFonts w:ascii="Times New Roman" w:cs="Times New Roman" w:eastAsia="Times New Roman" w:hAnsi="Times New Roman"/>
          <w:sz w:val="7"/>
          <w:szCs w:val="7"/>
          <w:color w:val="auto"/>
        </w:rPr>
        <w:t>2 00000</w:t>
      </w:r>
    </w:p>
    <w:p>
      <w:pPr>
        <w:spacing w:after="0" w:line="105" w:lineRule="exact"/>
        <w:rPr>
          <w:sz w:val="20"/>
          <w:szCs w:val="20"/>
          <w:color w:val="auto"/>
        </w:rPr>
      </w:pPr>
    </w:p>
    <w:p>
      <w:pPr>
        <w:ind w:left="1360"/>
        <w:spacing w:after="0"/>
        <w:rPr>
          <w:sz w:val="20"/>
          <w:szCs w:val="20"/>
          <w:color w:val="auto"/>
        </w:rPr>
      </w:pPr>
      <w:r>
        <w:rPr>
          <w:rFonts w:ascii="Times New Roman" w:cs="Times New Roman" w:eastAsia="Times New Roman" w:hAnsi="Times New Roman"/>
          <w:sz w:val="8"/>
          <w:szCs w:val="8"/>
          <w:b w:val="1"/>
          <w:bCs w:val="1"/>
          <w:color w:val="auto"/>
        </w:rPr>
        <w:t>Componente 1</w:t>
      </w:r>
    </w:p>
    <w:p>
      <w:pPr>
        <w:sectPr>
          <w:pgSz w:w="9360" w:h="13039" w:orient="portrait"/>
          <w:cols w:equalWidth="0" w:num="2">
            <w:col w:w="92" w:space="95"/>
            <w:col w:w="2820"/>
          </w:cols>
          <w:pgMar w:left="3173" w:top="906" w:right="3180" w:bottom="43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8" w:lineRule="exact"/>
        <w:rPr>
          <w:sz w:val="20"/>
          <w:szCs w:val="20"/>
          <w:color w:val="auto"/>
        </w:rPr>
      </w:pPr>
    </w:p>
    <w:tbl>
      <w:tblPr>
        <w:tblLayout w:type="fixed"/>
        <w:tblInd w:w="1650" w:type="dxa"/>
        <w:tblCellMar>
          <w:top w:w="0" w:type="dxa"/>
          <w:left w:w="0" w:type="dxa"/>
          <w:bottom w:w="0" w:type="dxa"/>
          <w:right w:w="0" w:type="dxa"/>
        </w:tblCellMar>
      </w:tblPr>
      <w:tr>
        <w:trPr>
          <w:trHeight w:val="360"/>
        </w:trPr>
        <w:tc>
          <w:tcPr>
            <w:tcW w:w="1660" w:type="dxa"/>
            <w:vAlign w:val="bottom"/>
            <w:tcBorders>
              <w:top w:val="single" w:sz="8" w:color="auto"/>
              <w:left w:val="single" w:sz="8" w:color="auto"/>
            </w:tcBorders>
          </w:tcPr>
          <w:p>
            <w:pPr>
              <w:ind w:left="320"/>
              <w:spacing w:after="0"/>
              <w:rPr>
                <w:sz w:val="20"/>
                <w:szCs w:val="20"/>
                <w:color w:val="auto"/>
              </w:rPr>
            </w:pPr>
            <w:r>
              <w:rPr>
                <w:rFonts w:ascii="Times New Roman" w:cs="Times New Roman" w:eastAsia="Times New Roman" w:hAnsi="Times New Roman"/>
                <w:sz w:val="16"/>
                <w:szCs w:val="16"/>
                <w:color w:val="auto"/>
              </w:rPr>
              <w:t>P. Sierra M (2733)</w:t>
            </w:r>
          </w:p>
        </w:tc>
        <w:tc>
          <w:tcPr>
            <w:tcW w:w="1480" w:type="dxa"/>
            <w:vAlign w:val="bottom"/>
            <w:tcBorders>
              <w:top w:val="single" w:sz="8" w:color="auto"/>
            </w:tcBorders>
          </w:tcPr>
          <w:p>
            <w:pPr>
              <w:ind w:left="200"/>
              <w:spacing w:after="0"/>
              <w:rPr>
                <w:sz w:val="20"/>
                <w:szCs w:val="20"/>
                <w:color w:val="auto"/>
              </w:rPr>
            </w:pPr>
            <w:r>
              <w:rPr>
                <w:rFonts w:ascii="Times New Roman" w:cs="Times New Roman" w:eastAsia="Times New Roman" w:hAnsi="Times New Roman"/>
                <w:sz w:val="16"/>
                <w:szCs w:val="16"/>
                <w:color w:val="auto"/>
              </w:rPr>
              <w:t>Nevado M (4200)</w:t>
            </w:r>
          </w:p>
        </w:tc>
        <w:tc>
          <w:tcPr>
            <w:tcW w:w="1520" w:type="dxa"/>
            <w:vAlign w:val="bottom"/>
            <w:tcBorders>
              <w:top w:val="single" w:sz="8" w:color="auto"/>
              <w:right w:val="single" w:sz="8" w:color="auto"/>
            </w:tcBorders>
          </w:tcPr>
          <w:p>
            <w:pPr>
              <w:ind w:left="160"/>
              <w:spacing w:after="0"/>
              <w:rPr>
                <w:sz w:val="20"/>
                <w:szCs w:val="20"/>
                <w:color w:val="auto"/>
              </w:rPr>
            </w:pPr>
            <w:r>
              <w:rPr>
                <w:rFonts w:ascii="Times New Roman" w:cs="Times New Roman" w:eastAsia="Times New Roman" w:hAnsi="Times New Roman"/>
                <w:sz w:val="16"/>
                <w:szCs w:val="16"/>
                <w:color w:val="auto"/>
              </w:rPr>
              <w:t>Mapa H (3200)</w:t>
            </w:r>
          </w:p>
        </w:tc>
      </w:tr>
      <w:tr>
        <w:trPr>
          <w:trHeight w:val="310"/>
        </w:trPr>
        <w:tc>
          <w:tcPr>
            <w:tcW w:w="1660" w:type="dxa"/>
            <w:vAlign w:val="bottom"/>
            <w:tcBorders>
              <w:left w:val="single" w:sz="8" w:color="auto"/>
            </w:tcBorders>
          </w:tcPr>
          <w:p>
            <w:pPr>
              <w:ind w:left="320"/>
              <w:spacing w:after="0"/>
              <w:rPr>
                <w:sz w:val="20"/>
                <w:szCs w:val="20"/>
                <w:color w:val="auto"/>
              </w:rPr>
            </w:pPr>
            <w:r>
              <w:rPr>
                <w:rFonts w:ascii="Times New Roman" w:cs="Times New Roman" w:eastAsia="Times New Roman" w:hAnsi="Times New Roman"/>
                <w:sz w:val="16"/>
                <w:szCs w:val="16"/>
                <w:color w:val="auto"/>
              </w:rPr>
              <w:t>Mapa M (3200)</w:t>
            </w:r>
          </w:p>
        </w:tc>
        <w:tc>
          <w:tcPr>
            <w:tcW w:w="1480" w:type="dxa"/>
            <w:vAlign w:val="bottom"/>
          </w:tcPr>
          <w:p>
            <w:pPr>
              <w:ind w:left="220"/>
              <w:spacing w:after="0"/>
              <w:rPr>
                <w:sz w:val="20"/>
                <w:szCs w:val="20"/>
                <w:color w:val="auto"/>
              </w:rPr>
            </w:pPr>
            <w:r>
              <w:rPr>
                <w:rFonts w:ascii="Times New Roman" w:cs="Times New Roman" w:eastAsia="Times New Roman" w:hAnsi="Times New Roman"/>
                <w:sz w:val="16"/>
                <w:szCs w:val="16"/>
                <w:color w:val="auto"/>
              </w:rPr>
              <w:t>P. Sierra H (2733)</w:t>
            </w:r>
          </w:p>
        </w:tc>
        <w:tc>
          <w:tcPr>
            <w:tcW w:w="1520" w:type="dxa"/>
            <w:vAlign w:val="bottom"/>
            <w:tcBorders>
              <w:right w:val="single" w:sz="8" w:color="auto"/>
            </w:tcBorders>
          </w:tcPr>
          <w:p>
            <w:pPr>
              <w:ind w:left="180"/>
              <w:spacing w:after="0"/>
              <w:rPr>
                <w:sz w:val="20"/>
                <w:szCs w:val="20"/>
                <w:color w:val="auto"/>
              </w:rPr>
            </w:pPr>
            <w:r>
              <w:rPr>
                <w:rFonts w:ascii="Times New Roman" w:cs="Times New Roman" w:eastAsia="Times New Roman" w:hAnsi="Times New Roman"/>
                <w:sz w:val="16"/>
                <w:szCs w:val="16"/>
                <w:color w:val="auto"/>
              </w:rPr>
              <w:t>Nevado H (4200)</w:t>
            </w:r>
          </w:p>
        </w:tc>
      </w:tr>
      <w:tr>
        <w:trPr>
          <w:trHeight w:val="122"/>
        </w:trPr>
        <w:tc>
          <w:tcPr>
            <w:tcW w:w="1660" w:type="dxa"/>
            <w:vAlign w:val="bottom"/>
            <w:tcBorders>
              <w:left w:val="single" w:sz="8" w:color="auto"/>
              <w:bottom w:val="single" w:sz="8" w:color="auto"/>
            </w:tcBorders>
          </w:tcPr>
          <w:p>
            <w:pPr>
              <w:spacing w:after="0"/>
              <w:rPr>
                <w:sz w:val="10"/>
                <w:szCs w:val="10"/>
                <w:color w:val="auto"/>
              </w:rPr>
            </w:pPr>
          </w:p>
        </w:tc>
        <w:tc>
          <w:tcPr>
            <w:tcW w:w="1480" w:type="dxa"/>
            <w:vAlign w:val="bottom"/>
            <w:tcBorders>
              <w:bottom w:val="single" w:sz="8" w:color="auto"/>
            </w:tcBorders>
          </w:tcPr>
          <w:p>
            <w:pPr>
              <w:spacing w:after="0"/>
              <w:rPr>
                <w:sz w:val="10"/>
                <w:szCs w:val="10"/>
                <w:color w:val="auto"/>
              </w:rPr>
            </w:pPr>
          </w:p>
        </w:tc>
        <w:tc>
          <w:tcPr>
            <w:tcW w:w="1520" w:type="dxa"/>
            <w:vAlign w:val="bottom"/>
            <w:tcBorders>
              <w:bottom w:val="single" w:sz="8" w:color="auto"/>
              <w:right w:val="single" w:sz="8" w:color="auto"/>
            </w:tcBorders>
          </w:tcPr>
          <w:p>
            <w:pPr>
              <w:spacing w:after="0"/>
              <w:rPr>
                <w:sz w:val="10"/>
                <w:szCs w:val="10"/>
                <w:color w:val="auto"/>
              </w:rPr>
            </w:pPr>
          </w:p>
        </w:tc>
      </w:tr>
    </w:tbl>
    <w:p>
      <w:pPr>
        <w:spacing w:after="0" w:line="336" w:lineRule="exact"/>
        <w:rPr>
          <w:sz w:val="20"/>
          <w:szCs w:val="20"/>
          <w:color w:val="auto"/>
        </w:rPr>
      </w:pPr>
    </w:p>
    <w:p>
      <w:pPr>
        <w:jc w:val="both"/>
        <w:spacing w:after="0" w:line="299" w:lineRule="auto"/>
        <w:rPr>
          <w:sz w:val="20"/>
          <w:szCs w:val="20"/>
          <w:color w:val="auto"/>
        </w:rPr>
      </w:pPr>
      <w:r>
        <w:rPr>
          <w:rFonts w:ascii="Times New Roman" w:cs="Times New Roman" w:eastAsia="Times New Roman" w:hAnsi="Times New Roman"/>
          <w:sz w:val="16"/>
          <w:szCs w:val="16"/>
          <w:color w:val="auto"/>
        </w:rPr>
        <w:t xml:space="preserve">acp de las escamas dorsales de </w:t>
      </w:r>
      <w:r>
        <w:rPr>
          <w:rFonts w:ascii="Times New Roman" w:cs="Times New Roman" w:eastAsia="Times New Roman" w:hAnsi="Times New Roman"/>
          <w:sz w:val="16"/>
          <w:szCs w:val="16"/>
          <w:i w:val="1"/>
          <w:iCs w:val="1"/>
          <w:color w:val="auto"/>
        </w:rPr>
        <w:t>B. imbricata,</w:t>
      </w:r>
      <w:r>
        <w:rPr>
          <w:rFonts w:ascii="Times New Roman" w:cs="Times New Roman" w:eastAsia="Times New Roman" w:hAnsi="Times New Roman"/>
          <w:sz w:val="16"/>
          <w:szCs w:val="16"/>
          <w:color w:val="auto"/>
        </w:rPr>
        <w:t xml:space="preserve"> incluyendo las tres localidades separadas por sexo (M: macho y H: hembra). Los números indican la altura sobre el nivel del mar. Además, se muestran las tendencias de deformación en los extremos de los componentes (Fuente: Carmen, 2010).</w:t>
      </w:r>
    </w:p>
    <w:p>
      <w:pPr>
        <w:sectPr>
          <w:pgSz w:w="9360" w:h="13039" w:orient="portrait"/>
          <w:cols w:equalWidth="0" w:num="1">
            <w:col w:w="7200"/>
          </w:cols>
          <w:pgMar w:left="1080" w:top="906" w:right="1080" w:bottom="43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8"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90" w:name="page91"/>
    <w:bookmarkEnd w:id="90"/>
    <w:p>
      <w:pPr>
        <w:spacing w:after="0"/>
        <w:tabs>
          <w:tab w:leader="none" w:pos="2040" w:val="left"/>
          <w:tab w:leader="none" w:pos="3180" w:val="left"/>
          <w:tab w:leader="none" w:pos="4340" w:val="left"/>
        </w:tabs>
        <w:rPr>
          <w:sz w:val="20"/>
          <w:szCs w:val="20"/>
          <w:color w:val="auto"/>
        </w:rPr>
      </w:pPr>
      <w:r>
        <w:rPr>
          <w:rFonts w:ascii="Arial Narrow" w:cs="Arial Narrow" w:eastAsia="Arial Narrow" w:hAnsi="Arial Narrow"/>
          <w:sz w:val="16"/>
          <w:szCs w:val="16"/>
          <w:color w:val="auto"/>
        </w:rPr>
        <w:t>90</w:t>
      </w:r>
      <w:r>
        <w:rPr>
          <w:sz w:val="20"/>
          <w:szCs w:val="20"/>
          <w:color w:val="auto"/>
        </w:rPr>
        <w:tab/>
      </w:r>
      <w:r>
        <w:rPr>
          <w:rFonts w:ascii="Arial Narrow" w:cs="Arial Narrow" w:eastAsia="Arial Narrow" w:hAnsi="Arial Narrow"/>
          <w:sz w:val="11"/>
          <w:szCs w:val="11"/>
          <w:color w:val="auto"/>
        </w:rPr>
        <w:t>carmen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cristóbal</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nava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1994535</wp:posOffset>
                </wp:positionH>
                <wp:positionV relativeFrom="paragraph">
                  <wp:posOffset>-76835</wp:posOffset>
                </wp:positionV>
                <wp:extent cx="0" cy="88900"/>
                <wp:wrapNone/>
                <wp:docPr id="202" name="Shape 20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02" o:spid="_x0000_s122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7.05pt,-6.0499pt" to="157.0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2738120</wp:posOffset>
                </wp:positionH>
                <wp:positionV relativeFrom="paragraph">
                  <wp:posOffset>-76835</wp:posOffset>
                </wp:positionV>
                <wp:extent cx="0" cy="88900"/>
                <wp:wrapNone/>
                <wp:docPr id="203" name="Shape 20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03" o:spid="_x0000_s122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5.6pt,-6.0499pt" to="215.6pt,0.95pt" o:allowincell="f" strokecolor="#000000" strokeweight="0.4pt"/>
            </w:pict>
          </mc:Fallback>
        </mc:AlternateContent>
      </w:r>
    </w:p>
    <w:p>
      <w:pPr>
        <w:spacing w:after="0" w:line="355" w:lineRule="exact"/>
        <w:rPr>
          <w:sz w:val="20"/>
          <w:szCs w:val="20"/>
          <w:color w:val="auto"/>
        </w:rPr>
      </w:pPr>
    </w:p>
    <w:p>
      <w:pPr>
        <w:ind w:left="3320"/>
        <w:spacing w:after="0"/>
        <w:rPr>
          <w:sz w:val="20"/>
          <w:szCs w:val="20"/>
          <w:color w:val="auto"/>
        </w:rPr>
      </w:pPr>
      <w:r>
        <w:rPr>
          <w:rFonts w:ascii="Times New Roman" w:cs="Times New Roman" w:eastAsia="Times New Roman" w:hAnsi="Times New Roman"/>
          <w:sz w:val="18"/>
          <w:szCs w:val="18"/>
          <w:i w:val="1"/>
          <w:iCs w:val="1"/>
          <w:color w:val="auto"/>
        </w:rPr>
        <w:t>Figura 3</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121285</wp:posOffset>
            </wp:positionV>
            <wp:extent cx="4570095" cy="4201795"/>
            <wp:wrapNone/>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45">
                      <a:extLst>
                        <a:ext uri="{28A0092B-C50C-407E-A947-70E740481C1C}"/>
                      </a:extLst>
                    </a:blip>
                    <a:srcRect/>
                    <a:stretch>
                      <a:fillRect/>
                    </a:stretch>
                  </pic:blipFill>
                  <pic:spPr bwMode="auto">
                    <a:xfrm>
                      <a:off x="0" y="0"/>
                      <a:ext cx="4570095" cy="420179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4" w:lineRule="exact"/>
        <w:rPr>
          <w:sz w:val="20"/>
          <w:szCs w:val="20"/>
          <w:color w:val="auto"/>
        </w:rPr>
      </w:pPr>
    </w:p>
    <w:p>
      <w:pPr>
        <w:ind w:left="220"/>
        <w:spacing w:after="0"/>
        <w:rPr>
          <w:sz w:val="20"/>
          <w:szCs w:val="20"/>
          <w:color w:val="auto"/>
        </w:rPr>
      </w:pPr>
      <w:r>
        <w:rPr>
          <w:rFonts w:ascii="Times New Roman" w:cs="Times New Roman" w:eastAsia="Times New Roman" w:hAnsi="Times New Roman"/>
          <w:sz w:val="16"/>
          <w:szCs w:val="16"/>
          <w:b w:val="1"/>
          <w:bCs w:val="1"/>
          <w:color w:val="auto"/>
        </w:rPr>
        <w:t>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5" w:lineRule="exact"/>
        <w:rPr>
          <w:sz w:val="20"/>
          <w:szCs w:val="20"/>
          <w:color w:val="auto"/>
        </w:rPr>
      </w:pPr>
    </w:p>
    <w:p>
      <w:pPr>
        <w:ind w:left="220"/>
        <w:spacing w:after="0"/>
        <w:rPr>
          <w:sz w:val="20"/>
          <w:szCs w:val="20"/>
          <w:color w:val="auto"/>
        </w:rPr>
      </w:pPr>
      <w:r>
        <w:rPr>
          <w:rFonts w:ascii="Times New Roman" w:cs="Times New Roman" w:eastAsia="Times New Roman" w:hAnsi="Times New Roman"/>
          <w:sz w:val="16"/>
          <w:szCs w:val="16"/>
          <w:b w:val="1"/>
          <w:bCs w:val="1"/>
          <w:color w:val="auto"/>
        </w:rPr>
        <w:t>B</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9" w:lineRule="exact"/>
        <w:rPr>
          <w:sz w:val="20"/>
          <w:szCs w:val="20"/>
          <w:color w:val="auto"/>
        </w:rPr>
      </w:pPr>
    </w:p>
    <w:p>
      <w:pPr>
        <w:ind w:left="220"/>
        <w:spacing w:after="0"/>
        <w:rPr>
          <w:sz w:val="20"/>
          <w:szCs w:val="20"/>
          <w:color w:val="auto"/>
        </w:rPr>
      </w:pPr>
      <w:r>
        <w:rPr>
          <w:rFonts w:ascii="Times New Roman" w:cs="Times New Roman" w:eastAsia="Times New Roman" w:hAnsi="Times New Roman"/>
          <w:sz w:val="16"/>
          <w:szCs w:val="16"/>
          <w:b w:val="1"/>
          <w:bCs w:val="1"/>
          <w:color w:val="auto"/>
        </w:rPr>
        <w:t>C</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4" w:lineRule="exact"/>
        <w:rPr>
          <w:sz w:val="20"/>
          <w:szCs w:val="20"/>
          <w:color w:val="auto"/>
        </w:rPr>
      </w:pPr>
    </w:p>
    <w:p>
      <w:pPr>
        <w:ind w:left="1960"/>
        <w:spacing w:after="0"/>
        <w:tabs>
          <w:tab w:leader="none" w:pos="5380" w:val="left"/>
        </w:tabs>
        <w:rPr>
          <w:sz w:val="20"/>
          <w:szCs w:val="20"/>
          <w:color w:val="auto"/>
        </w:rPr>
      </w:pPr>
      <w:r>
        <w:rPr>
          <w:rFonts w:ascii="Times New Roman" w:cs="Times New Roman" w:eastAsia="Times New Roman" w:hAnsi="Times New Roman"/>
          <w:sz w:val="16"/>
          <w:szCs w:val="16"/>
          <w:b w:val="1"/>
          <w:bCs w:val="1"/>
          <w:color w:val="auto"/>
        </w:rPr>
        <w:t>H</w:t>
      </w:r>
      <w:r>
        <w:rPr>
          <w:sz w:val="20"/>
          <w:szCs w:val="20"/>
          <w:color w:val="auto"/>
        </w:rPr>
        <w:tab/>
      </w:r>
      <w:r>
        <w:rPr>
          <w:rFonts w:ascii="Times New Roman" w:cs="Times New Roman" w:eastAsia="Times New Roman" w:hAnsi="Times New Roman"/>
          <w:sz w:val="16"/>
          <w:szCs w:val="16"/>
          <w:b w:val="1"/>
          <w:bCs w:val="1"/>
          <w:color w:val="auto"/>
        </w:rPr>
        <w:t>M</w:t>
      </w:r>
    </w:p>
    <w:p>
      <w:pPr>
        <w:spacing w:after="0" w:line="352" w:lineRule="exact"/>
        <w:rPr>
          <w:sz w:val="20"/>
          <w:szCs w:val="20"/>
          <w:color w:val="auto"/>
        </w:rPr>
      </w:pPr>
    </w:p>
    <w:p>
      <w:pPr>
        <w:jc w:val="both"/>
        <w:spacing w:after="0" w:line="299" w:lineRule="auto"/>
        <w:rPr>
          <w:sz w:val="20"/>
          <w:szCs w:val="20"/>
          <w:color w:val="auto"/>
        </w:rPr>
      </w:pPr>
      <w:r>
        <w:rPr>
          <w:rFonts w:ascii="Times New Roman" w:cs="Times New Roman" w:eastAsia="Times New Roman" w:hAnsi="Times New Roman"/>
          <w:sz w:val="16"/>
          <w:szCs w:val="16"/>
          <w:color w:val="auto"/>
        </w:rPr>
        <w:t>Redes de deformación de las escamas dorsales de la cabeza entre machos y hembras de las tres poblaciones (A: Parque Sierra, B: El Mapa, C: Nevado; M: macho y H: hembra). La unión de los puntos refleja la forma de las escamas. (Fuente: Carmen, 2010).</w:t>
      </w:r>
    </w:p>
    <w:p>
      <w:pPr>
        <w:spacing w:after="0" w:line="200" w:lineRule="exact"/>
        <w:rPr>
          <w:sz w:val="20"/>
          <w:szCs w:val="20"/>
          <w:color w:val="auto"/>
        </w:rPr>
      </w:pPr>
    </w:p>
    <w:p>
      <w:pPr>
        <w:spacing w:after="0" w:line="262"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Escamas ventrales</w:t>
      </w:r>
    </w:p>
    <w:p>
      <w:pPr>
        <w:spacing w:after="0" w:line="387" w:lineRule="exact"/>
        <w:rPr>
          <w:sz w:val="20"/>
          <w:szCs w:val="20"/>
          <w:color w:val="auto"/>
        </w:rPr>
      </w:pPr>
    </w:p>
    <w:p>
      <w:pPr>
        <w:jc w:val="both"/>
        <w:spacing w:after="0" w:line="315" w:lineRule="auto"/>
        <w:rPr>
          <w:sz w:val="20"/>
          <w:szCs w:val="20"/>
          <w:color w:val="auto"/>
        </w:rPr>
      </w:pPr>
      <w:r>
        <w:rPr>
          <w:rFonts w:ascii="Times New Roman" w:cs="Times New Roman" w:eastAsia="Times New Roman" w:hAnsi="Times New Roman"/>
          <w:sz w:val="22"/>
          <w:szCs w:val="22"/>
          <w:color w:val="auto"/>
        </w:rPr>
        <w:t xml:space="preserve">No se hallaron diferencias significativas en el acp (lambda de Wilks = 0.002, </w:t>
      </w:r>
      <w:r>
        <w:rPr>
          <w:rFonts w:ascii="Times New Roman" w:cs="Times New Roman" w:eastAsia="Times New Roman" w:hAnsi="Times New Roman"/>
          <w:sz w:val="22"/>
          <w:szCs w:val="22"/>
          <w:i w:val="1"/>
          <w:iCs w:val="1"/>
          <w:color w:val="auto"/>
        </w:rPr>
        <w:t xml:space="preserve">F </w:t>
      </w:r>
      <w:r>
        <w:rPr>
          <w:rFonts w:ascii="Times New Roman" w:cs="Times New Roman" w:eastAsia="Times New Roman" w:hAnsi="Times New Roman"/>
          <w:sz w:val="22"/>
          <w:szCs w:val="22"/>
          <w:color w:val="auto"/>
        </w:rPr>
        <w:t>= 0 .577,</w:t>
      </w:r>
      <w:r>
        <w:rPr>
          <w:rFonts w:ascii="Times New Roman" w:cs="Times New Roman" w:eastAsia="Times New Roman" w:hAnsi="Times New Roman"/>
          <w:sz w:val="22"/>
          <w:szCs w:val="22"/>
          <w:i w:val="1"/>
          <w:iCs w:val="1"/>
          <w:color w:val="auto"/>
        </w:rPr>
        <w:t xml:space="preserve"> p </w:t>
      </w:r>
      <w:r>
        <w:rPr>
          <w:rFonts w:ascii="Times New Roman" w:cs="Times New Roman" w:eastAsia="Times New Roman" w:hAnsi="Times New Roman"/>
          <w:sz w:val="22"/>
          <w:szCs w:val="22"/>
          <w:color w:val="auto"/>
        </w:rPr>
        <w:t>= 0.816) entre las localidades a diferente altitud de</w:t>
      </w:r>
      <w:r>
        <w:rPr>
          <w:rFonts w:ascii="Times New Roman" w:cs="Times New Roman" w:eastAsia="Times New Roman" w:hAnsi="Times New Roman"/>
          <w:sz w:val="22"/>
          <w:szCs w:val="22"/>
          <w:i w:val="1"/>
          <w:iCs w:val="1"/>
          <w:color w:val="auto"/>
        </w:rPr>
        <w:t xml:space="preserve"> B. imbricata </w:t>
      </w:r>
      <w:r>
        <w:rPr>
          <w:rFonts w:ascii="Times New Roman" w:cs="Times New Roman" w:eastAsia="Times New Roman" w:hAnsi="Times New Roman"/>
          <w:sz w:val="22"/>
          <w:szCs w:val="22"/>
          <w:color w:val="auto"/>
        </w:rPr>
        <w:t>(figura</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4)</w:t>
      </w:r>
      <w:r>
        <w:rPr>
          <w:rFonts w:ascii="Times New Roman" w:cs="Times New Roman" w:eastAsia="Times New Roman" w:hAnsi="Times New Roman"/>
          <w:sz w:val="22"/>
          <w:szCs w:val="22"/>
          <w:i w:val="1"/>
          <w:iCs w:val="1"/>
          <w:color w:val="auto"/>
        </w:rPr>
        <w:t>.</w:t>
      </w:r>
      <w:r>
        <w:rPr>
          <w:rFonts w:ascii="Times New Roman" w:cs="Times New Roman" w:eastAsia="Times New Roman" w:hAnsi="Times New Roman"/>
          <w:sz w:val="22"/>
          <w:szCs w:val="22"/>
          <w:color w:val="auto"/>
        </w:rPr>
        <w:t xml:space="preserve"> El CP1 explica 13.21% de la varianza; el CP2, 9.66%; ambos, 22.87%.</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54"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05" name="Shape 20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05" o:spid="_x0000_s123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06" name="Shape 20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06" o:spid="_x0000_s123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07" name="Shape 20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07" o:spid="_x0000_s123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91" w:name="page92"/>
    <w:bookmarkEnd w:id="91"/>
    <w:tbl>
      <w:tblPr>
        <w:tblLayout w:type="fixed"/>
        <w:tblInd w:w="1580" w:type="dxa"/>
        <w:tblCellMar>
          <w:top w:w="0" w:type="dxa"/>
          <w:left w:w="0" w:type="dxa"/>
          <w:bottom w:w="0" w:type="dxa"/>
          <w:right w:w="0" w:type="dxa"/>
        </w:tblCellMar>
      </w:tblPr>
      <w:tr>
        <w:trPr>
          <w:trHeight w:val="222"/>
        </w:trPr>
        <w:tc>
          <w:tcPr>
            <w:tcW w:w="4760" w:type="dxa"/>
            <w:vAlign w:val="bottom"/>
          </w:tcPr>
          <w:p>
            <w:pPr>
              <w:spacing w:after="0"/>
              <w:rPr>
                <w:sz w:val="20"/>
                <w:szCs w:val="20"/>
                <w:color w:val="auto"/>
              </w:rPr>
            </w:pPr>
            <w:r>
              <w:rPr>
                <w:rFonts w:ascii="Arial Narrow" w:cs="Arial Narrow" w:eastAsia="Arial Narrow" w:hAnsi="Arial Narrow"/>
                <w:sz w:val="11"/>
                <w:szCs w:val="11"/>
                <w:color w:val="auto"/>
              </w:rPr>
              <w:t xml:space="preserve">morfología geométrica de las escamas cefálicas en </w:t>
            </w:r>
            <w:r>
              <w:rPr>
                <w:rFonts w:ascii="Arial Narrow" w:cs="Arial Narrow" w:eastAsia="Arial Narrow" w:hAnsi="Arial Narrow"/>
                <w:sz w:val="11"/>
                <w:szCs w:val="11"/>
                <w:i w:val="1"/>
                <w:iCs w:val="1"/>
                <w:color w:val="auto"/>
              </w:rPr>
              <w:t>barisia imbricata</w:t>
            </w:r>
          </w:p>
        </w:tc>
        <w:tc>
          <w:tcPr>
            <w:tcW w:w="860" w:type="dxa"/>
            <w:vAlign w:val="bottom"/>
          </w:tcPr>
          <w:p>
            <w:pPr>
              <w:jc w:val="right"/>
              <w:spacing w:after="0"/>
              <w:rPr>
                <w:sz w:val="20"/>
                <w:szCs w:val="20"/>
                <w:color w:val="auto"/>
              </w:rPr>
            </w:pPr>
            <w:r>
              <w:rPr>
                <w:rFonts w:ascii="Arial Narrow" w:cs="Arial Narrow" w:eastAsia="Arial Narrow" w:hAnsi="Arial Narrow"/>
                <w:sz w:val="16"/>
                <w:szCs w:val="16"/>
                <w:color w:val="auto"/>
              </w:rPr>
              <w:t>91</w:t>
            </w:r>
          </w:p>
        </w:tc>
      </w:tr>
    </w:tbl>
    <w:p>
      <w:pPr>
        <w:spacing w:after="0" w:line="200" w:lineRule="exact"/>
        <w:rPr>
          <w:sz w:val="20"/>
          <w:szCs w:val="20"/>
          <w:color w:val="auto"/>
        </w:rPr>
      </w:pPr>
    </w:p>
    <w:p>
      <w:pPr>
        <w:spacing w:after="0" w:line="309" w:lineRule="exact"/>
        <w:rPr>
          <w:sz w:val="20"/>
          <w:szCs w:val="20"/>
          <w:color w:val="auto"/>
        </w:rPr>
      </w:pPr>
    </w:p>
    <w:p>
      <w:pPr>
        <w:jc w:val="both"/>
        <w:ind w:firstLine="360"/>
        <w:spacing w:after="0" w:line="292" w:lineRule="auto"/>
        <w:rPr>
          <w:sz w:val="20"/>
          <w:szCs w:val="20"/>
          <w:color w:val="auto"/>
        </w:rPr>
      </w:pPr>
      <w:r>
        <w:rPr>
          <w:rFonts w:ascii="Times New Roman" w:cs="Times New Roman" w:eastAsia="Times New Roman" w:hAnsi="Times New Roman"/>
          <w:sz w:val="22"/>
          <w:szCs w:val="22"/>
          <w:color w:val="auto"/>
        </w:rPr>
        <w:t xml:space="preserve">Para el dimorfismo sexual, en las escamas ventrales no se encontraron diferencias significativas en el afd (lambda de Wilks = 0.000, </w:t>
      </w:r>
      <w:r>
        <w:rPr>
          <w:rFonts w:ascii="Times New Roman" w:cs="Times New Roman" w:eastAsia="Times New Roman" w:hAnsi="Times New Roman"/>
          <w:sz w:val="22"/>
          <w:szCs w:val="22"/>
          <w:i w:val="1"/>
          <w:iCs w:val="1"/>
          <w:color w:val="auto"/>
        </w:rPr>
        <w:t>F</w:t>
      </w:r>
      <w:r>
        <w:rPr>
          <w:rFonts w:ascii="Times New Roman" w:cs="Times New Roman" w:eastAsia="Times New Roman" w:hAnsi="Times New Roman"/>
          <w:sz w:val="22"/>
          <w:szCs w:val="22"/>
          <w:color w:val="auto"/>
        </w:rPr>
        <w:t xml:space="preserve"> = 0.650, </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2"/>
          <w:szCs w:val="22"/>
          <w:color w:val="auto"/>
        </w:rPr>
        <w:t xml:space="preserve"> = 0.872); en la figura 4 se muestra cómo los puntos están totalmente dispersos en el morfoespacio, es decir, no hay una separación de sexos ni de localidades.</w:t>
      </w:r>
    </w:p>
    <w:p>
      <w:pPr>
        <w:spacing w:after="0" w:line="371" w:lineRule="exact"/>
        <w:rPr>
          <w:sz w:val="20"/>
          <w:szCs w:val="20"/>
          <w:color w:val="auto"/>
        </w:rPr>
      </w:pPr>
    </w:p>
    <w:p>
      <w:pPr>
        <w:ind w:left="3320"/>
        <w:spacing w:after="0"/>
        <w:rPr>
          <w:sz w:val="20"/>
          <w:szCs w:val="20"/>
          <w:color w:val="auto"/>
        </w:rPr>
      </w:pPr>
      <w:r>
        <w:rPr>
          <w:rFonts w:ascii="Times New Roman" w:cs="Times New Roman" w:eastAsia="Times New Roman" w:hAnsi="Times New Roman"/>
          <w:sz w:val="18"/>
          <w:szCs w:val="18"/>
          <w:i w:val="1"/>
          <w:iCs w:val="1"/>
          <w:color w:val="auto"/>
        </w:rPr>
        <w:t>Figura 4</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-2540</wp:posOffset>
            </wp:positionH>
            <wp:positionV relativeFrom="paragraph">
              <wp:posOffset>86360</wp:posOffset>
            </wp:positionV>
            <wp:extent cx="4574540" cy="4683125"/>
            <wp:wrapNone/>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46">
                      <a:extLst>
                        <a:ext uri="{28A0092B-C50C-407E-A947-70E740481C1C}"/>
                      </a:extLst>
                    </a:blip>
                    <a:srcRect/>
                    <a:stretch>
                      <a:fillRect/>
                    </a:stretch>
                  </pic:blipFill>
                  <pic:spPr bwMode="auto">
                    <a:xfrm>
                      <a:off x="0" y="0"/>
                      <a:ext cx="4574540" cy="468312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4"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8"/>
          <w:szCs w:val="8"/>
          <w:color w:val="auto"/>
        </w:rPr>
        <w:t>4 00000</w:t>
      </w:r>
    </w:p>
    <w:p>
      <w:pPr>
        <w:spacing w:after="0" w:line="200" w:lineRule="exact"/>
        <w:rPr>
          <w:sz w:val="20"/>
          <w:szCs w:val="20"/>
          <w:color w:val="auto"/>
        </w:rPr>
      </w:pPr>
    </w:p>
    <w:p>
      <w:pPr>
        <w:spacing w:after="0" w:line="200" w:lineRule="exact"/>
        <w:rPr>
          <w:sz w:val="20"/>
          <w:szCs w:val="20"/>
          <w:color w:val="auto"/>
        </w:rPr>
      </w:pPr>
    </w:p>
    <w:p>
      <w:pPr>
        <w:spacing w:after="0" w:line="308"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8"/>
          <w:szCs w:val="8"/>
          <w:color w:val="auto"/>
        </w:rPr>
        <w:t>2 00000</w:t>
      </w:r>
    </w:p>
    <w:p>
      <w:pPr>
        <w:spacing w:after="0" w:line="187" w:lineRule="exact"/>
        <w:rPr>
          <w:sz w:val="20"/>
          <w:szCs w:val="20"/>
          <w:color w:val="auto"/>
        </w:rPr>
      </w:pPr>
    </w:p>
    <w:tbl>
      <w:tblPr>
        <w:tblLayout w:type="fixed"/>
        <w:tblInd w:w="1576" w:type="dxa"/>
        <w:tblCellMar>
          <w:top w:w="0" w:type="dxa"/>
          <w:left w:w="0" w:type="dxa"/>
          <w:bottom w:w="0" w:type="dxa"/>
          <w:right w:w="0" w:type="dxa"/>
        </w:tblCellMar>
      </w:tblPr>
      <w:tr>
        <w:trPr>
          <w:trHeight w:val="500"/>
          <w:jc w:val="center"/>
        </w:trPr>
        <w:tc>
          <w:tcPr>
            <w:tcW w:w="92" w:type="dxa"/>
            <w:vAlign w:val="bottom"/>
            <w:textDirection w:val="btLr"/>
          </w:tcPr>
          <w:p>
            <w:pPr>
              <w:spacing w:after="0"/>
              <w:rPr>
                <w:sz w:val="20"/>
                <w:szCs w:val="20"/>
                <w:color w:val="auto"/>
              </w:rPr>
            </w:pPr>
            <w:r>
              <w:rPr>
                <w:rFonts w:ascii="Times New Roman" w:cs="Times New Roman" w:eastAsia="Times New Roman" w:hAnsi="Times New Roman"/>
                <w:sz w:val="8"/>
                <w:szCs w:val="8"/>
                <w:b w:val="1"/>
                <w:bCs w:val="1"/>
                <w:color w:val="auto"/>
              </w:rPr>
              <w:t>Componente 2</w:t>
            </w:r>
          </w:p>
        </w:tc>
      </w:tr>
    </w:tbl>
    <w:p>
      <w:pPr>
        <w:spacing w:after="0" w:line="41"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8"/>
          <w:szCs w:val="8"/>
          <w:color w:val="auto"/>
        </w:rPr>
        <w:t>0 00000</w:t>
      </w:r>
    </w:p>
    <w:p>
      <w:pPr>
        <w:spacing w:after="0" w:line="200" w:lineRule="exact"/>
        <w:rPr>
          <w:sz w:val="20"/>
          <w:szCs w:val="20"/>
          <w:color w:val="auto"/>
        </w:rPr>
      </w:pPr>
    </w:p>
    <w:p>
      <w:pPr>
        <w:spacing w:after="0" w:line="200" w:lineRule="exact"/>
        <w:rPr>
          <w:sz w:val="20"/>
          <w:szCs w:val="20"/>
          <w:color w:val="auto"/>
        </w:rPr>
      </w:pPr>
    </w:p>
    <w:p>
      <w:pPr>
        <w:spacing w:after="0" w:line="328" w:lineRule="exact"/>
        <w:rPr>
          <w:sz w:val="20"/>
          <w:szCs w:val="20"/>
          <w:color w:val="auto"/>
        </w:rPr>
      </w:pPr>
    </w:p>
    <w:p>
      <w:pPr>
        <w:ind w:left="1860"/>
        <w:spacing w:after="0"/>
        <w:rPr>
          <w:sz w:val="20"/>
          <w:szCs w:val="20"/>
          <w:color w:val="auto"/>
        </w:rPr>
      </w:pPr>
      <w:r>
        <w:rPr>
          <w:rFonts w:ascii="Times New Roman" w:cs="Times New Roman" w:eastAsia="Times New Roman" w:hAnsi="Times New Roman"/>
          <w:sz w:val="8"/>
          <w:szCs w:val="8"/>
          <w:color w:val="auto"/>
        </w:rPr>
        <w:t>- 2 00000</w:t>
      </w:r>
    </w:p>
    <w:p>
      <w:pPr>
        <w:spacing w:after="0" w:line="200" w:lineRule="exact"/>
        <w:rPr>
          <w:sz w:val="20"/>
          <w:szCs w:val="20"/>
          <w:color w:val="auto"/>
        </w:rPr>
      </w:pPr>
    </w:p>
    <w:p>
      <w:pPr>
        <w:spacing w:after="0" w:line="394" w:lineRule="exact"/>
        <w:rPr>
          <w:sz w:val="20"/>
          <w:szCs w:val="20"/>
          <w:color w:val="auto"/>
        </w:rPr>
      </w:pPr>
    </w:p>
    <w:p>
      <w:pPr>
        <w:ind w:left="2280"/>
        <w:spacing w:after="0"/>
        <w:tabs>
          <w:tab w:leader="none" w:pos="2660" w:val="left"/>
          <w:tab w:leader="none" w:pos="3120" w:val="left"/>
          <w:tab w:leader="none" w:pos="3560" w:val="left"/>
          <w:tab w:leader="none" w:pos="3980" w:val="left"/>
          <w:tab w:leader="none" w:pos="4400" w:val="left"/>
          <w:tab w:leader="none" w:pos="4840" w:val="left"/>
        </w:tabs>
        <w:rPr>
          <w:sz w:val="20"/>
          <w:szCs w:val="20"/>
          <w:color w:val="auto"/>
        </w:rPr>
      </w:pPr>
      <w:r>
        <w:rPr>
          <w:rFonts w:ascii="Times New Roman" w:cs="Times New Roman" w:eastAsia="Times New Roman" w:hAnsi="Times New Roman"/>
          <w:sz w:val="8"/>
          <w:szCs w:val="8"/>
          <w:color w:val="auto"/>
        </w:rPr>
        <w:t>-2 00000</w:t>
      </w:r>
      <w:r>
        <w:rPr>
          <w:sz w:val="20"/>
          <w:szCs w:val="20"/>
          <w:color w:val="auto"/>
        </w:rPr>
        <w:tab/>
      </w:r>
      <w:r>
        <w:rPr>
          <w:rFonts w:ascii="Times New Roman" w:cs="Times New Roman" w:eastAsia="Times New Roman" w:hAnsi="Times New Roman"/>
          <w:sz w:val="8"/>
          <w:szCs w:val="8"/>
          <w:color w:val="auto"/>
        </w:rPr>
        <w:t>-1 00000</w:t>
      </w:r>
      <w:r>
        <w:rPr>
          <w:sz w:val="20"/>
          <w:szCs w:val="20"/>
          <w:color w:val="auto"/>
        </w:rPr>
        <w:tab/>
      </w:r>
      <w:r>
        <w:rPr>
          <w:rFonts w:ascii="Times New Roman" w:cs="Times New Roman" w:eastAsia="Times New Roman" w:hAnsi="Times New Roman"/>
          <w:sz w:val="8"/>
          <w:szCs w:val="8"/>
          <w:color w:val="auto"/>
        </w:rPr>
        <w:t>0 00000</w:t>
      </w:r>
      <w:r>
        <w:rPr>
          <w:sz w:val="20"/>
          <w:szCs w:val="20"/>
          <w:color w:val="auto"/>
        </w:rPr>
        <w:tab/>
      </w:r>
      <w:r>
        <w:rPr>
          <w:rFonts w:ascii="Times New Roman" w:cs="Times New Roman" w:eastAsia="Times New Roman" w:hAnsi="Times New Roman"/>
          <w:sz w:val="8"/>
          <w:szCs w:val="8"/>
          <w:color w:val="auto"/>
        </w:rPr>
        <w:t>1 00000</w:t>
      </w:r>
      <w:r>
        <w:rPr>
          <w:sz w:val="20"/>
          <w:szCs w:val="20"/>
          <w:color w:val="auto"/>
        </w:rPr>
        <w:tab/>
      </w:r>
      <w:r>
        <w:rPr>
          <w:rFonts w:ascii="Times New Roman" w:cs="Times New Roman" w:eastAsia="Times New Roman" w:hAnsi="Times New Roman"/>
          <w:sz w:val="8"/>
          <w:szCs w:val="8"/>
          <w:color w:val="auto"/>
        </w:rPr>
        <w:t>2 00000</w:t>
      </w:r>
      <w:r>
        <w:rPr>
          <w:sz w:val="20"/>
          <w:szCs w:val="20"/>
          <w:color w:val="auto"/>
        </w:rPr>
        <w:tab/>
      </w:r>
      <w:r>
        <w:rPr>
          <w:rFonts w:ascii="Times New Roman" w:cs="Times New Roman" w:eastAsia="Times New Roman" w:hAnsi="Times New Roman"/>
          <w:sz w:val="8"/>
          <w:szCs w:val="8"/>
          <w:color w:val="auto"/>
        </w:rPr>
        <w:t>3 00000</w:t>
      </w:r>
      <w:r>
        <w:rPr>
          <w:sz w:val="20"/>
          <w:szCs w:val="20"/>
          <w:color w:val="auto"/>
        </w:rPr>
        <w:tab/>
      </w:r>
      <w:r>
        <w:rPr>
          <w:rFonts w:ascii="Times New Roman" w:cs="Times New Roman" w:eastAsia="Times New Roman" w:hAnsi="Times New Roman"/>
          <w:sz w:val="7"/>
          <w:szCs w:val="7"/>
          <w:color w:val="auto"/>
        </w:rPr>
        <w:t>4 00000</w:t>
      </w:r>
    </w:p>
    <w:p>
      <w:pPr>
        <w:spacing w:after="0" w:line="77" w:lineRule="exact"/>
        <w:rPr>
          <w:sz w:val="20"/>
          <w:szCs w:val="20"/>
          <w:color w:val="auto"/>
        </w:rPr>
      </w:pPr>
    </w:p>
    <w:p>
      <w:pPr>
        <w:ind w:left="3500"/>
        <w:spacing w:after="0"/>
        <w:rPr>
          <w:sz w:val="20"/>
          <w:szCs w:val="20"/>
          <w:color w:val="auto"/>
        </w:rPr>
      </w:pPr>
      <w:r>
        <w:rPr>
          <w:rFonts w:ascii="Times New Roman" w:cs="Times New Roman" w:eastAsia="Times New Roman" w:hAnsi="Times New Roman"/>
          <w:sz w:val="8"/>
          <w:szCs w:val="8"/>
          <w:b w:val="1"/>
          <w:bCs w:val="1"/>
          <w:color w:val="auto"/>
        </w:rPr>
        <w:t>Componente 2</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5" w:lineRule="exact"/>
        <w:rPr>
          <w:sz w:val="20"/>
          <w:szCs w:val="20"/>
          <w:color w:val="auto"/>
        </w:rPr>
      </w:pPr>
    </w:p>
    <w:tbl>
      <w:tblPr>
        <w:tblLayout w:type="fixed"/>
        <w:tblInd w:w="1570" w:type="dxa"/>
        <w:tblCellMar>
          <w:top w:w="0" w:type="dxa"/>
          <w:left w:w="0" w:type="dxa"/>
          <w:bottom w:w="0" w:type="dxa"/>
          <w:right w:w="0" w:type="dxa"/>
        </w:tblCellMar>
      </w:tblPr>
      <w:tr>
        <w:trPr>
          <w:trHeight w:val="301"/>
        </w:trPr>
        <w:tc>
          <w:tcPr>
            <w:tcW w:w="1620" w:type="dxa"/>
            <w:vAlign w:val="bottom"/>
            <w:tcBorders>
              <w:top w:val="single" w:sz="8" w:color="auto"/>
              <w:left w:val="single" w:sz="8" w:color="auto"/>
            </w:tcBorders>
          </w:tcPr>
          <w:p>
            <w:pPr>
              <w:ind w:left="260"/>
              <w:spacing w:after="0"/>
              <w:rPr>
                <w:sz w:val="20"/>
                <w:szCs w:val="20"/>
                <w:color w:val="auto"/>
              </w:rPr>
            </w:pPr>
            <w:r>
              <w:rPr>
                <w:rFonts w:ascii="Times New Roman" w:cs="Times New Roman" w:eastAsia="Times New Roman" w:hAnsi="Times New Roman"/>
                <w:sz w:val="16"/>
                <w:szCs w:val="16"/>
                <w:color w:val="auto"/>
              </w:rPr>
              <w:t>P. Sierra M (2733)</w:t>
            </w:r>
          </w:p>
        </w:tc>
        <w:tc>
          <w:tcPr>
            <w:tcW w:w="1620" w:type="dxa"/>
            <w:vAlign w:val="bottom"/>
            <w:tcBorders>
              <w:top w:val="single" w:sz="8" w:color="auto"/>
            </w:tcBorders>
          </w:tcPr>
          <w:p>
            <w:pPr>
              <w:ind w:left="260"/>
              <w:spacing w:after="0"/>
              <w:rPr>
                <w:sz w:val="20"/>
                <w:szCs w:val="20"/>
                <w:color w:val="auto"/>
              </w:rPr>
            </w:pPr>
            <w:r>
              <w:rPr>
                <w:rFonts w:ascii="Times New Roman" w:cs="Times New Roman" w:eastAsia="Times New Roman" w:hAnsi="Times New Roman"/>
                <w:sz w:val="16"/>
                <w:szCs w:val="16"/>
                <w:color w:val="auto"/>
              </w:rPr>
              <w:t>Nevado M (4200)</w:t>
            </w:r>
          </w:p>
        </w:tc>
        <w:tc>
          <w:tcPr>
            <w:tcW w:w="1480" w:type="dxa"/>
            <w:vAlign w:val="bottom"/>
            <w:tcBorders>
              <w:top w:val="single" w:sz="8" w:color="auto"/>
              <w:right w:val="single" w:sz="8" w:color="auto"/>
            </w:tcBorders>
          </w:tcPr>
          <w:p>
            <w:pPr>
              <w:ind w:left="240"/>
              <w:spacing w:after="0"/>
              <w:rPr>
                <w:sz w:val="20"/>
                <w:szCs w:val="20"/>
                <w:color w:val="auto"/>
              </w:rPr>
            </w:pPr>
            <w:r>
              <w:rPr>
                <w:rFonts w:ascii="Times New Roman" w:cs="Times New Roman" w:eastAsia="Times New Roman" w:hAnsi="Times New Roman"/>
                <w:sz w:val="16"/>
                <w:szCs w:val="16"/>
                <w:color w:val="auto"/>
              </w:rPr>
              <w:t>Mapa H (3200)</w:t>
            </w:r>
          </w:p>
        </w:tc>
      </w:tr>
      <w:tr>
        <w:trPr>
          <w:trHeight w:val="310"/>
        </w:trPr>
        <w:tc>
          <w:tcPr>
            <w:tcW w:w="1620" w:type="dxa"/>
            <w:vAlign w:val="bottom"/>
            <w:tcBorders>
              <w:left w:val="single" w:sz="8" w:color="auto"/>
            </w:tcBorders>
          </w:tcPr>
          <w:p>
            <w:pPr>
              <w:ind w:left="260"/>
              <w:spacing w:after="0"/>
              <w:rPr>
                <w:sz w:val="20"/>
                <w:szCs w:val="20"/>
                <w:color w:val="auto"/>
              </w:rPr>
            </w:pPr>
            <w:r>
              <w:rPr>
                <w:rFonts w:ascii="Times New Roman" w:cs="Times New Roman" w:eastAsia="Times New Roman" w:hAnsi="Times New Roman"/>
                <w:sz w:val="16"/>
                <w:szCs w:val="16"/>
                <w:color w:val="auto"/>
              </w:rPr>
              <w:t>Mapa M (3200)</w:t>
            </w:r>
          </w:p>
        </w:tc>
        <w:tc>
          <w:tcPr>
            <w:tcW w:w="1620" w:type="dxa"/>
            <w:vAlign w:val="bottom"/>
          </w:tcPr>
          <w:p>
            <w:pPr>
              <w:ind w:left="240"/>
              <w:spacing w:after="0"/>
              <w:rPr>
                <w:sz w:val="20"/>
                <w:szCs w:val="20"/>
                <w:color w:val="auto"/>
              </w:rPr>
            </w:pPr>
            <w:r>
              <w:rPr>
                <w:rFonts w:ascii="Times New Roman" w:cs="Times New Roman" w:eastAsia="Times New Roman" w:hAnsi="Times New Roman"/>
                <w:sz w:val="16"/>
                <w:szCs w:val="16"/>
                <w:color w:val="auto"/>
              </w:rPr>
              <w:t>P. Sierra H (2733)</w:t>
            </w:r>
          </w:p>
        </w:tc>
        <w:tc>
          <w:tcPr>
            <w:tcW w:w="1480" w:type="dxa"/>
            <w:vAlign w:val="bottom"/>
            <w:tcBorders>
              <w:right w:val="single" w:sz="8" w:color="auto"/>
            </w:tcBorders>
          </w:tcPr>
          <w:p>
            <w:pPr>
              <w:ind w:left="260"/>
              <w:spacing w:after="0"/>
              <w:rPr>
                <w:sz w:val="20"/>
                <w:szCs w:val="20"/>
                <w:color w:val="auto"/>
              </w:rPr>
            </w:pPr>
            <w:r>
              <w:rPr>
                <w:rFonts w:ascii="Times New Roman" w:cs="Times New Roman" w:eastAsia="Times New Roman" w:hAnsi="Times New Roman"/>
                <w:sz w:val="16"/>
                <w:szCs w:val="16"/>
                <w:color w:val="auto"/>
              </w:rPr>
              <w:t>Nevado H (4200)</w:t>
            </w:r>
          </w:p>
        </w:tc>
      </w:tr>
      <w:tr>
        <w:trPr>
          <w:trHeight w:val="75"/>
        </w:trPr>
        <w:tc>
          <w:tcPr>
            <w:tcW w:w="1620" w:type="dxa"/>
            <w:vAlign w:val="bottom"/>
            <w:tcBorders>
              <w:left w:val="single" w:sz="8" w:color="auto"/>
              <w:bottom w:val="single" w:sz="8" w:color="auto"/>
            </w:tcBorders>
          </w:tcPr>
          <w:p>
            <w:pPr>
              <w:spacing w:after="0"/>
              <w:rPr>
                <w:sz w:val="6"/>
                <w:szCs w:val="6"/>
                <w:color w:val="auto"/>
              </w:rPr>
            </w:pPr>
          </w:p>
        </w:tc>
        <w:tc>
          <w:tcPr>
            <w:tcW w:w="1620" w:type="dxa"/>
            <w:vAlign w:val="bottom"/>
            <w:tcBorders>
              <w:bottom w:val="single" w:sz="8" w:color="auto"/>
            </w:tcBorders>
          </w:tcPr>
          <w:p>
            <w:pPr>
              <w:spacing w:after="0"/>
              <w:rPr>
                <w:sz w:val="6"/>
                <w:szCs w:val="6"/>
                <w:color w:val="auto"/>
              </w:rPr>
            </w:pPr>
          </w:p>
        </w:tc>
        <w:tc>
          <w:tcPr>
            <w:tcW w:w="1480" w:type="dxa"/>
            <w:vAlign w:val="bottom"/>
            <w:tcBorders>
              <w:bottom w:val="single" w:sz="8" w:color="auto"/>
              <w:right w:val="single" w:sz="8" w:color="auto"/>
            </w:tcBorders>
          </w:tcPr>
          <w:p>
            <w:pPr>
              <w:spacing w:after="0"/>
              <w:rPr>
                <w:sz w:val="6"/>
                <w:szCs w:val="6"/>
                <w:color w:val="auto"/>
              </w:rPr>
            </w:pPr>
          </w:p>
        </w:tc>
      </w:tr>
    </w:tbl>
    <w:p>
      <w:pPr>
        <w:spacing w:after="0" w:line="254" w:lineRule="exact"/>
        <w:rPr>
          <w:sz w:val="20"/>
          <w:szCs w:val="20"/>
          <w:color w:val="auto"/>
        </w:rPr>
      </w:pPr>
    </w:p>
    <w:p>
      <w:pPr>
        <w:spacing w:after="0" w:line="348" w:lineRule="auto"/>
        <w:rPr>
          <w:sz w:val="20"/>
          <w:szCs w:val="20"/>
          <w:color w:val="auto"/>
        </w:rPr>
      </w:pPr>
      <w:r>
        <w:rPr>
          <w:rFonts w:ascii="Times New Roman" w:cs="Times New Roman" w:eastAsia="Times New Roman" w:hAnsi="Times New Roman"/>
          <w:sz w:val="15"/>
          <w:szCs w:val="15"/>
          <w:color w:val="auto"/>
        </w:rPr>
        <w:t>acp para las escamas ventrales y los patrones descritos por las redes de deformación en los extremos de los componentes (los números indican la altura sobre el nivel del mar; M: macho, H: hembra) (Fuente: Carmen, 2010).</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39"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92" w:name="page93"/>
    <w:bookmarkEnd w:id="92"/>
    <w:p>
      <w:pPr>
        <w:spacing w:after="0"/>
        <w:tabs>
          <w:tab w:leader="none" w:pos="2040" w:val="left"/>
          <w:tab w:leader="none" w:pos="3180" w:val="left"/>
          <w:tab w:leader="none" w:pos="4340" w:val="left"/>
        </w:tabs>
        <w:rPr>
          <w:sz w:val="20"/>
          <w:szCs w:val="20"/>
          <w:color w:val="auto"/>
        </w:rPr>
      </w:pPr>
      <w:r>
        <w:rPr>
          <w:rFonts w:ascii="Arial Narrow" w:cs="Arial Narrow" w:eastAsia="Arial Narrow" w:hAnsi="Arial Narrow"/>
          <w:sz w:val="16"/>
          <w:szCs w:val="16"/>
          <w:color w:val="auto"/>
        </w:rPr>
        <w:t>92</w:t>
      </w:r>
      <w:r>
        <w:rPr>
          <w:sz w:val="20"/>
          <w:szCs w:val="20"/>
          <w:color w:val="auto"/>
        </w:rPr>
        <w:tab/>
      </w:r>
      <w:r>
        <w:rPr>
          <w:rFonts w:ascii="Arial Narrow" w:cs="Arial Narrow" w:eastAsia="Arial Narrow" w:hAnsi="Arial Narrow"/>
          <w:sz w:val="11"/>
          <w:szCs w:val="11"/>
          <w:color w:val="auto"/>
        </w:rPr>
        <w:t>carmen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cristóbal</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nava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1994535</wp:posOffset>
                </wp:positionH>
                <wp:positionV relativeFrom="paragraph">
                  <wp:posOffset>-76835</wp:posOffset>
                </wp:positionV>
                <wp:extent cx="0" cy="88900"/>
                <wp:wrapNone/>
                <wp:docPr id="209" name="Shape 20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09" o:spid="_x0000_s123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7.05pt,-6.0499pt" to="157.0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2738120</wp:posOffset>
                </wp:positionH>
                <wp:positionV relativeFrom="paragraph">
                  <wp:posOffset>-76835</wp:posOffset>
                </wp:positionV>
                <wp:extent cx="0" cy="88900"/>
                <wp:wrapNone/>
                <wp:docPr id="210" name="Shape 21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10" o:spid="_x0000_s123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5.6pt,-6.0499pt" to="215.6pt,0.95pt" o:allowincell="f" strokecolor="#000000" strokeweight="0.4pt"/>
            </w:pict>
          </mc:Fallback>
        </mc:AlternateContent>
      </w:r>
    </w:p>
    <w:p>
      <w:pPr>
        <w:spacing w:after="0" w:line="347"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Las redes de deformaciones, obtenida del programa tps de las escamas ventrales, permite observar que en el CP1, hacia el lado positivo, los escudos de la barbilla están más separados y con un claro ensanchamiento; el tercer par (después de las escamas postmentales) tiene una prolongación hacia el borde interior; en general, los ensanchamientos son hacia el interior. El CP2 muestra la separación de los escudos de la barbilla, aunque, en este caso, el tercer par de los escudos de la barbilla sufre una reducción en el borde interno; la escama postmental derecha se ensancha, por lo que la izquierda tiende a reducirse; el primer par de escudos de la barbilla también sufre cambios, ya que el derecho tiende a reducirse. Los machos del Parque Sierra tienen el primer escudo izquierdo de la barbilla más ensanchado; el resto de las escamas se mantienen de la misma forma. En El Mapa, las hembras tienen la escama postmental izquierda más grande. Para el Nevado, los machos presentan ligeramente más ensanchados los escudos de la barbilla (figura 5).</w:t>
      </w:r>
    </w:p>
    <w:p>
      <w:pPr>
        <w:jc w:val="both"/>
        <w:ind w:firstLine="360"/>
        <w:spacing w:after="0" w:line="358" w:lineRule="auto"/>
        <w:rPr>
          <w:sz w:val="20"/>
          <w:szCs w:val="20"/>
          <w:color w:val="auto"/>
        </w:rPr>
      </w:pPr>
      <w:r>
        <w:rPr>
          <w:rFonts w:ascii="Times New Roman" w:cs="Times New Roman" w:eastAsia="Times New Roman" w:hAnsi="Times New Roman"/>
          <w:sz w:val="20"/>
          <w:szCs w:val="20"/>
          <w:color w:val="auto"/>
        </w:rPr>
        <w:t xml:space="preserve">Por medio del análisis de F de Goodall no se encontraron diferencias significativas entre sexos de las tres localidades (Parque Sierra: </w:t>
      </w:r>
      <w:r>
        <w:rPr>
          <w:rFonts w:ascii="Times New Roman" w:cs="Times New Roman" w:eastAsia="Times New Roman" w:hAnsi="Times New Roman"/>
          <w:sz w:val="20"/>
          <w:szCs w:val="20"/>
          <w:i w:val="1"/>
          <w:iCs w:val="1"/>
          <w:color w:val="auto"/>
        </w:rPr>
        <w:t>F</w:t>
      </w:r>
      <w:r>
        <w:rPr>
          <w:rFonts w:ascii="Times New Roman" w:cs="Times New Roman" w:eastAsia="Times New Roman" w:hAnsi="Times New Roman"/>
          <w:sz w:val="20"/>
          <w:szCs w:val="20"/>
          <w:color w:val="auto"/>
        </w:rPr>
        <w:t xml:space="preserve"> = 0.6262, </w:t>
      </w:r>
      <w:r>
        <w:rPr>
          <w:rFonts w:ascii="Times New Roman" w:cs="Times New Roman" w:eastAsia="Times New Roman" w:hAnsi="Times New Roman"/>
          <w:sz w:val="20"/>
          <w:szCs w:val="20"/>
          <w:i w:val="1"/>
          <w:iCs w:val="1"/>
          <w:color w:val="auto"/>
        </w:rPr>
        <w:t>p</w:t>
      </w:r>
      <w:r>
        <w:rPr>
          <w:rFonts w:ascii="Times New Roman" w:cs="Times New Roman" w:eastAsia="Times New Roman" w:hAnsi="Times New Roman"/>
          <w:sz w:val="20"/>
          <w:szCs w:val="20"/>
          <w:color w:val="auto"/>
        </w:rPr>
        <w:t xml:space="preserve"> = 0.9855; El Mapa: </w:t>
      </w:r>
      <w:r>
        <w:rPr>
          <w:rFonts w:ascii="Times New Roman" w:cs="Times New Roman" w:eastAsia="Times New Roman" w:hAnsi="Times New Roman"/>
          <w:sz w:val="20"/>
          <w:szCs w:val="20"/>
          <w:i w:val="1"/>
          <w:iCs w:val="1"/>
          <w:color w:val="auto"/>
        </w:rPr>
        <w:t xml:space="preserve">F </w:t>
      </w:r>
      <w:r>
        <w:rPr>
          <w:rFonts w:ascii="Times New Roman" w:cs="Times New Roman" w:eastAsia="Times New Roman" w:hAnsi="Times New Roman"/>
          <w:sz w:val="20"/>
          <w:szCs w:val="20"/>
          <w:color w:val="auto"/>
        </w:rPr>
        <w:t>= 1.3203,</w:t>
      </w:r>
      <w:r>
        <w:rPr>
          <w:rFonts w:ascii="Times New Roman" w:cs="Times New Roman" w:eastAsia="Times New Roman" w:hAnsi="Times New Roman"/>
          <w:sz w:val="20"/>
          <w:szCs w:val="20"/>
          <w:i w:val="1"/>
          <w:iCs w:val="1"/>
          <w:color w:val="auto"/>
        </w:rPr>
        <w:t xml:space="preserve"> p </w:t>
      </w:r>
      <w:r>
        <w:rPr>
          <w:rFonts w:ascii="Times New Roman" w:cs="Times New Roman" w:eastAsia="Times New Roman" w:hAnsi="Times New Roman"/>
          <w:sz w:val="20"/>
          <w:szCs w:val="20"/>
          <w:color w:val="auto"/>
        </w:rPr>
        <w:t>= 0.0639; Nevado de Toluca:</w:t>
      </w:r>
      <w:r>
        <w:rPr>
          <w:rFonts w:ascii="Times New Roman" w:cs="Times New Roman" w:eastAsia="Times New Roman" w:hAnsi="Times New Roman"/>
          <w:sz w:val="20"/>
          <w:szCs w:val="20"/>
          <w:i w:val="1"/>
          <w:iCs w:val="1"/>
          <w:color w:val="auto"/>
        </w:rPr>
        <w:t xml:space="preserve"> F </w:t>
      </w:r>
      <w:r>
        <w:rPr>
          <w:rFonts w:ascii="Times New Roman" w:cs="Times New Roman" w:eastAsia="Times New Roman" w:hAnsi="Times New Roman"/>
          <w:sz w:val="20"/>
          <w:szCs w:val="20"/>
          <w:color w:val="auto"/>
        </w:rPr>
        <w:t>= 0.8199,</w:t>
      </w:r>
      <w:r>
        <w:rPr>
          <w:rFonts w:ascii="Times New Roman" w:cs="Times New Roman" w:eastAsia="Times New Roman" w:hAnsi="Times New Roman"/>
          <w:sz w:val="20"/>
          <w:szCs w:val="20"/>
          <w:i w:val="1"/>
          <w:iCs w:val="1"/>
          <w:color w:val="auto"/>
        </w:rPr>
        <w:t xml:space="preserve"> p </w:t>
      </w:r>
      <w:r>
        <w:rPr>
          <w:rFonts w:ascii="Times New Roman" w:cs="Times New Roman" w:eastAsia="Times New Roman" w:hAnsi="Times New Roman"/>
          <w:sz w:val="20"/>
          <w:szCs w:val="20"/>
          <w:color w:val="auto"/>
        </w:rPr>
        <w:t>= 0.8191).</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5"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11" name="Shape 21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11" o:spid="_x0000_s123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12" name="Shape 21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12" o:spid="_x0000_s123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13" name="Shape 21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13" o:spid="_x0000_s123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93" w:name="page94"/>
    <w:bookmarkEnd w:id="93"/>
    <w:tbl>
      <w:tblPr>
        <w:tblLayout w:type="fixed"/>
        <w:tblInd w:w="1580" w:type="dxa"/>
        <w:tblCellMar>
          <w:top w:w="0" w:type="dxa"/>
          <w:left w:w="0" w:type="dxa"/>
          <w:bottom w:w="0" w:type="dxa"/>
          <w:right w:w="0" w:type="dxa"/>
        </w:tblCellMar>
      </w:tblPr>
      <w:tr>
        <w:trPr>
          <w:trHeight w:val="222"/>
        </w:trPr>
        <w:tc>
          <w:tcPr>
            <w:tcW w:w="4760" w:type="dxa"/>
            <w:vAlign w:val="bottom"/>
          </w:tcPr>
          <w:p>
            <w:pPr>
              <w:spacing w:after="0"/>
              <w:rPr>
                <w:sz w:val="20"/>
                <w:szCs w:val="20"/>
                <w:color w:val="auto"/>
              </w:rPr>
            </w:pPr>
            <w:r>
              <w:rPr>
                <w:rFonts w:ascii="Arial Narrow" w:cs="Arial Narrow" w:eastAsia="Arial Narrow" w:hAnsi="Arial Narrow"/>
                <w:sz w:val="11"/>
                <w:szCs w:val="11"/>
                <w:color w:val="auto"/>
              </w:rPr>
              <w:t xml:space="preserve">morfología geométrica de las escamas cefálicas en </w:t>
            </w:r>
            <w:r>
              <w:rPr>
                <w:rFonts w:ascii="Arial Narrow" w:cs="Arial Narrow" w:eastAsia="Arial Narrow" w:hAnsi="Arial Narrow"/>
                <w:sz w:val="11"/>
                <w:szCs w:val="11"/>
                <w:i w:val="1"/>
                <w:iCs w:val="1"/>
                <w:color w:val="auto"/>
              </w:rPr>
              <w:t>barisia imbricata</w:t>
            </w:r>
          </w:p>
        </w:tc>
        <w:tc>
          <w:tcPr>
            <w:tcW w:w="860" w:type="dxa"/>
            <w:vAlign w:val="bottom"/>
          </w:tcPr>
          <w:p>
            <w:pPr>
              <w:jc w:val="right"/>
              <w:spacing w:after="0"/>
              <w:rPr>
                <w:sz w:val="20"/>
                <w:szCs w:val="20"/>
                <w:color w:val="auto"/>
              </w:rPr>
            </w:pPr>
            <w:r>
              <w:rPr>
                <w:rFonts w:ascii="Arial Narrow" w:cs="Arial Narrow" w:eastAsia="Arial Narrow" w:hAnsi="Arial Narrow"/>
                <w:sz w:val="16"/>
                <w:szCs w:val="16"/>
                <w:color w:val="auto"/>
              </w:rPr>
              <w:t>93</w:t>
            </w:r>
          </w:p>
        </w:tc>
      </w:tr>
    </w:tbl>
    <w:p>
      <w:pPr>
        <w:spacing w:after="0" w:line="200" w:lineRule="exact"/>
        <w:rPr>
          <w:sz w:val="20"/>
          <w:szCs w:val="20"/>
          <w:color w:val="auto"/>
        </w:rPr>
      </w:pPr>
    </w:p>
    <w:p>
      <w:pPr>
        <w:spacing w:after="0" w:line="317" w:lineRule="exact"/>
        <w:rPr>
          <w:sz w:val="20"/>
          <w:szCs w:val="20"/>
          <w:color w:val="auto"/>
        </w:rPr>
      </w:pPr>
    </w:p>
    <w:p>
      <w:pPr>
        <w:ind w:left="3320"/>
        <w:spacing w:after="0"/>
        <w:rPr>
          <w:sz w:val="20"/>
          <w:szCs w:val="20"/>
          <w:color w:val="auto"/>
        </w:rPr>
      </w:pPr>
      <w:r>
        <w:rPr>
          <w:rFonts w:ascii="Times New Roman" w:cs="Times New Roman" w:eastAsia="Times New Roman" w:hAnsi="Times New Roman"/>
          <w:sz w:val="18"/>
          <w:szCs w:val="18"/>
          <w:i w:val="1"/>
          <w:iCs w:val="1"/>
          <w:color w:val="auto"/>
        </w:rPr>
        <w:t>Figura 5</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93345</wp:posOffset>
            </wp:positionV>
            <wp:extent cx="4568190" cy="5565775"/>
            <wp:wrapNone/>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47">
                      <a:extLst>
                        <a:ext uri="{28A0092B-C50C-407E-A947-70E740481C1C}"/>
                      </a:extLst>
                    </a:blip>
                    <a:srcRect/>
                    <a:stretch>
                      <a:fillRect/>
                    </a:stretch>
                  </pic:blipFill>
                  <pic:spPr bwMode="auto">
                    <a:xfrm>
                      <a:off x="0" y="0"/>
                      <a:ext cx="4568190" cy="556577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1"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16"/>
          <w:szCs w:val="16"/>
          <w:b w:val="1"/>
          <w:bCs w:val="1"/>
          <w:color w:val="auto"/>
        </w:rPr>
        <w:t>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400" w:lineRule="exact"/>
        <w:rPr>
          <w:sz w:val="20"/>
          <w:szCs w:val="20"/>
          <w:color w:val="auto"/>
        </w:rPr>
      </w:pPr>
    </w:p>
    <w:p>
      <w:pPr>
        <w:ind w:left="220"/>
        <w:spacing w:after="0"/>
        <w:rPr>
          <w:sz w:val="20"/>
          <w:szCs w:val="20"/>
          <w:color w:val="auto"/>
        </w:rPr>
      </w:pPr>
      <w:r>
        <w:rPr>
          <w:rFonts w:ascii="Times New Roman" w:cs="Times New Roman" w:eastAsia="Times New Roman" w:hAnsi="Times New Roman"/>
          <w:sz w:val="16"/>
          <w:szCs w:val="16"/>
          <w:b w:val="1"/>
          <w:bCs w:val="1"/>
          <w:color w:val="auto"/>
        </w:rPr>
        <w:t>B</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9"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16"/>
          <w:szCs w:val="16"/>
          <w:b w:val="1"/>
          <w:bCs w:val="1"/>
          <w:color w:val="auto"/>
        </w:rPr>
        <w:t>C</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3" w:lineRule="exact"/>
        <w:rPr>
          <w:sz w:val="20"/>
          <w:szCs w:val="20"/>
          <w:color w:val="auto"/>
        </w:rPr>
      </w:pPr>
    </w:p>
    <w:p>
      <w:pPr>
        <w:ind w:left="2160"/>
        <w:spacing w:after="0"/>
        <w:tabs>
          <w:tab w:leader="none" w:pos="5560" w:val="left"/>
        </w:tabs>
        <w:rPr>
          <w:sz w:val="20"/>
          <w:szCs w:val="20"/>
          <w:color w:val="auto"/>
        </w:rPr>
      </w:pPr>
      <w:r>
        <w:rPr>
          <w:rFonts w:ascii="Times New Roman" w:cs="Times New Roman" w:eastAsia="Times New Roman" w:hAnsi="Times New Roman"/>
          <w:sz w:val="16"/>
          <w:szCs w:val="16"/>
          <w:b w:val="1"/>
          <w:bCs w:val="1"/>
          <w:color w:val="auto"/>
        </w:rPr>
        <w:t>H</w:t>
      </w:r>
      <w:r>
        <w:rPr>
          <w:sz w:val="20"/>
          <w:szCs w:val="20"/>
          <w:color w:val="auto"/>
        </w:rPr>
        <w:tab/>
      </w:r>
      <w:r>
        <w:rPr>
          <w:rFonts w:ascii="Times New Roman" w:cs="Times New Roman" w:eastAsia="Times New Roman" w:hAnsi="Times New Roman"/>
          <w:sz w:val="16"/>
          <w:szCs w:val="16"/>
          <w:b w:val="1"/>
          <w:bCs w:val="1"/>
          <w:color w:val="auto"/>
        </w:rPr>
        <w:t>M</w:t>
      </w:r>
    </w:p>
    <w:p>
      <w:pPr>
        <w:spacing w:after="0" w:line="280" w:lineRule="exact"/>
        <w:rPr>
          <w:sz w:val="20"/>
          <w:szCs w:val="20"/>
          <w:color w:val="auto"/>
        </w:rPr>
      </w:pPr>
    </w:p>
    <w:p>
      <w:pPr>
        <w:jc w:val="both"/>
        <w:spacing w:after="0" w:line="259" w:lineRule="auto"/>
        <w:rPr>
          <w:sz w:val="20"/>
          <w:szCs w:val="20"/>
          <w:color w:val="auto"/>
        </w:rPr>
      </w:pPr>
      <w:r>
        <w:rPr>
          <w:rFonts w:ascii="Times New Roman" w:cs="Times New Roman" w:eastAsia="Times New Roman" w:hAnsi="Times New Roman"/>
          <w:sz w:val="16"/>
          <w:szCs w:val="16"/>
          <w:color w:val="auto"/>
        </w:rPr>
        <w:t>Redes de deformación de la forma de las escamas ventrales de machos y hembras de las tres localidades. La configuración de los puntos y sus uniones muestran la forma de las escamas (A: Parque Sierra, B: El Mapa,</w:t>
      </w:r>
    </w:p>
    <w:p>
      <w:pPr>
        <w:spacing w:after="0" w:line="3"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C: Nevado; M: macho, H: hembra) (Fuente: Carmen, 2010).</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48"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94" w:name="page95"/>
    <w:bookmarkEnd w:id="94"/>
    <w:p>
      <w:pPr>
        <w:spacing w:after="0"/>
        <w:tabs>
          <w:tab w:leader="none" w:pos="2040" w:val="left"/>
          <w:tab w:leader="none" w:pos="3180" w:val="left"/>
          <w:tab w:leader="none" w:pos="4340" w:val="left"/>
        </w:tabs>
        <w:rPr>
          <w:sz w:val="20"/>
          <w:szCs w:val="20"/>
          <w:color w:val="auto"/>
        </w:rPr>
      </w:pPr>
      <w:r>
        <w:rPr>
          <w:rFonts w:ascii="Arial Narrow" w:cs="Arial Narrow" w:eastAsia="Arial Narrow" w:hAnsi="Arial Narrow"/>
          <w:sz w:val="16"/>
          <w:szCs w:val="16"/>
          <w:color w:val="auto"/>
        </w:rPr>
        <w:t>94</w:t>
      </w:r>
      <w:r>
        <w:rPr>
          <w:sz w:val="20"/>
          <w:szCs w:val="20"/>
          <w:color w:val="auto"/>
        </w:rPr>
        <w:tab/>
      </w:r>
      <w:r>
        <w:rPr>
          <w:rFonts w:ascii="Arial Narrow" w:cs="Arial Narrow" w:eastAsia="Arial Narrow" w:hAnsi="Arial Narrow"/>
          <w:sz w:val="11"/>
          <w:szCs w:val="11"/>
          <w:color w:val="auto"/>
        </w:rPr>
        <w:t>carmen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cristóbal</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nava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1994535</wp:posOffset>
                </wp:positionH>
                <wp:positionV relativeFrom="paragraph">
                  <wp:posOffset>-76835</wp:posOffset>
                </wp:positionV>
                <wp:extent cx="0" cy="88900"/>
                <wp:wrapNone/>
                <wp:docPr id="215" name="Shape 21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15" o:spid="_x0000_s124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7.05pt,-6.0499pt" to="157.0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2738120</wp:posOffset>
                </wp:positionH>
                <wp:positionV relativeFrom="paragraph">
                  <wp:posOffset>-76835</wp:posOffset>
                </wp:positionV>
                <wp:extent cx="0" cy="88900"/>
                <wp:wrapNone/>
                <wp:docPr id="216" name="Shape 21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16" o:spid="_x0000_s124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5.6pt,-6.0499pt" to="215.6pt,0.95pt" o:allowincell="f" strokecolor="#000000" strokeweight="0.4pt"/>
            </w:pict>
          </mc:Fallback>
        </mc:AlternateContent>
      </w:r>
    </w:p>
    <w:p>
      <w:pPr>
        <w:spacing w:after="0" w:line="34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Escamas laterales</w:t>
      </w:r>
    </w:p>
    <w:p>
      <w:pPr>
        <w:spacing w:after="0" w:line="387" w:lineRule="exact"/>
        <w:rPr>
          <w:sz w:val="20"/>
          <w:szCs w:val="20"/>
          <w:color w:val="auto"/>
        </w:rPr>
      </w:pPr>
    </w:p>
    <w:p>
      <w:pPr>
        <w:jc w:val="both"/>
        <w:spacing w:after="0" w:line="318" w:lineRule="auto"/>
        <w:rPr>
          <w:sz w:val="20"/>
          <w:szCs w:val="20"/>
          <w:color w:val="auto"/>
        </w:rPr>
      </w:pPr>
      <w:r>
        <w:rPr>
          <w:rFonts w:ascii="Times New Roman" w:cs="Times New Roman" w:eastAsia="Times New Roman" w:hAnsi="Times New Roman"/>
          <w:sz w:val="21"/>
          <w:szCs w:val="21"/>
          <w:color w:val="auto"/>
        </w:rPr>
        <w:t xml:space="preserve">No se encontraron diferencias significativas entre las localidades a diferente altitud en el acp de </w:t>
      </w:r>
      <w:r>
        <w:rPr>
          <w:rFonts w:ascii="Times New Roman" w:cs="Times New Roman" w:eastAsia="Times New Roman" w:hAnsi="Times New Roman"/>
          <w:sz w:val="21"/>
          <w:szCs w:val="21"/>
          <w:i w:val="1"/>
          <w:iCs w:val="1"/>
          <w:color w:val="auto"/>
        </w:rPr>
        <w:t>B. imbricata</w:t>
      </w:r>
      <w:r>
        <w:rPr>
          <w:rFonts w:ascii="Times New Roman" w:cs="Times New Roman" w:eastAsia="Times New Roman" w:hAnsi="Times New Roman"/>
          <w:sz w:val="21"/>
          <w:szCs w:val="21"/>
          <w:color w:val="auto"/>
        </w:rPr>
        <w:t xml:space="preserve"> (lambda de Wilks = 0.032, </w:t>
      </w: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1"/>
          <w:szCs w:val="21"/>
          <w:color w:val="auto"/>
        </w:rPr>
        <w:t xml:space="preserve"> = 0 .1376,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 0.23) (figura 6)</w:t>
      </w:r>
      <w:r>
        <w:rPr>
          <w:rFonts w:ascii="Times New Roman" w:cs="Times New Roman" w:eastAsia="Times New Roman" w:hAnsi="Times New Roman"/>
          <w:sz w:val="21"/>
          <w:szCs w:val="21"/>
          <w:i w:val="1"/>
          <w:iCs w:val="1"/>
          <w:color w:val="auto"/>
        </w:rPr>
        <w:t>.</w:t>
      </w:r>
      <w:r>
        <w:rPr>
          <w:rFonts w:ascii="Times New Roman" w:cs="Times New Roman" w:eastAsia="Times New Roman" w:hAnsi="Times New Roman"/>
          <w:sz w:val="21"/>
          <w:szCs w:val="21"/>
          <w:color w:val="auto"/>
        </w:rPr>
        <w:t xml:space="preserve"> El CP1 explica 15.95% de la varianza; el CP2, 12.41%; ambos, 28.37%. Sin embargo, al realizar la prueba estadística de F de Goodall, sí se hallaron diferencias entre las especies del Parque Sierra y las de El Mapa (</w:t>
      </w: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1"/>
          <w:szCs w:val="21"/>
          <w:color w:val="auto"/>
        </w:rPr>
        <w:t xml:space="preserve"> = 1.5831,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 0.0250).</w:t>
      </w: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Para el dimorfismo sexual, en las escamas laterales no aparecieron diferencias significativas en el afd (lambda de Wilks = 0.000, </w:t>
      </w:r>
      <w:r>
        <w:rPr>
          <w:rFonts w:ascii="Times New Roman" w:cs="Times New Roman" w:eastAsia="Times New Roman" w:hAnsi="Times New Roman"/>
          <w:sz w:val="22"/>
          <w:szCs w:val="22"/>
          <w:i w:val="1"/>
          <w:iCs w:val="1"/>
          <w:color w:val="auto"/>
        </w:rPr>
        <w:t>F</w:t>
      </w:r>
      <w:r>
        <w:rPr>
          <w:rFonts w:ascii="Times New Roman" w:cs="Times New Roman" w:eastAsia="Times New Roman" w:hAnsi="Times New Roman"/>
          <w:sz w:val="22"/>
          <w:szCs w:val="22"/>
          <w:color w:val="auto"/>
        </w:rPr>
        <w:t xml:space="preserve"> = 1.252, </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2"/>
          <w:szCs w:val="22"/>
          <w:color w:val="auto"/>
        </w:rPr>
        <w:t xml:space="preserve"> = 0.222). En la figura 6 se observa cómo los puntos están mezclados, es decir, no hay separación de sexos ni de localidades.</w:t>
      </w:r>
    </w:p>
    <w:p>
      <w:pPr>
        <w:spacing w:after="0" w:line="2"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Las formas obtenidas del tps señalan que en el CP1, hacia el extremo positivo, existe una reducción en las distancias de los </w:t>
      </w:r>
      <w:r>
        <w:rPr>
          <w:rFonts w:ascii="Times New Roman" w:cs="Times New Roman" w:eastAsia="Times New Roman" w:hAnsi="Times New Roman"/>
          <w:sz w:val="22"/>
          <w:szCs w:val="22"/>
          <w:i w:val="1"/>
          <w:iCs w:val="1"/>
          <w:color w:val="auto"/>
        </w:rPr>
        <w:t>landmarks,</w:t>
      </w:r>
      <w:r>
        <w:rPr>
          <w:rFonts w:ascii="Times New Roman" w:cs="Times New Roman" w:eastAsia="Times New Roman" w:hAnsi="Times New Roman"/>
          <w:sz w:val="22"/>
          <w:szCs w:val="22"/>
          <w:color w:val="auto"/>
        </w:rPr>
        <w:t xml:space="preserve"> principalmente los que representan la altura de la cabeza, y que la distancia entre la escama rostral y la nasal es mayor, mostrándose en general una forma más plana para el segundo componente. Para el CP2, la distancia de la altura de la cabeza también es notoria y la zona ocular se desplaza hacia abajo.</w:t>
      </w:r>
    </w:p>
    <w:p>
      <w:pPr>
        <w:spacing w:after="0" w:line="4"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En el análisis de F de Goodall no se advirtieron diferencias significativas entre sexos de las poblaciones del Parque Sierra (</w:t>
      </w:r>
      <w:r>
        <w:rPr>
          <w:rFonts w:ascii="Times New Roman" w:cs="Times New Roman" w:eastAsia="Times New Roman" w:hAnsi="Times New Roman"/>
          <w:sz w:val="22"/>
          <w:szCs w:val="22"/>
          <w:i w:val="1"/>
          <w:iCs w:val="1"/>
          <w:color w:val="auto"/>
        </w:rPr>
        <w:t>F</w:t>
      </w:r>
      <w:r>
        <w:rPr>
          <w:rFonts w:ascii="Times New Roman" w:cs="Times New Roman" w:eastAsia="Times New Roman" w:hAnsi="Times New Roman"/>
          <w:sz w:val="22"/>
          <w:szCs w:val="22"/>
          <w:color w:val="auto"/>
        </w:rPr>
        <w:t xml:space="preserve"> = 0.3934, </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2"/>
          <w:szCs w:val="22"/>
          <w:color w:val="auto"/>
        </w:rPr>
        <w:t xml:space="preserve"> = 0.9986) y el Nevado (</w:t>
      </w:r>
      <w:r>
        <w:rPr>
          <w:rFonts w:ascii="Times New Roman" w:cs="Times New Roman" w:eastAsia="Times New Roman" w:hAnsi="Times New Roman"/>
          <w:sz w:val="22"/>
          <w:szCs w:val="22"/>
          <w:i w:val="1"/>
          <w:iCs w:val="1"/>
          <w:color w:val="auto"/>
        </w:rPr>
        <w:t>F</w:t>
      </w:r>
      <w:r>
        <w:rPr>
          <w:rFonts w:ascii="Times New Roman" w:cs="Times New Roman" w:eastAsia="Times New Roman" w:hAnsi="Times New Roman"/>
          <w:sz w:val="22"/>
          <w:szCs w:val="22"/>
          <w:color w:val="auto"/>
        </w:rPr>
        <w:t xml:space="preserve"> = 1.2781, </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2"/>
          <w:szCs w:val="22"/>
          <w:color w:val="auto"/>
        </w:rPr>
        <w:t xml:space="preserve"> = 0.1603); en cambio, para El Mapa sí se notaron diferencias significativas (</w:t>
      </w:r>
      <w:r>
        <w:rPr>
          <w:rFonts w:ascii="Times New Roman" w:cs="Times New Roman" w:eastAsia="Times New Roman" w:hAnsi="Times New Roman"/>
          <w:sz w:val="22"/>
          <w:szCs w:val="22"/>
          <w:i w:val="1"/>
          <w:iCs w:val="1"/>
          <w:color w:val="auto"/>
        </w:rPr>
        <w:t>F</w:t>
      </w:r>
      <w:r>
        <w:rPr>
          <w:rFonts w:ascii="Times New Roman" w:cs="Times New Roman" w:eastAsia="Times New Roman" w:hAnsi="Times New Roman"/>
          <w:sz w:val="22"/>
          <w:szCs w:val="22"/>
          <w:color w:val="auto"/>
        </w:rPr>
        <w:t xml:space="preserve"> = 1.7149, </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2"/>
          <w:szCs w:val="22"/>
          <w:color w:val="auto"/>
        </w:rPr>
        <w:t xml:space="preserve"> = 0.0126).</w:t>
      </w:r>
    </w:p>
    <w:p>
      <w:pPr>
        <w:spacing w:after="0" w:line="2" w:lineRule="exact"/>
        <w:rPr>
          <w:sz w:val="20"/>
          <w:szCs w:val="20"/>
          <w:color w:val="auto"/>
        </w:rPr>
      </w:pPr>
    </w:p>
    <w:p>
      <w:pPr>
        <w:jc w:val="both"/>
        <w:ind w:firstLine="360"/>
        <w:spacing w:after="0" w:line="339" w:lineRule="auto"/>
        <w:rPr>
          <w:sz w:val="20"/>
          <w:szCs w:val="20"/>
          <w:color w:val="auto"/>
        </w:rPr>
      </w:pPr>
      <w:r>
        <w:rPr>
          <w:rFonts w:ascii="Times New Roman" w:cs="Times New Roman" w:eastAsia="Times New Roman" w:hAnsi="Times New Roman"/>
          <w:sz w:val="20"/>
          <w:szCs w:val="20"/>
          <w:color w:val="auto"/>
        </w:rPr>
        <w:t>Las redes de deformación (figura 7) indican que los machos del Parque Sierra tienen ligeramente mayor altura de la cabeza que las hembras. En El Mapa, cuyos valores son significativos, se observa que la altura de la cabeza es mayor en machos, además de que presentan una distancia más amplia entre el borde de la escama rostral y la subocular; en hembras, la escama subocular es más alargada. En el caso del Nevado, existe mayor altura en los machos y mayor distancia entre el borde de la escama rostral y la subocular. Cabe mencionar que sólo se consiguieron tres machos, cantidad baja comparada con las 11 hembras; sin embargo, los resultados no son representativos estadísticamente y, por lo tanto, no son concluyentes; así que para esta población el dimorfismo sexual respecto a las escamas laterales es un argumento visual.</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36"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17" name="Shape 21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17" o:spid="_x0000_s124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18" name="Shape 21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18" o:spid="_x0000_s124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19" name="Shape 21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19" o:spid="_x0000_s124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95" w:name="page96"/>
    <w:bookmarkEnd w:id="95"/>
    <w:tbl>
      <w:tblPr>
        <w:tblLayout w:type="fixed"/>
        <w:tblInd w:w="0" w:type="dxa"/>
        <w:tblCellMar>
          <w:top w:w="0" w:type="dxa"/>
          <w:left w:w="0" w:type="dxa"/>
          <w:bottom w:w="0" w:type="dxa"/>
          <w:right w:w="0" w:type="dxa"/>
        </w:tblCellMar>
      </w:tblPr>
      <w:tr>
        <w:trPr>
          <w:trHeight w:val="222"/>
        </w:trPr>
        <w:tc>
          <w:tcPr>
            <w:tcW w:w="4760" w:type="dxa"/>
            <w:vAlign w:val="bottom"/>
          </w:tcPr>
          <w:p>
            <w:pPr>
              <w:spacing w:after="0"/>
              <w:rPr>
                <w:sz w:val="20"/>
                <w:szCs w:val="20"/>
                <w:color w:val="auto"/>
              </w:rPr>
            </w:pPr>
            <w:r>
              <w:rPr>
                <w:rFonts w:ascii="Arial Narrow" w:cs="Arial Narrow" w:eastAsia="Arial Narrow" w:hAnsi="Arial Narrow"/>
                <w:sz w:val="11"/>
                <w:szCs w:val="11"/>
                <w:color w:val="auto"/>
              </w:rPr>
              <w:t xml:space="preserve">morfología geométrica de las escamas cefálicas en </w:t>
            </w:r>
            <w:r>
              <w:rPr>
                <w:rFonts w:ascii="Arial Narrow" w:cs="Arial Narrow" w:eastAsia="Arial Narrow" w:hAnsi="Arial Narrow"/>
                <w:sz w:val="11"/>
                <w:szCs w:val="11"/>
                <w:i w:val="1"/>
                <w:iCs w:val="1"/>
                <w:color w:val="auto"/>
              </w:rPr>
              <w:t>barisia imbricata</w:t>
            </w:r>
          </w:p>
        </w:tc>
        <w:tc>
          <w:tcPr>
            <w:tcW w:w="860" w:type="dxa"/>
            <w:vAlign w:val="bottom"/>
          </w:tcPr>
          <w:p>
            <w:pPr>
              <w:jc w:val="right"/>
              <w:spacing w:after="0"/>
              <w:rPr>
                <w:sz w:val="20"/>
                <w:szCs w:val="20"/>
                <w:color w:val="auto"/>
              </w:rPr>
            </w:pPr>
            <w:r>
              <w:rPr>
                <w:rFonts w:ascii="Arial Narrow" w:cs="Arial Narrow" w:eastAsia="Arial Narrow" w:hAnsi="Arial Narrow"/>
                <w:sz w:val="16"/>
                <w:szCs w:val="16"/>
                <w:color w:val="auto"/>
              </w:rPr>
              <w:t>95</w:t>
            </w:r>
          </w:p>
        </w:tc>
      </w:tr>
    </w:tbl>
    <w:p>
      <w:pPr>
        <w:spacing w:after="0" w:line="200" w:lineRule="exact"/>
        <w:rPr>
          <w:sz w:val="20"/>
          <w:szCs w:val="20"/>
          <w:color w:val="auto"/>
        </w:rPr>
      </w:pPr>
    </w:p>
    <w:p>
      <w:pPr>
        <w:spacing w:after="0" w:line="317" w:lineRule="exact"/>
        <w:rPr>
          <w:sz w:val="20"/>
          <w:szCs w:val="20"/>
          <w:color w:val="auto"/>
        </w:rPr>
      </w:pPr>
    </w:p>
    <w:p>
      <w:pPr>
        <w:ind w:left="1740"/>
        <w:spacing w:after="0"/>
        <w:rPr>
          <w:sz w:val="20"/>
          <w:szCs w:val="20"/>
          <w:color w:val="auto"/>
        </w:rPr>
      </w:pPr>
      <w:r>
        <w:rPr>
          <w:rFonts w:ascii="Times New Roman" w:cs="Times New Roman" w:eastAsia="Times New Roman" w:hAnsi="Times New Roman"/>
          <w:sz w:val="18"/>
          <w:szCs w:val="18"/>
          <w:i w:val="1"/>
          <w:iCs w:val="1"/>
          <w:color w:val="auto"/>
        </w:rPr>
        <w:t>Figura 6</w:t>
      </w:r>
    </w:p>
    <w:p>
      <w:pPr>
        <w:ind w:left="1740"/>
        <w:spacing w:after="0"/>
        <w:rPr>
          <w:sz w:val="20"/>
          <w:szCs w:val="20"/>
          <w:color w:val="auto"/>
        </w:rPr>
        <w:sectPr>
          <w:pgSz w:w="9360" w:h="13039" w:orient="portrait"/>
          <w:cols w:equalWidth="0" w:num="1">
            <w:col w:w="5620"/>
          </w:cols>
          <w:pgMar w:left="2660" w:top="906" w:right="1080" w:bottom="437" w:gutter="0" w:footer="0" w:header="0"/>
        </w:sectPr>
      </w:pPr>
      <w:r>
        <w:rPr>
          <w:sz w:val="20"/>
          <w:szCs w:val="20"/>
          <w:color w:val="auto"/>
        </w:rPr>
        <w:drawing>
          <wp:anchor simplePos="0" relativeHeight="251657728" behindDoc="1" locked="0" layoutInCell="0" allowOverlap="1">
            <wp:simplePos x="0" y="0"/>
            <wp:positionH relativeFrom="column">
              <wp:posOffset>-1005840</wp:posOffset>
            </wp:positionH>
            <wp:positionV relativeFrom="paragraph">
              <wp:posOffset>73660</wp:posOffset>
            </wp:positionV>
            <wp:extent cx="4574540" cy="4608830"/>
            <wp:wrapNone/>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48">
                      <a:extLst>
                        <a:ext uri="{28A0092B-C50C-407E-A947-70E740481C1C}"/>
                      </a:extLst>
                    </a:blip>
                    <a:srcRect/>
                    <a:stretch>
                      <a:fillRect/>
                    </a:stretch>
                  </pic:blipFill>
                  <pic:spPr bwMode="auto">
                    <a:xfrm>
                      <a:off x="0" y="0"/>
                      <a:ext cx="4574540" cy="460883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7" w:lineRule="exact"/>
        <w:rPr>
          <w:sz w:val="20"/>
          <w:szCs w:val="20"/>
          <w:color w:val="auto"/>
        </w:rPr>
      </w:pPr>
    </w:p>
    <w:tbl>
      <w:tblPr>
        <w:tblLayout w:type="fixed"/>
        <w:tblInd w:w="0" w:type="dxa"/>
        <w:tblCellMar>
          <w:top w:w="0" w:type="dxa"/>
          <w:left w:w="0" w:type="dxa"/>
          <w:bottom w:w="0" w:type="dxa"/>
          <w:right w:w="0" w:type="dxa"/>
        </w:tblCellMar>
      </w:tblPr>
      <w:tr>
        <w:trPr>
          <w:trHeight w:val="480"/>
          <w:jc w:val="center"/>
        </w:trPr>
        <w:tc>
          <w:tcPr>
            <w:tcW w:w="80" w:type="dxa"/>
            <w:vAlign w:val="bottom"/>
            <w:textDirection w:val="btLr"/>
          </w:tcPr>
          <w:p>
            <w:pPr>
              <w:spacing w:after="0"/>
              <w:rPr>
                <w:sz w:val="20"/>
                <w:szCs w:val="20"/>
                <w:color w:val="auto"/>
              </w:rPr>
            </w:pPr>
            <w:r>
              <w:rPr>
                <w:rFonts w:ascii="Times New Roman" w:cs="Times New Roman" w:eastAsia="Times New Roman" w:hAnsi="Times New Roman"/>
                <w:sz w:val="7"/>
                <w:szCs w:val="7"/>
                <w:b w:val="1"/>
                <w:bCs w:val="1"/>
                <w:color w:val="auto"/>
              </w:rPr>
              <w:t>Componente 2</w:t>
            </w:r>
          </w:p>
        </w:tc>
      </w:tr>
    </w:tbl>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0"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8"/>
          <w:szCs w:val="8"/>
          <w:color w:val="auto"/>
        </w:rPr>
        <w:t>3 00000</w:t>
      </w:r>
    </w:p>
    <w:p>
      <w:pPr>
        <w:spacing w:after="0" w:line="388"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8"/>
          <w:szCs w:val="8"/>
          <w:color w:val="auto"/>
        </w:rPr>
        <w:t>2 00000</w:t>
      </w:r>
    </w:p>
    <w:p>
      <w:pPr>
        <w:spacing w:after="0" w:line="388"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8"/>
          <w:szCs w:val="8"/>
          <w:color w:val="auto"/>
        </w:rPr>
        <w:t>1 00000</w:t>
      </w:r>
    </w:p>
    <w:p>
      <w:pPr>
        <w:spacing w:after="0" w:line="388"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8"/>
          <w:szCs w:val="8"/>
          <w:color w:val="auto"/>
        </w:rPr>
        <w:t>0 00000</w:t>
      </w:r>
    </w:p>
    <w:p>
      <w:pPr>
        <w:spacing w:after="0" w:line="388"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8"/>
          <w:szCs w:val="8"/>
          <w:color w:val="auto"/>
        </w:rPr>
        <w:t>-1 00000</w:t>
      </w:r>
    </w:p>
    <w:p>
      <w:pPr>
        <w:spacing w:after="0" w:line="368" w:lineRule="exact"/>
        <w:rPr>
          <w:sz w:val="20"/>
          <w:szCs w:val="20"/>
          <w:color w:val="auto"/>
        </w:rPr>
      </w:pPr>
    </w:p>
    <w:p>
      <w:pPr>
        <w:jc w:val="both"/>
        <w:ind w:left="60" w:hanging="52"/>
        <w:spacing w:after="0"/>
        <w:tabs>
          <w:tab w:leader="none" w:pos="60" w:val="left"/>
        </w:tabs>
        <w:numPr>
          <w:ilvl w:val="0"/>
          <w:numId w:val="29"/>
        </w:numPr>
        <w:rPr>
          <w:rFonts w:ascii="Times New Roman" w:cs="Times New Roman" w:eastAsia="Times New Roman" w:hAnsi="Times New Roman"/>
          <w:sz w:val="8"/>
          <w:szCs w:val="8"/>
          <w:color w:val="auto"/>
        </w:rPr>
      </w:pPr>
      <w:r>
        <w:rPr>
          <w:rFonts w:ascii="Times New Roman" w:cs="Times New Roman" w:eastAsia="Times New Roman" w:hAnsi="Times New Roman"/>
          <w:sz w:val="8"/>
          <w:szCs w:val="8"/>
          <w:color w:val="auto"/>
        </w:rPr>
        <w:t>2 00000</w:t>
      </w:r>
    </w:p>
    <w:p>
      <w:pPr>
        <w:spacing w:after="0" w:line="200" w:lineRule="exact"/>
        <w:rPr>
          <w:rFonts w:ascii="Times New Roman" w:cs="Times New Roman" w:eastAsia="Times New Roman" w:hAnsi="Times New Roman"/>
          <w:sz w:val="8"/>
          <w:szCs w:val="8"/>
          <w:color w:val="auto"/>
        </w:rPr>
      </w:pPr>
    </w:p>
    <w:p>
      <w:pPr>
        <w:spacing w:after="0" w:line="208" w:lineRule="exact"/>
        <w:rPr>
          <w:rFonts w:ascii="Times New Roman" w:cs="Times New Roman" w:eastAsia="Times New Roman" w:hAnsi="Times New Roman"/>
          <w:sz w:val="8"/>
          <w:szCs w:val="8"/>
          <w:color w:val="auto"/>
        </w:rPr>
      </w:pPr>
    </w:p>
    <w:p>
      <w:pPr>
        <w:jc w:val="both"/>
        <w:ind w:left="40"/>
        <w:spacing w:after="0"/>
        <w:rPr>
          <w:rFonts w:ascii="Times New Roman" w:cs="Times New Roman" w:eastAsia="Times New Roman" w:hAnsi="Times New Roman"/>
          <w:sz w:val="8"/>
          <w:szCs w:val="8"/>
          <w:color w:val="auto"/>
        </w:rPr>
      </w:pPr>
      <w:r>
        <w:rPr>
          <w:rFonts w:ascii="Times New Roman" w:cs="Times New Roman" w:eastAsia="Times New Roman" w:hAnsi="Times New Roman"/>
          <w:sz w:val="8"/>
          <w:szCs w:val="8"/>
          <w:color w:val="auto"/>
        </w:rPr>
        <w:t>-3 00000</w:t>
      </w:r>
    </w:p>
    <w:p>
      <w:pPr>
        <w:sectPr>
          <w:pgSz w:w="9360" w:h="13039" w:orient="portrait"/>
          <w:cols w:equalWidth="0" w:num="2">
            <w:col w:w="80" w:space="65"/>
            <w:col w:w="340"/>
          </w:cols>
          <w:pgMar w:left="2854" w:top="906" w:right="6020" w:bottom="437" w:gutter="0" w:footer="0" w:header="0"/>
          <w:type w:val="continuous"/>
        </w:sectPr>
      </w:pPr>
    </w:p>
    <w:p>
      <w:pPr>
        <w:spacing w:after="0" w:line="197" w:lineRule="exact"/>
        <w:rPr>
          <w:sz w:val="20"/>
          <w:szCs w:val="20"/>
          <w:color w:val="auto"/>
        </w:rPr>
      </w:pPr>
    </w:p>
    <w:p>
      <w:pPr>
        <w:ind w:left="2340"/>
        <w:spacing w:after="0"/>
        <w:tabs>
          <w:tab w:leader="none" w:pos="2840" w:val="left"/>
          <w:tab w:leader="none" w:pos="3380" w:val="left"/>
          <w:tab w:leader="none" w:pos="3900" w:val="left"/>
          <w:tab w:leader="none" w:pos="4460" w:val="left"/>
          <w:tab w:leader="none" w:pos="4960" w:val="left"/>
        </w:tabs>
        <w:rPr>
          <w:sz w:val="20"/>
          <w:szCs w:val="20"/>
          <w:color w:val="auto"/>
        </w:rPr>
      </w:pPr>
      <w:r>
        <w:rPr>
          <w:rFonts w:ascii="Times New Roman" w:cs="Times New Roman" w:eastAsia="Times New Roman" w:hAnsi="Times New Roman"/>
          <w:sz w:val="8"/>
          <w:szCs w:val="8"/>
          <w:color w:val="auto"/>
        </w:rPr>
        <w:t>-2 00000</w:t>
      </w:r>
      <w:r>
        <w:rPr>
          <w:sz w:val="20"/>
          <w:szCs w:val="20"/>
          <w:color w:val="auto"/>
        </w:rPr>
        <w:tab/>
      </w:r>
      <w:r>
        <w:rPr>
          <w:rFonts w:ascii="Times New Roman" w:cs="Times New Roman" w:eastAsia="Times New Roman" w:hAnsi="Times New Roman"/>
          <w:sz w:val="8"/>
          <w:szCs w:val="8"/>
          <w:color w:val="auto"/>
        </w:rPr>
        <w:t>-1 00000</w:t>
      </w:r>
      <w:r>
        <w:rPr>
          <w:sz w:val="20"/>
          <w:szCs w:val="20"/>
          <w:color w:val="auto"/>
        </w:rPr>
        <w:tab/>
      </w:r>
      <w:r>
        <w:rPr>
          <w:rFonts w:ascii="Times New Roman" w:cs="Times New Roman" w:eastAsia="Times New Roman" w:hAnsi="Times New Roman"/>
          <w:sz w:val="8"/>
          <w:szCs w:val="8"/>
          <w:color w:val="auto"/>
        </w:rPr>
        <w:t>0 00000</w:t>
      </w:r>
      <w:r>
        <w:rPr>
          <w:sz w:val="20"/>
          <w:szCs w:val="20"/>
          <w:color w:val="auto"/>
        </w:rPr>
        <w:tab/>
      </w:r>
      <w:r>
        <w:rPr>
          <w:rFonts w:ascii="Times New Roman" w:cs="Times New Roman" w:eastAsia="Times New Roman" w:hAnsi="Times New Roman"/>
          <w:sz w:val="8"/>
          <w:szCs w:val="8"/>
          <w:color w:val="auto"/>
        </w:rPr>
        <w:t>1 00000</w:t>
      </w:r>
      <w:r>
        <w:rPr>
          <w:sz w:val="20"/>
          <w:szCs w:val="20"/>
          <w:color w:val="auto"/>
        </w:rPr>
        <w:tab/>
      </w:r>
      <w:r>
        <w:rPr>
          <w:rFonts w:ascii="Times New Roman" w:cs="Times New Roman" w:eastAsia="Times New Roman" w:hAnsi="Times New Roman"/>
          <w:sz w:val="8"/>
          <w:szCs w:val="8"/>
          <w:color w:val="auto"/>
        </w:rPr>
        <w:t>2 00000</w:t>
      </w:r>
      <w:r>
        <w:rPr>
          <w:sz w:val="20"/>
          <w:szCs w:val="20"/>
          <w:color w:val="auto"/>
        </w:rPr>
        <w:tab/>
      </w:r>
      <w:r>
        <w:rPr>
          <w:rFonts w:ascii="Times New Roman" w:cs="Times New Roman" w:eastAsia="Times New Roman" w:hAnsi="Times New Roman"/>
          <w:sz w:val="7"/>
          <w:szCs w:val="7"/>
          <w:color w:val="auto"/>
        </w:rPr>
        <w:t>3 00000</w:t>
      </w:r>
    </w:p>
    <w:p>
      <w:pPr>
        <w:spacing w:after="0" w:line="77" w:lineRule="exact"/>
        <w:rPr>
          <w:sz w:val="20"/>
          <w:szCs w:val="20"/>
          <w:color w:val="auto"/>
        </w:rPr>
      </w:pPr>
    </w:p>
    <w:p>
      <w:pPr>
        <w:ind w:left="3580"/>
        <w:spacing w:after="0"/>
        <w:rPr>
          <w:sz w:val="20"/>
          <w:szCs w:val="20"/>
          <w:color w:val="auto"/>
        </w:rPr>
      </w:pPr>
      <w:r>
        <w:rPr>
          <w:rFonts w:ascii="Times New Roman" w:cs="Times New Roman" w:eastAsia="Times New Roman" w:hAnsi="Times New Roman"/>
          <w:sz w:val="8"/>
          <w:szCs w:val="8"/>
          <w:b w:val="1"/>
          <w:bCs w:val="1"/>
          <w:color w:val="auto"/>
        </w:rPr>
        <w:t>Componente 1</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3" w:lineRule="exact"/>
        <w:rPr>
          <w:sz w:val="20"/>
          <w:szCs w:val="20"/>
          <w:color w:val="auto"/>
        </w:rPr>
      </w:pPr>
    </w:p>
    <w:tbl>
      <w:tblPr>
        <w:tblLayout w:type="fixed"/>
        <w:tblInd w:w="1350" w:type="dxa"/>
        <w:tblCellMar>
          <w:top w:w="0" w:type="dxa"/>
          <w:left w:w="0" w:type="dxa"/>
          <w:bottom w:w="0" w:type="dxa"/>
          <w:right w:w="0" w:type="dxa"/>
        </w:tblCellMar>
      </w:tblPr>
      <w:tr>
        <w:trPr>
          <w:trHeight w:val="303"/>
        </w:trPr>
        <w:tc>
          <w:tcPr>
            <w:tcW w:w="1700" w:type="dxa"/>
            <w:vAlign w:val="bottom"/>
            <w:tcBorders>
              <w:top w:val="single" w:sz="8" w:color="auto"/>
              <w:left w:val="single" w:sz="8" w:color="auto"/>
            </w:tcBorders>
          </w:tcPr>
          <w:p>
            <w:pPr>
              <w:ind w:left="320"/>
              <w:spacing w:after="0"/>
              <w:rPr>
                <w:sz w:val="20"/>
                <w:szCs w:val="20"/>
                <w:color w:val="auto"/>
              </w:rPr>
            </w:pPr>
            <w:r>
              <w:rPr>
                <w:rFonts w:ascii="Times New Roman" w:cs="Times New Roman" w:eastAsia="Times New Roman" w:hAnsi="Times New Roman"/>
                <w:sz w:val="16"/>
                <w:szCs w:val="16"/>
                <w:color w:val="auto"/>
              </w:rPr>
              <w:t>P. Sierra M (2733)</w:t>
            </w:r>
          </w:p>
        </w:tc>
        <w:tc>
          <w:tcPr>
            <w:tcW w:w="1600" w:type="dxa"/>
            <w:vAlign w:val="bottom"/>
            <w:tcBorders>
              <w:top w:val="single" w:sz="8" w:color="auto"/>
            </w:tcBorders>
          </w:tcPr>
          <w:p>
            <w:pPr>
              <w:ind w:left="240"/>
              <w:spacing w:after="0"/>
              <w:rPr>
                <w:sz w:val="20"/>
                <w:szCs w:val="20"/>
                <w:color w:val="auto"/>
              </w:rPr>
            </w:pPr>
            <w:r>
              <w:rPr>
                <w:rFonts w:ascii="Times New Roman" w:cs="Times New Roman" w:eastAsia="Times New Roman" w:hAnsi="Times New Roman"/>
                <w:sz w:val="16"/>
                <w:szCs w:val="16"/>
                <w:color w:val="auto"/>
              </w:rPr>
              <w:t>Nevado M (4200)</w:t>
            </w:r>
          </w:p>
        </w:tc>
        <w:tc>
          <w:tcPr>
            <w:tcW w:w="1520" w:type="dxa"/>
            <w:vAlign w:val="bottom"/>
            <w:tcBorders>
              <w:top w:val="single" w:sz="8" w:color="auto"/>
              <w:right w:val="single" w:sz="8" w:color="auto"/>
            </w:tcBorders>
          </w:tcPr>
          <w:p>
            <w:pPr>
              <w:ind w:left="240"/>
              <w:spacing w:after="0"/>
              <w:rPr>
                <w:sz w:val="20"/>
                <w:szCs w:val="20"/>
                <w:color w:val="auto"/>
              </w:rPr>
            </w:pPr>
            <w:r>
              <w:rPr>
                <w:rFonts w:ascii="Times New Roman" w:cs="Times New Roman" w:eastAsia="Times New Roman" w:hAnsi="Times New Roman"/>
                <w:sz w:val="16"/>
                <w:szCs w:val="16"/>
                <w:color w:val="auto"/>
              </w:rPr>
              <w:t>Mapa H (3200)</w:t>
            </w:r>
          </w:p>
        </w:tc>
      </w:tr>
      <w:tr>
        <w:trPr>
          <w:trHeight w:val="310"/>
        </w:trPr>
        <w:tc>
          <w:tcPr>
            <w:tcW w:w="1700" w:type="dxa"/>
            <w:vAlign w:val="bottom"/>
            <w:tcBorders>
              <w:left w:val="single" w:sz="8" w:color="auto"/>
            </w:tcBorders>
          </w:tcPr>
          <w:p>
            <w:pPr>
              <w:ind w:left="320"/>
              <w:spacing w:after="0"/>
              <w:rPr>
                <w:sz w:val="20"/>
                <w:szCs w:val="20"/>
                <w:color w:val="auto"/>
              </w:rPr>
            </w:pPr>
            <w:r>
              <w:rPr>
                <w:rFonts w:ascii="Times New Roman" w:cs="Times New Roman" w:eastAsia="Times New Roman" w:hAnsi="Times New Roman"/>
                <w:sz w:val="16"/>
                <w:szCs w:val="16"/>
                <w:color w:val="auto"/>
              </w:rPr>
              <w:t>Mapa M (3200)</w:t>
            </w:r>
          </w:p>
        </w:tc>
        <w:tc>
          <w:tcPr>
            <w:tcW w:w="1600" w:type="dxa"/>
            <w:vAlign w:val="bottom"/>
          </w:tcPr>
          <w:p>
            <w:pPr>
              <w:ind w:left="220"/>
              <w:spacing w:after="0"/>
              <w:rPr>
                <w:sz w:val="20"/>
                <w:szCs w:val="20"/>
                <w:color w:val="auto"/>
              </w:rPr>
            </w:pPr>
            <w:r>
              <w:rPr>
                <w:rFonts w:ascii="Times New Roman" w:cs="Times New Roman" w:eastAsia="Times New Roman" w:hAnsi="Times New Roman"/>
                <w:sz w:val="16"/>
                <w:szCs w:val="16"/>
                <w:color w:val="auto"/>
              </w:rPr>
              <w:t>P. Sierra H (2733)</w:t>
            </w:r>
          </w:p>
        </w:tc>
        <w:tc>
          <w:tcPr>
            <w:tcW w:w="1520" w:type="dxa"/>
            <w:vAlign w:val="bottom"/>
            <w:tcBorders>
              <w:right w:val="single" w:sz="8" w:color="auto"/>
            </w:tcBorders>
          </w:tcPr>
          <w:p>
            <w:pPr>
              <w:ind w:left="280"/>
              <w:spacing w:after="0"/>
              <w:rPr>
                <w:sz w:val="20"/>
                <w:szCs w:val="20"/>
                <w:color w:val="auto"/>
              </w:rPr>
            </w:pPr>
            <w:r>
              <w:rPr>
                <w:rFonts w:ascii="Times New Roman" w:cs="Times New Roman" w:eastAsia="Times New Roman" w:hAnsi="Times New Roman"/>
                <w:sz w:val="16"/>
                <w:szCs w:val="16"/>
                <w:color w:val="auto"/>
              </w:rPr>
              <w:t>Nevado H (4200)</w:t>
            </w:r>
          </w:p>
        </w:tc>
      </w:tr>
      <w:tr>
        <w:trPr>
          <w:trHeight w:val="83"/>
        </w:trPr>
        <w:tc>
          <w:tcPr>
            <w:tcW w:w="1700" w:type="dxa"/>
            <w:vAlign w:val="bottom"/>
            <w:tcBorders>
              <w:left w:val="single" w:sz="8" w:color="auto"/>
              <w:bottom w:val="single" w:sz="8" w:color="auto"/>
            </w:tcBorders>
          </w:tcPr>
          <w:p>
            <w:pPr>
              <w:spacing w:after="0"/>
              <w:rPr>
                <w:sz w:val="7"/>
                <w:szCs w:val="7"/>
                <w:color w:val="auto"/>
              </w:rPr>
            </w:pPr>
          </w:p>
        </w:tc>
        <w:tc>
          <w:tcPr>
            <w:tcW w:w="1600" w:type="dxa"/>
            <w:vAlign w:val="bottom"/>
            <w:tcBorders>
              <w:bottom w:val="single" w:sz="8" w:color="auto"/>
            </w:tcBorders>
          </w:tcPr>
          <w:p>
            <w:pPr>
              <w:spacing w:after="0"/>
              <w:rPr>
                <w:sz w:val="7"/>
                <w:szCs w:val="7"/>
                <w:color w:val="auto"/>
              </w:rPr>
            </w:pPr>
          </w:p>
        </w:tc>
        <w:tc>
          <w:tcPr>
            <w:tcW w:w="1520" w:type="dxa"/>
            <w:vAlign w:val="bottom"/>
            <w:tcBorders>
              <w:bottom w:val="single" w:sz="8" w:color="auto"/>
              <w:right w:val="single" w:sz="8" w:color="auto"/>
            </w:tcBorders>
          </w:tcPr>
          <w:p>
            <w:pPr>
              <w:spacing w:after="0"/>
              <w:rPr>
                <w:sz w:val="7"/>
                <w:szCs w:val="7"/>
                <w:color w:val="auto"/>
              </w:rPr>
            </w:pPr>
          </w:p>
        </w:tc>
      </w:tr>
    </w:tbl>
    <w:p>
      <w:pPr>
        <w:spacing w:after="0" w:line="319" w:lineRule="exact"/>
        <w:rPr>
          <w:sz w:val="20"/>
          <w:szCs w:val="20"/>
          <w:color w:val="auto"/>
        </w:rPr>
      </w:pPr>
    </w:p>
    <w:p>
      <w:pPr>
        <w:spacing w:after="0" w:line="348" w:lineRule="auto"/>
        <w:rPr>
          <w:sz w:val="20"/>
          <w:szCs w:val="20"/>
          <w:color w:val="auto"/>
        </w:rPr>
      </w:pPr>
      <w:r>
        <w:rPr>
          <w:rFonts w:ascii="Times New Roman" w:cs="Times New Roman" w:eastAsia="Times New Roman" w:hAnsi="Times New Roman"/>
          <w:sz w:val="15"/>
          <w:szCs w:val="15"/>
          <w:color w:val="auto"/>
        </w:rPr>
        <w:t>acp para las escamas laterales con sus patrones descritos por las redes de deformación en cada extremo de los componentes (los números indican la altura sobre el nivel del mar; M: macho, H: hembra) (Fuente: Carmen, 2010).</w:t>
      </w:r>
    </w:p>
    <w:p>
      <w:pPr>
        <w:sectPr>
          <w:pgSz w:w="9360" w:h="13039" w:orient="portrait"/>
          <w:cols w:equalWidth="0" w:num="1">
            <w:col w:w="7180"/>
          </w:cols>
          <w:pgMar w:left="1080" w:top="906" w:right="1100" w:bottom="43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96" w:name="page97"/>
    <w:bookmarkEnd w:id="96"/>
    <w:p>
      <w:pPr>
        <w:spacing w:after="0"/>
        <w:tabs>
          <w:tab w:leader="none" w:pos="2040" w:val="left"/>
          <w:tab w:leader="none" w:pos="3180" w:val="left"/>
          <w:tab w:leader="none" w:pos="4340" w:val="left"/>
        </w:tabs>
        <w:rPr>
          <w:sz w:val="20"/>
          <w:szCs w:val="20"/>
          <w:color w:val="auto"/>
        </w:rPr>
      </w:pPr>
      <w:r>
        <w:rPr>
          <w:rFonts w:ascii="Arial Narrow" w:cs="Arial Narrow" w:eastAsia="Arial Narrow" w:hAnsi="Arial Narrow"/>
          <w:sz w:val="16"/>
          <w:szCs w:val="16"/>
          <w:color w:val="auto"/>
        </w:rPr>
        <w:t>96</w:t>
      </w:r>
      <w:r>
        <w:rPr>
          <w:sz w:val="20"/>
          <w:szCs w:val="20"/>
          <w:color w:val="auto"/>
        </w:rPr>
        <w:tab/>
      </w:r>
      <w:r>
        <w:rPr>
          <w:rFonts w:ascii="Arial Narrow" w:cs="Arial Narrow" w:eastAsia="Arial Narrow" w:hAnsi="Arial Narrow"/>
          <w:sz w:val="11"/>
          <w:szCs w:val="11"/>
          <w:color w:val="auto"/>
        </w:rPr>
        <w:t>carmen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cristóbal</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nava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1994535</wp:posOffset>
                </wp:positionH>
                <wp:positionV relativeFrom="paragraph">
                  <wp:posOffset>-76835</wp:posOffset>
                </wp:positionV>
                <wp:extent cx="0" cy="88900"/>
                <wp:wrapNone/>
                <wp:docPr id="221" name="Shape 22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21" o:spid="_x0000_s124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7.05pt,-6.0499pt" to="157.0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2738120</wp:posOffset>
                </wp:positionH>
                <wp:positionV relativeFrom="paragraph">
                  <wp:posOffset>-76835</wp:posOffset>
                </wp:positionV>
                <wp:extent cx="0" cy="88900"/>
                <wp:wrapNone/>
                <wp:docPr id="222" name="Shape 22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22" o:spid="_x0000_s124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5.6pt,-6.0499pt" to="215.6pt,0.95pt" o:allowincell="f" strokecolor="#000000" strokeweight="0.4pt"/>
            </w:pict>
          </mc:Fallback>
        </mc:AlternateContent>
      </w:r>
    </w:p>
    <w:p>
      <w:pPr>
        <w:spacing w:after="0" w:line="355" w:lineRule="exact"/>
        <w:rPr>
          <w:sz w:val="20"/>
          <w:szCs w:val="20"/>
          <w:color w:val="auto"/>
        </w:rPr>
      </w:pPr>
    </w:p>
    <w:p>
      <w:pPr>
        <w:ind w:left="3300"/>
        <w:spacing w:after="0"/>
        <w:rPr>
          <w:sz w:val="20"/>
          <w:szCs w:val="20"/>
          <w:color w:val="auto"/>
        </w:rPr>
      </w:pPr>
      <w:r>
        <w:rPr>
          <w:rFonts w:ascii="Times New Roman" w:cs="Times New Roman" w:eastAsia="Times New Roman" w:hAnsi="Times New Roman"/>
          <w:sz w:val="18"/>
          <w:szCs w:val="18"/>
          <w:i w:val="1"/>
          <w:iCs w:val="1"/>
          <w:color w:val="auto"/>
        </w:rPr>
        <w:t>Figura 7</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-5715</wp:posOffset>
            </wp:positionH>
            <wp:positionV relativeFrom="paragraph">
              <wp:posOffset>100330</wp:posOffset>
            </wp:positionV>
            <wp:extent cx="4574540" cy="3199765"/>
            <wp:wrapNone/>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49">
                      <a:extLst>
                        <a:ext uri="{28A0092B-C50C-407E-A947-70E740481C1C}"/>
                      </a:extLst>
                    </a:blip>
                    <a:srcRect/>
                    <a:stretch>
                      <a:fillRect/>
                    </a:stretch>
                  </pic:blipFill>
                  <pic:spPr bwMode="auto">
                    <a:xfrm>
                      <a:off x="0" y="0"/>
                      <a:ext cx="4574540" cy="319976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8" w:lineRule="exact"/>
        <w:rPr>
          <w:sz w:val="20"/>
          <w:szCs w:val="20"/>
          <w:color w:val="auto"/>
        </w:rPr>
      </w:pPr>
    </w:p>
    <w:p>
      <w:pPr>
        <w:ind w:left="200"/>
        <w:spacing w:after="0"/>
        <w:rPr>
          <w:sz w:val="20"/>
          <w:szCs w:val="20"/>
          <w:color w:val="auto"/>
        </w:rPr>
      </w:pPr>
      <w:r>
        <w:rPr>
          <w:rFonts w:ascii="Times New Roman" w:cs="Times New Roman" w:eastAsia="Times New Roman" w:hAnsi="Times New Roman"/>
          <w:sz w:val="16"/>
          <w:szCs w:val="16"/>
          <w:b w:val="1"/>
          <w:bCs w:val="1"/>
          <w:color w:val="auto"/>
        </w:rPr>
        <w:t>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2" w:lineRule="exact"/>
        <w:rPr>
          <w:sz w:val="20"/>
          <w:szCs w:val="20"/>
          <w:color w:val="auto"/>
        </w:rPr>
      </w:pPr>
    </w:p>
    <w:p>
      <w:pPr>
        <w:ind w:left="200"/>
        <w:spacing w:after="0"/>
        <w:rPr>
          <w:sz w:val="20"/>
          <w:szCs w:val="20"/>
          <w:color w:val="auto"/>
        </w:rPr>
      </w:pPr>
      <w:r>
        <w:rPr>
          <w:rFonts w:ascii="Times New Roman" w:cs="Times New Roman" w:eastAsia="Times New Roman" w:hAnsi="Times New Roman"/>
          <w:sz w:val="16"/>
          <w:szCs w:val="16"/>
          <w:b w:val="1"/>
          <w:bCs w:val="1"/>
          <w:color w:val="auto"/>
        </w:rPr>
        <w:t>B</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1" w:lineRule="exact"/>
        <w:rPr>
          <w:sz w:val="20"/>
          <w:szCs w:val="20"/>
          <w:color w:val="auto"/>
        </w:rPr>
      </w:pPr>
    </w:p>
    <w:p>
      <w:pPr>
        <w:ind w:left="200"/>
        <w:spacing w:after="0"/>
        <w:rPr>
          <w:sz w:val="20"/>
          <w:szCs w:val="20"/>
          <w:color w:val="auto"/>
        </w:rPr>
      </w:pPr>
      <w:r>
        <w:rPr>
          <w:rFonts w:ascii="Times New Roman" w:cs="Times New Roman" w:eastAsia="Times New Roman" w:hAnsi="Times New Roman"/>
          <w:sz w:val="16"/>
          <w:szCs w:val="16"/>
          <w:b w:val="1"/>
          <w:bCs w:val="1"/>
          <w:color w:val="auto"/>
        </w:rPr>
        <w:t>C</w:t>
      </w:r>
    </w:p>
    <w:p>
      <w:pPr>
        <w:spacing w:after="0" w:line="200" w:lineRule="exact"/>
        <w:rPr>
          <w:sz w:val="20"/>
          <w:szCs w:val="20"/>
          <w:color w:val="auto"/>
        </w:rPr>
      </w:pPr>
    </w:p>
    <w:p>
      <w:pPr>
        <w:spacing w:after="0" w:line="200" w:lineRule="exact"/>
        <w:rPr>
          <w:sz w:val="20"/>
          <w:szCs w:val="20"/>
          <w:color w:val="auto"/>
        </w:rPr>
      </w:pPr>
    </w:p>
    <w:p>
      <w:pPr>
        <w:spacing w:after="0" w:line="329" w:lineRule="exact"/>
        <w:rPr>
          <w:sz w:val="20"/>
          <w:szCs w:val="20"/>
          <w:color w:val="auto"/>
        </w:rPr>
      </w:pPr>
    </w:p>
    <w:p>
      <w:pPr>
        <w:ind w:left="2020"/>
        <w:spacing w:after="0"/>
        <w:tabs>
          <w:tab w:leader="none" w:pos="5360" w:val="left"/>
        </w:tabs>
        <w:rPr>
          <w:sz w:val="20"/>
          <w:szCs w:val="20"/>
          <w:color w:val="auto"/>
        </w:rPr>
      </w:pPr>
      <w:r>
        <w:rPr>
          <w:rFonts w:ascii="Times New Roman" w:cs="Times New Roman" w:eastAsia="Times New Roman" w:hAnsi="Times New Roman"/>
          <w:sz w:val="16"/>
          <w:szCs w:val="16"/>
          <w:b w:val="1"/>
          <w:bCs w:val="1"/>
          <w:color w:val="auto"/>
        </w:rPr>
        <w:t>H</w:t>
      </w:r>
      <w:r>
        <w:rPr>
          <w:sz w:val="20"/>
          <w:szCs w:val="20"/>
          <w:color w:val="auto"/>
        </w:rPr>
        <w:tab/>
      </w:r>
      <w:r>
        <w:rPr>
          <w:rFonts w:ascii="Times New Roman" w:cs="Times New Roman" w:eastAsia="Times New Roman" w:hAnsi="Times New Roman"/>
          <w:sz w:val="16"/>
          <w:szCs w:val="16"/>
          <w:b w:val="1"/>
          <w:bCs w:val="1"/>
          <w:color w:val="auto"/>
        </w:rPr>
        <w:t>M</w:t>
      </w:r>
    </w:p>
    <w:p>
      <w:pPr>
        <w:spacing w:after="0" w:line="298" w:lineRule="exact"/>
        <w:rPr>
          <w:sz w:val="20"/>
          <w:szCs w:val="20"/>
          <w:color w:val="auto"/>
        </w:rPr>
      </w:pPr>
    </w:p>
    <w:p>
      <w:pPr>
        <w:jc w:val="both"/>
        <w:spacing w:after="0" w:line="299" w:lineRule="auto"/>
        <w:rPr>
          <w:sz w:val="20"/>
          <w:szCs w:val="20"/>
          <w:color w:val="auto"/>
        </w:rPr>
      </w:pPr>
      <w:r>
        <w:rPr>
          <w:rFonts w:ascii="Times New Roman" w:cs="Times New Roman" w:eastAsia="Times New Roman" w:hAnsi="Times New Roman"/>
          <w:sz w:val="16"/>
          <w:szCs w:val="16"/>
          <w:color w:val="auto"/>
        </w:rPr>
        <w:t>Redes de deformación de la forma de las escamas laterales de machos y hembras de las tres localidades. La configuración de los puntos y sus uniones muestran la forma de las escamas (A: Parque Sierra, B: El Mapa, C: Nevado; M: macho, H: hembra) (Fuente: Carmen, 2010).</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Forma de la cabeza</w:t>
      </w:r>
    </w:p>
    <w:p>
      <w:pPr>
        <w:spacing w:after="0" w:line="387" w:lineRule="exact"/>
        <w:rPr>
          <w:sz w:val="20"/>
          <w:szCs w:val="20"/>
          <w:color w:val="auto"/>
        </w:rPr>
      </w:pPr>
    </w:p>
    <w:p>
      <w:pPr>
        <w:jc w:val="both"/>
        <w:spacing w:after="0" w:line="284" w:lineRule="auto"/>
        <w:rPr>
          <w:sz w:val="20"/>
          <w:szCs w:val="20"/>
          <w:color w:val="auto"/>
        </w:rPr>
      </w:pPr>
      <w:r>
        <w:rPr>
          <w:rFonts w:ascii="Times New Roman" w:cs="Times New Roman" w:eastAsia="Times New Roman" w:hAnsi="Times New Roman"/>
          <w:sz w:val="22"/>
          <w:szCs w:val="22"/>
          <w:color w:val="auto"/>
        </w:rPr>
        <w:t xml:space="preserve">No se encontraron diferencias significativas en la forma de la cabeza de </w:t>
      </w:r>
      <w:r>
        <w:rPr>
          <w:rFonts w:ascii="Times New Roman" w:cs="Times New Roman" w:eastAsia="Times New Roman" w:hAnsi="Times New Roman"/>
          <w:sz w:val="22"/>
          <w:szCs w:val="22"/>
          <w:i w:val="1"/>
          <w:iCs w:val="1"/>
          <w:color w:val="auto"/>
        </w:rPr>
        <w:t>B. imbricata</w:t>
      </w:r>
      <w:r>
        <w:rPr>
          <w:rFonts w:ascii="Times New Roman" w:cs="Times New Roman" w:eastAsia="Times New Roman" w:hAnsi="Times New Roman"/>
          <w:sz w:val="22"/>
          <w:szCs w:val="22"/>
          <w:color w:val="auto"/>
        </w:rPr>
        <w:t xml:space="preserve"> al realizar el afd entre las tres poblaciones (figura 8) (lambda de Wilks = 0.562, </w:t>
      </w:r>
      <w:r>
        <w:rPr>
          <w:rFonts w:ascii="Times New Roman" w:cs="Times New Roman" w:eastAsia="Times New Roman" w:hAnsi="Times New Roman"/>
          <w:sz w:val="22"/>
          <w:szCs w:val="22"/>
          <w:i w:val="1"/>
          <w:iCs w:val="1"/>
          <w:color w:val="auto"/>
        </w:rPr>
        <w:t xml:space="preserve">F </w:t>
      </w:r>
      <w:r>
        <w:rPr>
          <w:rFonts w:ascii="Times New Roman" w:cs="Times New Roman" w:eastAsia="Times New Roman" w:hAnsi="Times New Roman"/>
          <w:sz w:val="22"/>
          <w:szCs w:val="22"/>
          <w:color w:val="auto"/>
        </w:rPr>
        <w:t>= 1.292,</w:t>
      </w:r>
      <w:r>
        <w:rPr>
          <w:rFonts w:ascii="Times New Roman" w:cs="Times New Roman" w:eastAsia="Times New Roman" w:hAnsi="Times New Roman"/>
          <w:sz w:val="22"/>
          <w:szCs w:val="22"/>
          <w:i w:val="1"/>
          <w:iCs w:val="1"/>
          <w:color w:val="auto"/>
        </w:rPr>
        <w:t xml:space="preserve"> p </w:t>
      </w:r>
      <w:r>
        <w:rPr>
          <w:rFonts w:ascii="Times New Roman" w:cs="Times New Roman" w:eastAsia="Times New Roman" w:hAnsi="Times New Roman"/>
          <w:sz w:val="22"/>
          <w:szCs w:val="22"/>
          <w:color w:val="auto"/>
        </w:rPr>
        <w:t>= 0.231). El CP1 explica 16.356% de la varianza; el CP2, 12.798%;</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ambos, 29.154%.</w:t>
      </w:r>
    </w:p>
    <w:p>
      <w:pPr>
        <w:spacing w:after="0" w:line="3" w:lineRule="exact"/>
        <w:rPr>
          <w:sz w:val="20"/>
          <w:szCs w:val="20"/>
          <w:color w:val="auto"/>
        </w:rPr>
      </w:pPr>
    </w:p>
    <w:p>
      <w:pPr>
        <w:jc w:val="both"/>
        <w:ind w:firstLine="360"/>
        <w:spacing w:after="0" w:line="329" w:lineRule="auto"/>
        <w:rPr>
          <w:sz w:val="20"/>
          <w:szCs w:val="20"/>
          <w:color w:val="auto"/>
        </w:rPr>
      </w:pPr>
      <w:r>
        <w:rPr>
          <w:rFonts w:ascii="Times New Roman" w:cs="Times New Roman" w:eastAsia="Times New Roman" w:hAnsi="Times New Roman"/>
          <w:sz w:val="20"/>
          <w:szCs w:val="20"/>
          <w:color w:val="auto"/>
        </w:rPr>
        <w:t>El acp (figura 8) sugiere que los organismos se encuentran dispersos y que no hay separación de sexos ni de localidades. No obstante lo anterior, las redes de deformación muestran que, hacia el extremo positivo del CP1, los organismos tienen una cabeza más delgada, que existe una reducción en la región occipital y que hay un ligero</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17"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24" name="Shape 22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24" o:spid="_x0000_s124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25" name="Shape 22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25" o:spid="_x0000_s125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26" name="Shape 22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26" o:spid="_x0000_s125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97" w:name="page98"/>
    <w:bookmarkEnd w:id="97"/>
    <w:tbl>
      <w:tblPr>
        <w:tblLayout w:type="fixed"/>
        <w:tblInd w:w="1580" w:type="dxa"/>
        <w:tblCellMar>
          <w:top w:w="0" w:type="dxa"/>
          <w:left w:w="0" w:type="dxa"/>
          <w:bottom w:w="0" w:type="dxa"/>
          <w:right w:w="0" w:type="dxa"/>
        </w:tblCellMar>
      </w:tblPr>
      <w:tr>
        <w:trPr>
          <w:trHeight w:val="222"/>
        </w:trPr>
        <w:tc>
          <w:tcPr>
            <w:tcW w:w="4760" w:type="dxa"/>
            <w:vAlign w:val="bottom"/>
          </w:tcPr>
          <w:p>
            <w:pPr>
              <w:spacing w:after="0"/>
              <w:rPr>
                <w:sz w:val="20"/>
                <w:szCs w:val="20"/>
                <w:color w:val="auto"/>
              </w:rPr>
            </w:pPr>
            <w:r>
              <w:rPr>
                <w:rFonts w:ascii="Arial Narrow" w:cs="Arial Narrow" w:eastAsia="Arial Narrow" w:hAnsi="Arial Narrow"/>
                <w:sz w:val="11"/>
                <w:szCs w:val="11"/>
                <w:color w:val="auto"/>
              </w:rPr>
              <w:t xml:space="preserve">morfología geométrica de las escamas cefálicas en </w:t>
            </w:r>
            <w:r>
              <w:rPr>
                <w:rFonts w:ascii="Arial Narrow" w:cs="Arial Narrow" w:eastAsia="Arial Narrow" w:hAnsi="Arial Narrow"/>
                <w:sz w:val="11"/>
                <w:szCs w:val="11"/>
                <w:i w:val="1"/>
                <w:iCs w:val="1"/>
                <w:color w:val="auto"/>
              </w:rPr>
              <w:t>barisia imbricata</w:t>
            </w:r>
          </w:p>
        </w:tc>
        <w:tc>
          <w:tcPr>
            <w:tcW w:w="860" w:type="dxa"/>
            <w:vAlign w:val="bottom"/>
          </w:tcPr>
          <w:p>
            <w:pPr>
              <w:jc w:val="right"/>
              <w:spacing w:after="0"/>
              <w:rPr>
                <w:sz w:val="20"/>
                <w:szCs w:val="20"/>
                <w:color w:val="auto"/>
              </w:rPr>
            </w:pPr>
            <w:r>
              <w:rPr>
                <w:rFonts w:ascii="Arial Narrow" w:cs="Arial Narrow" w:eastAsia="Arial Narrow" w:hAnsi="Arial Narrow"/>
                <w:sz w:val="16"/>
                <w:szCs w:val="16"/>
                <w:color w:val="auto"/>
              </w:rPr>
              <w:t>97</w:t>
            </w:r>
          </w:p>
        </w:tc>
      </w:tr>
    </w:tbl>
    <w:p>
      <w:pPr>
        <w:spacing w:after="0" w:line="200" w:lineRule="exact"/>
        <w:rPr>
          <w:sz w:val="20"/>
          <w:szCs w:val="20"/>
          <w:color w:val="auto"/>
        </w:rPr>
      </w:pPr>
    </w:p>
    <w:p>
      <w:pPr>
        <w:spacing w:after="0" w:line="309" w:lineRule="exact"/>
        <w:rPr>
          <w:sz w:val="20"/>
          <w:szCs w:val="20"/>
          <w:color w:val="auto"/>
        </w:rPr>
      </w:pPr>
    </w:p>
    <w:p>
      <w:pPr>
        <w:jc w:val="both"/>
        <w:spacing w:after="0" w:line="284" w:lineRule="auto"/>
        <w:rPr>
          <w:sz w:val="20"/>
          <w:szCs w:val="20"/>
          <w:color w:val="auto"/>
        </w:rPr>
      </w:pPr>
      <w:r>
        <w:rPr>
          <w:rFonts w:ascii="Times New Roman" w:cs="Times New Roman" w:eastAsia="Times New Roman" w:hAnsi="Times New Roman"/>
          <w:sz w:val="22"/>
          <w:szCs w:val="22"/>
          <w:color w:val="auto"/>
        </w:rPr>
        <w:t>ensanchamiento a la altura de las escamas prefrontales. Para el CP2, se nota una forma más redondeada en las regiones temporales a la altura de la región timpánica; también se puede observar una ligera curva entre el hocico y la región temporal, y, finalmente, el hocico es más corto.</w:t>
      </w:r>
    </w:p>
    <w:p>
      <w:pPr>
        <w:spacing w:after="0" w:line="3" w:lineRule="exact"/>
        <w:rPr>
          <w:sz w:val="20"/>
          <w:szCs w:val="20"/>
          <w:color w:val="auto"/>
        </w:rPr>
      </w:pPr>
    </w:p>
    <w:p>
      <w:pPr>
        <w:jc w:val="both"/>
        <w:ind w:firstLine="360"/>
        <w:spacing w:after="0" w:line="284" w:lineRule="auto"/>
        <w:rPr>
          <w:sz w:val="20"/>
          <w:szCs w:val="20"/>
          <w:color w:val="auto"/>
        </w:rPr>
      </w:pPr>
      <w:r>
        <w:rPr>
          <w:rFonts w:ascii="Times New Roman" w:cs="Times New Roman" w:eastAsia="Times New Roman" w:hAnsi="Times New Roman"/>
          <w:sz w:val="22"/>
          <w:szCs w:val="22"/>
          <w:color w:val="auto"/>
        </w:rPr>
        <w:t xml:space="preserve">Mediante el análisis de dimorfismo sexual no surgieron diferencias significativas en la forma de la cabeza para las poblaciones del Parque Sierra y El Mapa (lambda de Wilks = 0.017, </w:t>
      </w:r>
      <w:r>
        <w:rPr>
          <w:rFonts w:ascii="Times New Roman" w:cs="Times New Roman" w:eastAsia="Times New Roman" w:hAnsi="Times New Roman"/>
          <w:sz w:val="22"/>
          <w:szCs w:val="22"/>
          <w:i w:val="1"/>
          <w:iCs w:val="1"/>
          <w:color w:val="auto"/>
        </w:rPr>
        <w:t>F</w:t>
      </w:r>
      <w:r>
        <w:rPr>
          <w:rFonts w:ascii="Times New Roman" w:cs="Times New Roman" w:eastAsia="Times New Roman" w:hAnsi="Times New Roman"/>
          <w:sz w:val="22"/>
          <w:szCs w:val="22"/>
          <w:color w:val="auto"/>
        </w:rPr>
        <w:t xml:space="preserve"> = 1.329, </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2"/>
          <w:szCs w:val="22"/>
          <w:color w:val="auto"/>
        </w:rPr>
        <w:t xml:space="preserve"> = 0.088), pero sí se observa una separación en el CP2 entre machos y hembras del Nevado (figura 8).</w:t>
      </w:r>
    </w:p>
    <w:p>
      <w:pPr>
        <w:spacing w:after="0" w:line="3" w:lineRule="exact"/>
        <w:rPr>
          <w:sz w:val="20"/>
          <w:szCs w:val="20"/>
          <w:color w:val="auto"/>
        </w:rPr>
      </w:pPr>
    </w:p>
    <w:p>
      <w:pPr>
        <w:jc w:val="both"/>
        <w:ind w:firstLine="360"/>
        <w:spacing w:after="0" w:line="305" w:lineRule="auto"/>
        <w:rPr>
          <w:sz w:val="20"/>
          <w:szCs w:val="20"/>
          <w:color w:val="auto"/>
        </w:rPr>
      </w:pPr>
      <w:r>
        <w:rPr>
          <w:rFonts w:ascii="Times New Roman" w:cs="Times New Roman" w:eastAsia="Times New Roman" w:hAnsi="Times New Roman"/>
          <w:sz w:val="22"/>
          <w:szCs w:val="22"/>
          <w:color w:val="auto"/>
        </w:rPr>
        <w:t xml:space="preserve">En el análisis de F de Goodall no aparecieron diferencias significativas entre sexos por población (Parque Sierra: </w:t>
      </w:r>
      <w:r>
        <w:rPr>
          <w:rFonts w:ascii="Times New Roman" w:cs="Times New Roman" w:eastAsia="Times New Roman" w:hAnsi="Times New Roman"/>
          <w:sz w:val="22"/>
          <w:szCs w:val="22"/>
          <w:i w:val="1"/>
          <w:iCs w:val="1"/>
          <w:color w:val="auto"/>
        </w:rPr>
        <w:t>F</w:t>
      </w:r>
      <w:r>
        <w:rPr>
          <w:rFonts w:ascii="Times New Roman" w:cs="Times New Roman" w:eastAsia="Times New Roman" w:hAnsi="Times New Roman"/>
          <w:sz w:val="22"/>
          <w:szCs w:val="22"/>
          <w:color w:val="auto"/>
        </w:rPr>
        <w:t xml:space="preserve"> = 1.3184, </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2"/>
          <w:szCs w:val="22"/>
          <w:color w:val="auto"/>
        </w:rPr>
        <w:t xml:space="preserve"> = 0.1753; El Mapa: </w:t>
      </w:r>
      <w:r>
        <w:rPr>
          <w:rFonts w:ascii="Times New Roman" w:cs="Times New Roman" w:eastAsia="Times New Roman" w:hAnsi="Times New Roman"/>
          <w:sz w:val="22"/>
          <w:szCs w:val="22"/>
          <w:i w:val="1"/>
          <w:iCs w:val="1"/>
          <w:color w:val="auto"/>
        </w:rPr>
        <w:t>F</w:t>
      </w:r>
      <w:r>
        <w:rPr>
          <w:rFonts w:ascii="Times New Roman" w:cs="Times New Roman" w:eastAsia="Times New Roman" w:hAnsi="Times New Roman"/>
          <w:sz w:val="22"/>
          <w:szCs w:val="22"/>
          <w:color w:val="auto"/>
        </w:rPr>
        <w:t xml:space="preserve"> = 0.6222, </w:t>
      </w:r>
      <w:r>
        <w:rPr>
          <w:rFonts w:ascii="Times New Roman" w:cs="Times New Roman" w:eastAsia="Times New Roman" w:hAnsi="Times New Roman"/>
          <w:sz w:val="22"/>
          <w:szCs w:val="22"/>
          <w:i w:val="1"/>
          <w:iCs w:val="1"/>
          <w:color w:val="auto"/>
        </w:rPr>
        <w:t xml:space="preserve">p </w:t>
      </w:r>
      <w:r>
        <w:rPr>
          <w:rFonts w:ascii="Times New Roman" w:cs="Times New Roman" w:eastAsia="Times New Roman" w:hAnsi="Times New Roman"/>
          <w:sz w:val="22"/>
          <w:szCs w:val="22"/>
          <w:color w:val="auto"/>
        </w:rPr>
        <w:t>= 0.8803; Nevado:</w:t>
      </w:r>
      <w:r>
        <w:rPr>
          <w:rFonts w:ascii="Times New Roman" w:cs="Times New Roman" w:eastAsia="Times New Roman" w:hAnsi="Times New Roman"/>
          <w:sz w:val="22"/>
          <w:szCs w:val="22"/>
          <w:i w:val="1"/>
          <w:iCs w:val="1"/>
          <w:color w:val="auto"/>
        </w:rPr>
        <w:t xml:space="preserve"> F </w:t>
      </w:r>
      <w:r>
        <w:rPr>
          <w:rFonts w:ascii="Times New Roman" w:cs="Times New Roman" w:eastAsia="Times New Roman" w:hAnsi="Times New Roman"/>
          <w:sz w:val="22"/>
          <w:szCs w:val="22"/>
          <w:color w:val="auto"/>
        </w:rPr>
        <w:t>= 1.6656,</w:t>
      </w:r>
      <w:r>
        <w:rPr>
          <w:rFonts w:ascii="Times New Roman" w:cs="Times New Roman" w:eastAsia="Times New Roman" w:hAnsi="Times New Roman"/>
          <w:sz w:val="22"/>
          <w:szCs w:val="22"/>
          <w:i w:val="1"/>
          <w:iCs w:val="1"/>
          <w:color w:val="auto"/>
        </w:rPr>
        <w:t xml:space="preserve"> p </w:t>
      </w:r>
      <w:r>
        <w:rPr>
          <w:rFonts w:ascii="Times New Roman" w:cs="Times New Roman" w:eastAsia="Times New Roman" w:hAnsi="Times New Roman"/>
          <w:sz w:val="22"/>
          <w:szCs w:val="22"/>
          <w:color w:val="auto"/>
        </w:rPr>
        <w:t>= 0.0521).</w:t>
      </w:r>
    </w:p>
    <w:p>
      <w:pPr>
        <w:spacing w:after="0" w:line="200" w:lineRule="exact"/>
        <w:rPr>
          <w:sz w:val="20"/>
          <w:szCs w:val="20"/>
          <w:color w:val="auto"/>
        </w:rPr>
      </w:pPr>
    </w:p>
    <w:p>
      <w:pPr>
        <w:spacing w:after="0" w:line="315" w:lineRule="exact"/>
        <w:rPr>
          <w:sz w:val="20"/>
          <w:szCs w:val="20"/>
          <w:color w:val="auto"/>
        </w:rPr>
      </w:pPr>
    </w:p>
    <w:p>
      <w:pPr>
        <w:ind w:left="3320"/>
        <w:spacing w:after="0"/>
        <w:rPr>
          <w:sz w:val="20"/>
          <w:szCs w:val="20"/>
          <w:color w:val="auto"/>
        </w:rPr>
      </w:pPr>
      <w:r>
        <w:rPr>
          <w:rFonts w:ascii="Times New Roman" w:cs="Times New Roman" w:eastAsia="Times New Roman" w:hAnsi="Times New Roman"/>
          <w:sz w:val="18"/>
          <w:szCs w:val="18"/>
          <w:i w:val="1"/>
          <w:iCs w:val="1"/>
          <w:color w:val="auto"/>
        </w:rPr>
        <w:t>Figura 8</w:t>
      </w:r>
    </w:p>
    <w:p>
      <w:pPr>
        <w:ind w:left="3320"/>
        <w:spacing w:after="0"/>
        <w:rPr>
          <w:sz w:val="20"/>
          <w:szCs w:val="20"/>
          <w:color w:val="auto"/>
        </w:rPr>
        <w:sectPr>
          <w:pgSz w:w="9360" w:h="13039" w:orient="portrait"/>
          <w:cols w:equalWidth="0" w:num="1">
            <w:col w:w="7200"/>
          </w:cols>
          <w:pgMar w:left="1080" w:top="906" w:right="1080" w:bottom="437" w:gutter="0" w:footer="0" w:header="0"/>
        </w:sect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85725</wp:posOffset>
            </wp:positionV>
            <wp:extent cx="4568190" cy="3195955"/>
            <wp:wrapNone/>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50">
                      <a:extLst>
                        <a:ext uri="{28A0092B-C50C-407E-A947-70E740481C1C}"/>
                      </a:extLst>
                    </a:blip>
                    <a:srcRect/>
                    <a:stretch>
                      <a:fillRect/>
                    </a:stretch>
                  </pic:blipFill>
                  <pic:spPr bwMode="auto">
                    <a:xfrm>
                      <a:off x="0" y="0"/>
                      <a:ext cx="4568190" cy="319595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5" w:lineRule="exact"/>
        <w:rPr>
          <w:sz w:val="20"/>
          <w:szCs w:val="20"/>
          <w:color w:val="auto"/>
        </w:rPr>
      </w:pPr>
    </w:p>
    <w:tbl>
      <w:tblPr>
        <w:tblLayout w:type="fixed"/>
        <w:tblInd w:w="0" w:type="dxa"/>
        <w:tblCellMar>
          <w:top w:w="0" w:type="dxa"/>
          <w:left w:w="0" w:type="dxa"/>
          <w:bottom w:w="0" w:type="dxa"/>
          <w:right w:w="0" w:type="dxa"/>
        </w:tblCellMar>
      </w:tblPr>
      <w:tr>
        <w:trPr>
          <w:trHeight w:val="480"/>
          <w:jc w:val="center"/>
        </w:trPr>
        <w:tc>
          <w:tcPr>
            <w:tcW w:w="80" w:type="dxa"/>
            <w:vAlign w:val="bottom"/>
            <w:textDirection w:val="btLr"/>
          </w:tcPr>
          <w:p>
            <w:pPr>
              <w:spacing w:after="0"/>
              <w:rPr>
                <w:sz w:val="20"/>
                <w:szCs w:val="20"/>
                <w:color w:val="auto"/>
              </w:rPr>
            </w:pPr>
            <w:r>
              <w:rPr>
                <w:rFonts w:ascii="Times New Roman" w:cs="Times New Roman" w:eastAsia="Times New Roman" w:hAnsi="Times New Roman"/>
                <w:sz w:val="7"/>
                <w:szCs w:val="7"/>
                <w:b w:val="1"/>
                <w:bCs w:val="1"/>
                <w:color w:val="auto"/>
              </w:rPr>
              <w:t>Componente 2</w:t>
            </w:r>
          </w:p>
        </w:tc>
      </w:tr>
    </w:tbl>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8" w:lineRule="exact"/>
        <w:rPr>
          <w:sz w:val="20"/>
          <w:szCs w:val="20"/>
          <w:color w:val="auto"/>
        </w:rPr>
      </w:pPr>
    </w:p>
    <w:p>
      <w:pPr>
        <w:ind w:left="40"/>
        <w:spacing w:after="0"/>
        <w:rPr>
          <w:sz w:val="20"/>
          <w:szCs w:val="20"/>
          <w:color w:val="auto"/>
        </w:rPr>
      </w:pPr>
      <w:r>
        <w:rPr>
          <w:rFonts w:ascii="Times New Roman" w:cs="Times New Roman" w:eastAsia="Times New Roman" w:hAnsi="Times New Roman"/>
          <w:sz w:val="8"/>
          <w:szCs w:val="8"/>
          <w:color w:val="auto"/>
        </w:rPr>
        <w:t>3 00000</w:t>
      </w:r>
    </w:p>
    <w:p>
      <w:pPr>
        <w:spacing w:after="0" w:line="288" w:lineRule="exact"/>
        <w:rPr>
          <w:sz w:val="20"/>
          <w:szCs w:val="20"/>
          <w:color w:val="auto"/>
        </w:rPr>
      </w:pPr>
    </w:p>
    <w:p>
      <w:pPr>
        <w:ind w:left="40"/>
        <w:spacing w:after="0"/>
        <w:rPr>
          <w:sz w:val="20"/>
          <w:szCs w:val="20"/>
          <w:color w:val="auto"/>
        </w:rPr>
      </w:pPr>
      <w:r>
        <w:rPr>
          <w:rFonts w:ascii="Times New Roman" w:cs="Times New Roman" w:eastAsia="Times New Roman" w:hAnsi="Times New Roman"/>
          <w:sz w:val="8"/>
          <w:szCs w:val="8"/>
          <w:color w:val="auto"/>
        </w:rPr>
        <w:t>2 00000</w:t>
      </w:r>
    </w:p>
    <w:p>
      <w:pPr>
        <w:spacing w:after="0" w:line="288" w:lineRule="exact"/>
        <w:rPr>
          <w:sz w:val="20"/>
          <w:szCs w:val="20"/>
          <w:color w:val="auto"/>
        </w:rPr>
      </w:pPr>
    </w:p>
    <w:p>
      <w:pPr>
        <w:ind w:left="40"/>
        <w:spacing w:after="0"/>
        <w:rPr>
          <w:sz w:val="20"/>
          <w:szCs w:val="20"/>
          <w:color w:val="auto"/>
        </w:rPr>
      </w:pPr>
      <w:r>
        <w:rPr>
          <w:rFonts w:ascii="Times New Roman" w:cs="Times New Roman" w:eastAsia="Times New Roman" w:hAnsi="Times New Roman"/>
          <w:sz w:val="8"/>
          <w:szCs w:val="8"/>
          <w:color w:val="auto"/>
        </w:rPr>
        <w:t>1 00000</w:t>
      </w:r>
    </w:p>
    <w:p>
      <w:pPr>
        <w:spacing w:after="0" w:line="288" w:lineRule="exact"/>
        <w:rPr>
          <w:sz w:val="20"/>
          <w:szCs w:val="20"/>
          <w:color w:val="auto"/>
        </w:rPr>
      </w:pPr>
    </w:p>
    <w:p>
      <w:pPr>
        <w:ind w:left="40"/>
        <w:spacing w:after="0"/>
        <w:rPr>
          <w:sz w:val="20"/>
          <w:szCs w:val="20"/>
          <w:color w:val="auto"/>
        </w:rPr>
      </w:pPr>
      <w:r>
        <w:rPr>
          <w:rFonts w:ascii="Times New Roman" w:cs="Times New Roman" w:eastAsia="Times New Roman" w:hAnsi="Times New Roman"/>
          <w:sz w:val="8"/>
          <w:szCs w:val="8"/>
          <w:color w:val="auto"/>
        </w:rPr>
        <w:t>0 00000</w:t>
      </w:r>
    </w:p>
    <w:p>
      <w:pPr>
        <w:spacing w:after="0" w:line="288" w:lineRule="exact"/>
        <w:rPr>
          <w:sz w:val="20"/>
          <w:szCs w:val="20"/>
          <w:color w:val="auto"/>
        </w:rPr>
      </w:pPr>
    </w:p>
    <w:p>
      <w:pPr>
        <w:spacing w:after="0"/>
        <w:rPr>
          <w:sz w:val="20"/>
          <w:szCs w:val="20"/>
          <w:color w:val="auto"/>
        </w:rPr>
      </w:pPr>
      <w:r>
        <w:rPr>
          <w:rFonts w:ascii="Times New Roman" w:cs="Times New Roman" w:eastAsia="Times New Roman" w:hAnsi="Times New Roman"/>
          <w:sz w:val="8"/>
          <w:szCs w:val="8"/>
          <w:color w:val="auto"/>
        </w:rPr>
        <w:t>-1 00000</w:t>
      </w:r>
    </w:p>
    <w:p>
      <w:pPr>
        <w:spacing w:after="0" w:line="288" w:lineRule="exact"/>
        <w:rPr>
          <w:sz w:val="20"/>
          <w:szCs w:val="20"/>
          <w:color w:val="auto"/>
        </w:rPr>
      </w:pPr>
    </w:p>
    <w:p>
      <w:pPr>
        <w:spacing w:after="0"/>
        <w:rPr>
          <w:sz w:val="20"/>
          <w:szCs w:val="20"/>
          <w:color w:val="auto"/>
        </w:rPr>
      </w:pPr>
      <w:r>
        <w:rPr>
          <w:rFonts w:ascii="Times New Roman" w:cs="Times New Roman" w:eastAsia="Times New Roman" w:hAnsi="Times New Roman"/>
          <w:sz w:val="8"/>
          <w:szCs w:val="8"/>
          <w:color w:val="auto"/>
        </w:rPr>
        <w:t>-2 00000</w:t>
      </w:r>
    </w:p>
    <w:p>
      <w:pPr>
        <w:spacing w:after="0" w:line="167" w:lineRule="exact"/>
        <w:rPr>
          <w:sz w:val="20"/>
          <w:szCs w:val="20"/>
          <w:color w:val="auto"/>
        </w:rPr>
      </w:pPr>
    </w:p>
    <w:p>
      <w:pPr>
        <w:jc w:val="right"/>
        <w:spacing w:after="0"/>
        <w:tabs>
          <w:tab w:leader="none" w:pos="1720" w:val="left"/>
          <w:tab w:leader="none" w:pos="1360" w:val="left"/>
          <w:tab w:leader="none" w:pos="980" w:val="left"/>
          <w:tab w:leader="none" w:pos="620" w:val="left"/>
          <w:tab w:leader="none" w:pos="240" w:val="left"/>
        </w:tabs>
        <w:rPr>
          <w:sz w:val="20"/>
          <w:szCs w:val="20"/>
          <w:color w:val="auto"/>
        </w:rPr>
      </w:pPr>
      <w:r>
        <w:rPr>
          <w:rFonts w:ascii="Times New Roman" w:cs="Times New Roman" w:eastAsia="Times New Roman" w:hAnsi="Times New Roman"/>
          <w:sz w:val="8"/>
          <w:szCs w:val="8"/>
          <w:color w:val="auto"/>
        </w:rPr>
        <w:t>-4 00000  -3 00000</w:t>
      </w:r>
      <w:r>
        <w:rPr>
          <w:sz w:val="20"/>
          <w:szCs w:val="20"/>
          <w:color w:val="auto"/>
        </w:rPr>
        <w:tab/>
      </w:r>
      <w:r>
        <w:rPr>
          <w:rFonts w:ascii="Times New Roman" w:cs="Times New Roman" w:eastAsia="Times New Roman" w:hAnsi="Times New Roman"/>
          <w:sz w:val="8"/>
          <w:szCs w:val="8"/>
          <w:color w:val="auto"/>
        </w:rPr>
        <w:t>-2 00000</w:t>
      </w:r>
      <w:r>
        <w:rPr>
          <w:sz w:val="20"/>
          <w:szCs w:val="20"/>
          <w:color w:val="auto"/>
        </w:rPr>
        <w:tab/>
      </w:r>
      <w:r>
        <w:rPr>
          <w:rFonts w:ascii="Times New Roman" w:cs="Times New Roman" w:eastAsia="Times New Roman" w:hAnsi="Times New Roman"/>
          <w:sz w:val="8"/>
          <w:szCs w:val="8"/>
          <w:color w:val="auto"/>
        </w:rPr>
        <w:t>-1 00000</w:t>
      </w:r>
      <w:r>
        <w:rPr>
          <w:sz w:val="20"/>
          <w:szCs w:val="20"/>
          <w:color w:val="auto"/>
        </w:rPr>
        <w:tab/>
      </w:r>
      <w:r>
        <w:rPr>
          <w:rFonts w:ascii="Times New Roman" w:cs="Times New Roman" w:eastAsia="Times New Roman" w:hAnsi="Times New Roman"/>
          <w:sz w:val="8"/>
          <w:szCs w:val="8"/>
          <w:color w:val="auto"/>
        </w:rPr>
        <w:t>0 00000</w:t>
      </w:r>
      <w:r>
        <w:rPr>
          <w:sz w:val="20"/>
          <w:szCs w:val="20"/>
          <w:color w:val="auto"/>
        </w:rPr>
        <w:tab/>
      </w:r>
      <w:r>
        <w:rPr>
          <w:rFonts w:ascii="Times New Roman" w:cs="Times New Roman" w:eastAsia="Times New Roman" w:hAnsi="Times New Roman"/>
          <w:sz w:val="8"/>
          <w:szCs w:val="8"/>
          <w:color w:val="auto"/>
        </w:rPr>
        <w:t>1 00000</w:t>
      </w:r>
      <w:r>
        <w:rPr>
          <w:sz w:val="20"/>
          <w:szCs w:val="20"/>
          <w:color w:val="auto"/>
        </w:rPr>
        <w:tab/>
      </w:r>
      <w:r>
        <w:rPr>
          <w:rFonts w:ascii="Times New Roman" w:cs="Times New Roman" w:eastAsia="Times New Roman" w:hAnsi="Times New Roman"/>
          <w:sz w:val="7"/>
          <w:szCs w:val="7"/>
          <w:color w:val="auto"/>
        </w:rPr>
        <w:t>2 00000</w:t>
      </w:r>
    </w:p>
    <w:p>
      <w:pPr>
        <w:spacing w:after="0" w:line="48" w:lineRule="exact"/>
        <w:rPr>
          <w:sz w:val="20"/>
          <w:szCs w:val="20"/>
          <w:color w:val="auto"/>
        </w:rPr>
      </w:pPr>
    </w:p>
    <w:p>
      <w:pPr>
        <w:ind w:left="1440"/>
        <w:spacing w:after="0"/>
        <w:rPr>
          <w:sz w:val="20"/>
          <w:szCs w:val="20"/>
          <w:color w:val="auto"/>
        </w:rPr>
      </w:pPr>
      <w:r>
        <w:rPr>
          <w:rFonts w:ascii="Times New Roman" w:cs="Times New Roman" w:eastAsia="Times New Roman" w:hAnsi="Times New Roman"/>
          <w:sz w:val="8"/>
          <w:szCs w:val="8"/>
          <w:b w:val="1"/>
          <w:bCs w:val="1"/>
          <w:color w:val="auto"/>
        </w:rPr>
        <w:t>Componente 1</w:t>
      </w:r>
    </w:p>
    <w:p>
      <w:pPr>
        <w:sectPr>
          <w:pgSz w:w="9360" w:h="13039" w:orient="portrait"/>
          <w:cols w:equalWidth="0" w:num="2">
            <w:col w:w="80" w:space="90"/>
            <w:col w:w="2820"/>
          </w:cols>
          <w:pgMar w:left="3109" w:top="906" w:right="3260" w:bottom="43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9" w:lineRule="exact"/>
        <w:rPr>
          <w:sz w:val="20"/>
          <w:szCs w:val="20"/>
          <w:color w:val="auto"/>
        </w:rPr>
      </w:pPr>
    </w:p>
    <w:tbl>
      <w:tblPr>
        <w:tblLayout w:type="fixed"/>
        <w:tblInd w:w="1450" w:type="dxa"/>
        <w:tblCellMar>
          <w:top w:w="0" w:type="dxa"/>
          <w:left w:w="0" w:type="dxa"/>
          <w:bottom w:w="0" w:type="dxa"/>
          <w:right w:w="0" w:type="dxa"/>
        </w:tblCellMar>
      </w:tblPr>
      <w:tr>
        <w:trPr>
          <w:trHeight w:val="237"/>
        </w:trPr>
        <w:tc>
          <w:tcPr>
            <w:tcW w:w="1720" w:type="dxa"/>
            <w:vAlign w:val="bottom"/>
            <w:tcBorders>
              <w:top w:val="single" w:sz="8" w:color="auto"/>
              <w:left w:val="single" w:sz="8" w:color="auto"/>
            </w:tcBorders>
          </w:tcPr>
          <w:p>
            <w:pPr>
              <w:ind w:left="340"/>
              <w:spacing w:after="0"/>
              <w:rPr>
                <w:sz w:val="20"/>
                <w:szCs w:val="20"/>
                <w:color w:val="auto"/>
              </w:rPr>
            </w:pPr>
            <w:r>
              <w:rPr>
                <w:rFonts w:ascii="Times New Roman" w:cs="Times New Roman" w:eastAsia="Times New Roman" w:hAnsi="Times New Roman"/>
                <w:sz w:val="16"/>
                <w:szCs w:val="16"/>
                <w:color w:val="auto"/>
              </w:rPr>
              <w:t>P. Sierra M (2733)</w:t>
            </w:r>
          </w:p>
        </w:tc>
        <w:tc>
          <w:tcPr>
            <w:tcW w:w="1700" w:type="dxa"/>
            <w:vAlign w:val="bottom"/>
            <w:tcBorders>
              <w:top w:val="single" w:sz="8" w:color="auto"/>
            </w:tcBorders>
          </w:tcPr>
          <w:p>
            <w:pPr>
              <w:ind w:left="260"/>
              <w:spacing w:after="0"/>
              <w:rPr>
                <w:sz w:val="20"/>
                <w:szCs w:val="20"/>
                <w:color w:val="auto"/>
              </w:rPr>
            </w:pPr>
            <w:r>
              <w:rPr>
                <w:rFonts w:ascii="Times New Roman" w:cs="Times New Roman" w:eastAsia="Times New Roman" w:hAnsi="Times New Roman"/>
                <w:sz w:val="16"/>
                <w:szCs w:val="16"/>
                <w:color w:val="auto"/>
              </w:rPr>
              <w:t>Nevado M (4200)</w:t>
            </w:r>
          </w:p>
        </w:tc>
        <w:tc>
          <w:tcPr>
            <w:tcW w:w="1480" w:type="dxa"/>
            <w:vAlign w:val="bottom"/>
            <w:tcBorders>
              <w:top w:val="single" w:sz="8" w:color="auto"/>
              <w:right w:val="single" w:sz="8" w:color="auto"/>
            </w:tcBorders>
          </w:tcPr>
          <w:p>
            <w:pPr>
              <w:ind w:left="300"/>
              <w:spacing w:after="0"/>
              <w:rPr>
                <w:sz w:val="20"/>
                <w:szCs w:val="20"/>
                <w:color w:val="auto"/>
              </w:rPr>
            </w:pPr>
            <w:r>
              <w:rPr>
                <w:rFonts w:ascii="Times New Roman" w:cs="Times New Roman" w:eastAsia="Times New Roman" w:hAnsi="Times New Roman"/>
                <w:sz w:val="16"/>
                <w:szCs w:val="16"/>
                <w:color w:val="auto"/>
              </w:rPr>
              <w:t>Mapa H (3200)</w:t>
            </w:r>
          </w:p>
        </w:tc>
      </w:tr>
      <w:tr>
        <w:trPr>
          <w:trHeight w:val="290"/>
        </w:trPr>
        <w:tc>
          <w:tcPr>
            <w:tcW w:w="1720" w:type="dxa"/>
            <w:vAlign w:val="bottom"/>
            <w:tcBorders>
              <w:left w:val="single" w:sz="8" w:color="auto"/>
              <w:bottom w:val="single" w:sz="8" w:color="auto"/>
            </w:tcBorders>
          </w:tcPr>
          <w:p>
            <w:pPr>
              <w:ind w:left="340"/>
              <w:spacing w:after="0"/>
              <w:rPr>
                <w:sz w:val="20"/>
                <w:szCs w:val="20"/>
                <w:color w:val="auto"/>
              </w:rPr>
            </w:pPr>
            <w:r>
              <w:rPr>
                <w:rFonts w:ascii="Times New Roman" w:cs="Times New Roman" w:eastAsia="Times New Roman" w:hAnsi="Times New Roman"/>
                <w:sz w:val="16"/>
                <w:szCs w:val="16"/>
                <w:color w:val="auto"/>
              </w:rPr>
              <w:t>Mapa M (3200)</w:t>
            </w:r>
          </w:p>
        </w:tc>
        <w:tc>
          <w:tcPr>
            <w:tcW w:w="1700" w:type="dxa"/>
            <w:vAlign w:val="bottom"/>
            <w:tcBorders>
              <w:bottom w:val="single" w:sz="8" w:color="auto"/>
            </w:tcBorders>
          </w:tcPr>
          <w:p>
            <w:pPr>
              <w:ind w:left="300"/>
              <w:spacing w:after="0"/>
              <w:rPr>
                <w:sz w:val="20"/>
                <w:szCs w:val="20"/>
                <w:color w:val="auto"/>
              </w:rPr>
            </w:pPr>
            <w:r>
              <w:rPr>
                <w:rFonts w:ascii="Times New Roman" w:cs="Times New Roman" w:eastAsia="Times New Roman" w:hAnsi="Times New Roman"/>
                <w:sz w:val="16"/>
                <w:szCs w:val="16"/>
                <w:color w:val="auto"/>
              </w:rPr>
              <w:t>P. Sierra H (2733)</w:t>
            </w:r>
          </w:p>
        </w:tc>
        <w:tc>
          <w:tcPr>
            <w:tcW w:w="1480" w:type="dxa"/>
            <w:vAlign w:val="bottom"/>
            <w:tcBorders>
              <w:bottom w:val="single" w:sz="8" w:color="auto"/>
              <w:right w:val="single" w:sz="8" w:color="auto"/>
            </w:tcBorders>
          </w:tcPr>
          <w:p>
            <w:pPr>
              <w:ind w:left="280"/>
              <w:spacing w:after="0"/>
              <w:rPr>
                <w:sz w:val="20"/>
                <w:szCs w:val="20"/>
                <w:color w:val="auto"/>
              </w:rPr>
            </w:pPr>
            <w:r>
              <w:rPr>
                <w:rFonts w:ascii="Times New Roman" w:cs="Times New Roman" w:eastAsia="Times New Roman" w:hAnsi="Times New Roman"/>
                <w:sz w:val="16"/>
                <w:szCs w:val="16"/>
                <w:color w:val="auto"/>
              </w:rPr>
              <w:t>Nevado H (4200)</w:t>
            </w:r>
          </w:p>
        </w:tc>
      </w:tr>
    </w:tbl>
    <w:p>
      <w:pPr>
        <w:spacing w:after="0" w:line="294" w:lineRule="exact"/>
        <w:rPr>
          <w:sz w:val="20"/>
          <w:szCs w:val="20"/>
          <w:color w:val="auto"/>
        </w:rPr>
      </w:pPr>
    </w:p>
    <w:p>
      <w:pPr>
        <w:spacing w:after="0" w:line="390" w:lineRule="auto"/>
        <w:rPr>
          <w:sz w:val="20"/>
          <w:szCs w:val="20"/>
          <w:color w:val="auto"/>
        </w:rPr>
      </w:pPr>
      <w:r>
        <w:rPr>
          <w:rFonts w:ascii="Times New Roman" w:cs="Times New Roman" w:eastAsia="Times New Roman" w:hAnsi="Times New Roman"/>
          <w:sz w:val="14"/>
          <w:szCs w:val="14"/>
          <w:color w:val="auto"/>
        </w:rPr>
        <w:t xml:space="preserve">acp para la forma de la cabeza de </w:t>
      </w:r>
      <w:r>
        <w:rPr>
          <w:rFonts w:ascii="Times New Roman" w:cs="Times New Roman" w:eastAsia="Times New Roman" w:hAnsi="Times New Roman"/>
          <w:sz w:val="14"/>
          <w:szCs w:val="14"/>
          <w:i w:val="1"/>
          <w:iCs w:val="1"/>
          <w:color w:val="auto"/>
        </w:rPr>
        <w:t>B. imbricata</w:t>
      </w:r>
      <w:r>
        <w:rPr>
          <w:rFonts w:ascii="Times New Roman" w:cs="Times New Roman" w:eastAsia="Times New Roman" w:hAnsi="Times New Roman"/>
          <w:sz w:val="14"/>
          <w:szCs w:val="14"/>
          <w:color w:val="auto"/>
        </w:rPr>
        <w:t xml:space="preserve"> con sus patrones descritos por las redes de deformación en cada extremo de los componentes (los números indican la altura sobre el nivel del mar; M: macho, H: hembra) (Fuente: Carmen, 2010).</w:t>
      </w:r>
    </w:p>
    <w:p>
      <w:pPr>
        <w:sectPr>
          <w:pgSz w:w="9360" w:h="13039" w:orient="portrait"/>
          <w:cols w:equalWidth="0" w:num="1">
            <w:col w:w="7200"/>
          </w:cols>
          <w:pgMar w:left="1080" w:top="906" w:right="1080" w:bottom="437" w:gutter="0" w:footer="0" w:header="0"/>
          <w:type w:val="continuous"/>
        </w:sectPr>
      </w:pPr>
    </w:p>
    <w:p>
      <w:pPr>
        <w:spacing w:after="0" w:line="200" w:lineRule="exact"/>
        <w:rPr>
          <w:sz w:val="20"/>
          <w:szCs w:val="20"/>
          <w:color w:val="auto"/>
        </w:rPr>
      </w:pPr>
    </w:p>
    <w:p>
      <w:pPr>
        <w:spacing w:after="0" w:line="315"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98" w:name="page99"/>
    <w:bookmarkEnd w:id="98"/>
    <w:p>
      <w:pPr>
        <w:spacing w:after="0"/>
        <w:tabs>
          <w:tab w:leader="none" w:pos="2040" w:val="left"/>
          <w:tab w:leader="none" w:pos="3180" w:val="left"/>
          <w:tab w:leader="none" w:pos="4340" w:val="left"/>
        </w:tabs>
        <w:rPr>
          <w:sz w:val="20"/>
          <w:szCs w:val="20"/>
          <w:color w:val="auto"/>
        </w:rPr>
      </w:pPr>
      <w:r>
        <w:rPr>
          <w:rFonts w:ascii="Arial Narrow" w:cs="Arial Narrow" w:eastAsia="Arial Narrow" w:hAnsi="Arial Narrow"/>
          <w:sz w:val="16"/>
          <w:szCs w:val="16"/>
          <w:color w:val="auto"/>
        </w:rPr>
        <w:t>98</w:t>
      </w:r>
      <w:r>
        <w:rPr>
          <w:sz w:val="20"/>
          <w:szCs w:val="20"/>
          <w:color w:val="auto"/>
        </w:rPr>
        <w:tab/>
      </w:r>
      <w:r>
        <w:rPr>
          <w:rFonts w:ascii="Arial Narrow" w:cs="Arial Narrow" w:eastAsia="Arial Narrow" w:hAnsi="Arial Narrow"/>
          <w:sz w:val="11"/>
          <w:szCs w:val="11"/>
          <w:color w:val="auto"/>
        </w:rPr>
        <w:t>carmen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cristóbal</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nava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1994535</wp:posOffset>
                </wp:positionH>
                <wp:positionV relativeFrom="paragraph">
                  <wp:posOffset>-76835</wp:posOffset>
                </wp:positionV>
                <wp:extent cx="0" cy="88900"/>
                <wp:wrapNone/>
                <wp:docPr id="228" name="Shape 22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28" o:spid="_x0000_s125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7.05pt,-6.0499pt" to="157.0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2738120</wp:posOffset>
                </wp:positionH>
                <wp:positionV relativeFrom="paragraph">
                  <wp:posOffset>-76835</wp:posOffset>
                </wp:positionV>
                <wp:extent cx="0" cy="88900"/>
                <wp:wrapNone/>
                <wp:docPr id="229" name="Shape 22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29" o:spid="_x0000_s125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5.6pt,-6.0499pt" to="215.6pt,0.95pt" o:allowincell="f" strokecolor="#000000" strokeweight="0.4pt"/>
            </w:pict>
          </mc:Fallback>
        </mc:AlternateContent>
      </w:r>
    </w:p>
    <w:p>
      <w:pPr>
        <w:spacing w:after="0" w:line="347" w:lineRule="exact"/>
        <w:rPr>
          <w:sz w:val="20"/>
          <w:szCs w:val="20"/>
          <w:color w:val="auto"/>
        </w:rPr>
      </w:pPr>
    </w:p>
    <w:p>
      <w:pPr>
        <w:jc w:val="both"/>
        <w:ind w:firstLine="360"/>
        <w:spacing w:after="0" w:line="308" w:lineRule="auto"/>
        <w:rPr>
          <w:sz w:val="20"/>
          <w:szCs w:val="20"/>
          <w:color w:val="auto"/>
        </w:rPr>
      </w:pPr>
      <w:r>
        <w:rPr>
          <w:rFonts w:ascii="Times New Roman" w:cs="Times New Roman" w:eastAsia="Times New Roman" w:hAnsi="Times New Roman"/>
          <w:sz w:val="22"/>
          <w:szCs w:val="22"/>
          <w:color w:val="auto"/>
        </w:rPr>
        <w:t>A través de las redes de deformación (figura 9) se nota que en la población del Parque Sierra los machos tienen ensanchada la región del hocico por la zona frontal; mientras que en las hembras esta región está más redondeada. Para la población de El Mapa, las hembras también presentan la misma región de la cabeza redondeada. Para el Nevado existe una diferencia más clara, ya que los machos tienen la cabeza más ancha y las hembras el hocico más delgado.</w:t>
      </w:r>
    </w:p>
    <w:p>
      <w:pPr>
        <w:spacing w:after="0" w:line="200" w:lineRule="exact"/>
        <w:rPr>
          <w:sz w:val="20"/>
          <w:szCs w:val="20"/>
          <w:color w:val="auto"/>
        </w:rPr>
      </w:pPr>
    </w:p>
    <w:p>
      <w:pPr>
        <w:spacing w:after="0" w:line="235" w:lineRule="exact"/>
        <w:rPr>
          <w:sz w:val="20"/>
          <w:szCs w:val="20"/>
          <w:color w:val="auto"/>
        </w:rPr>
      </w:pPr>
    </w:p>
    <w:p>
      <w:pPr>
        <w:ind w:left="3320"/>
        <w:spacing w:after="0"/>
        <w:rPr>
          <w:sz w:val="20"/>
          <w:szCs w:val="20"/>
          <w:color w:val="auto"/>
        </w:rPr>
      </w:pPr>
      <w:r>
        <w:rPr>
          <w:rFonts w:ascii="Times New Roman" w:cs="Times New Roman" w:eastAsia="Times New Roman" w:hAnsi="Times New Roman"/>
          <w:sz w:val="18"/>
          <w:szCs w:val="18"/>
          <w:i w:val="1"/>
          <w:iCs w:val="1"/>
          <w:color w:val="auto"/>
        </w:rPr>
        <w:t>Figura 9</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96520</wp:posOffset>
            </wp:positionV>
            <wp:extent cx="4574540" cy="4024630"/>
            <wp:wrapNone/>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51">
                      <a:extLst>
                        <a:ext uri="{28A0092B-C50C-407E-A947-70E740481C1C}"/>
                      </a:extLst>
                    </a:blip>
                    <a:srcRect/>
                    <a:stretch>
                      <a:fillRect/>
                    </a:stretch>
                  </pic:blipFill>
                  <pic:spPr bwMode="auto">
                    <a:xfrm>
                      <a:off x="0" y="0"/>
                      <a:ext cx="4574540" cy="4024630"/>
                    </a:xfrm>
                    <a:prstGeom prst="rect">
                      <a:avLst/>
                    </a:prstGeom>
                    <a:noFill/>
                  </pic:spPr>
                </pic:pic>
              </a:graphicData>
            </a:graphic>
          </wp:anchor>
        </w:drawing>
      </w:r>
    </w:p>
    <w:p>
      <w:pPr>
        <w:spacing w:after="0" w:line="200" w:lineRule="exact"/>
        <w:rPr>
          <w:sz w:val="20"/>
          <w:szCs w:val="20"/>
          <w:color w:val="auto"/>
        </w:rPr>
      </w:pPr>
    </w:p>
    <w:p>
      <w:pPr>
        <w:spacing w:after="0" w:line="268" w:lineRule="exact"/>
        <w:rPr>
          <w:sz w:val="20"/>
          <w:szCs w:val="20"/>
          <w:color w:val="auto"/>
        </w:rPr>
      </w:pPr>
    </w:p>
    <w:p>
      <w:pPr>
        <w:ind w:left="220"/>
        <w:spacing w:after="0"/>
        <w:rPr>
          <w:sz w:val="20"/>
          <w:szCs w:val="20"/>
          <w:color w:val="auto"/>
        </w:rPr>
      </w:pPr>
      <w:r>
        <w:rPr>
          <w:rFonts w:ascii="Times New Roman" w:cs="Times New Roman" w:eastAsia="Times New Roman" w:hAnsi="Times New Roman"/>
          <w:sz w:val="16"/>
          <w:szCs w:val="16"/>
          <w:b w:val="1"/>
          <w:bCs w:val="1"/>
          <w:color w:val="auto"/>
        </w:rPr>
        <w:t>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3" w:lineRule="exact"/>
        <w:rPr>
          <w:sz w:val="20"/>
          <w:szCs w:val="20"/>
          <w:color w:val="auto"/>
        </w:rPr>
      </w:pPr>
    </w:p>
    <w:p>
      <w:pPr>
        <w:ind w:left="220"/>
        <w:spacing w:after="0"/>
        <w:rPr>
          <w:sz w:val="20"/>
          <w:szCs w:val="20"/>
          <w:color w:val="auto"/>
        </w:rPr>
      </w:pPr>
      <w:r>
        <w:rPr>
          <w:rFonts w:ascii="Times New Roman" w:cs="Times New Roman" w:eastAsia="Times New Roman" w:hAnsi="Times New Roman"/>
          <w:sz w:val="16"/>
          <w:szCs w:val="16"/>
          <w:b w:val="1"/>
          <w:bCs w:val="1"/>
          <w:color w:val="auto"/>
        </w:rPr>
        <w:t>B</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7" w:lineRule="exact"/>
        <w:rPr>
          <w:sz w:val="20"/>
          <w:szCs w:val="20"/>
          <w:color w:val="auto"/>
        </w:rPr>
      </w:pPr>
    </w:p>
    <w:p>
      <w:pPr>
        <w:ind w:left="220"/>
        <w:spacing w:after="0"/>
        <w:rPr>
          <w:sz w:val="20"/>
          <w:szCs w:val="20"/>
          <w:color w:val="auto"/>
        </w:rPr>
      </w:pPr>
      <w:r>
        <w:rPr>
          <w:rFonts w:ascii="Times New Roman" w:cs="Times New Roman" w:eastAsia="Times New Roman" w:hAnsi="Times New Roman"/>
          <w:sz w:val="16"/>
          <w:szCs w:val="16"/>
          <w:b w:val="1"/>
          <w:bCs w:val="1"/>
          <w:color w:val="auto"/>
        </w:rPr>
        <w:t>C</w:t>
      </w:r>
    </w:p>
    <w:p>
      <w:pPr>
        <w:spacing w:after="0" w:line="200" w:lineRule="exact"/>
        <w:rPr>
          <w:sz w:val="20"/>
          <w:szCs w:val="20"/>
          <w:color w:val="auto"/>
        </w:rPr>
      </w:pPr>
    </w:p>
    <w:p>
      <w:pPr>
        <w:spacing w:after="0" w:line="200" w:lineRule="exact"/>
        <w:rPr>
          <w:sz w:val="20"/>
          <w:szCs w:val="20"/>
          <w:color w:val="auto"/>
        </w:rPr>
      </w:pPr>
    </w:p>
    <w:p>
      <w:pPr>
        <w:spacing w:after="0" w:line="218" w:lineRule="exact"/>
        <w:rPr>
          <w:sz w:val="20"/>
          <w:szCs w:val="20"/>
          <w:color w:val="auto"/>
        </w:rPr>
      </w:pPr>
    </w:p>
    <w:p>
      <w:pPr>
        <w:ind w:left="1960"/>
        <w:spacing w:after="0"/>
        <w:tabs>
          <w:tab w:leader="none" w:pos="5340" w:val="left"/>
        </w:tabs>
        <w:rPr>
          <w:sz w:val="20"/>
          <w:szCs w:val="20"/>
          <w:color w:val="auto"/>
        </w:rPr>
      </w:pPr>
      <w:r>
        <w:rPr>
          <w:rFonts w:ascii="Times New Roman" w:cs="Times New Roman" w:eastAsia="Times New Roman" w:hAnsi="Times New Roman"/>
          <w:sz w:val="16"/>
          <w:szCs w:val="16"/>
          <w:b w:val="1"/>
          <w:bCs w:val="1"/>
          <w:color w:val="auto"/>
        </w:rPr>
        <w:t>H</w:t>
      </w:r>
      <w:r>
        <w:rPr>
          <w:sz w:val="20"/>
          <w:szCs w:val="20"/>
          <w:color w:val="auto"/>
        </w:rPr>
        <w:tab/>
      </w:r>
      <w:r>
        <w:rPr>
          <w:rFonts w:ascii="Times New Roman" w:cs="Times New Roman" w:eastAsia="Times New Roman" w:hAnsi="Times New Roman"/>
          <w:sz w:val="16"/>
          <w:szCs w:val="16"/>
          <w:b w:val="1"/>
          <w:bCs w:val="1"/>
          <w:color w:val="auto"/>
        </w:rPr>
        <w:t>M</w:t>
      </w:r>
    </w:p>
    <w:p>
      <w:pPr>
        <w:spacing w:after="0" w:line="277" w:lineRule="exact"/>
        <w:rPr>
          <w:sz w:val="20"/>
          <w:szCs w:val="20"/>
          <w:color w:val="auto"/>
        </w:rPr>
      </w:pPr>
    </w:p>
    <w:p>
      <w:pPr>
        <w:jc w:val="both"/>
        <w:ind w:left="20"/>
        <w:spacing w:after="0" w:line="299" w:lineRule="auto"/>
        <w:rPr>
          <w:sz w:val="20"/>
          <w:szCs w:val="20"/>
          <w:color w:val="auto"/>
        </w:rPr>
      </w:pPr>
      <w:r>
        <w:rPr>
          <w:rFonts w:ascii="Times New Roman" w:cs="Times New Roman" w:eastAsia="Times New Roman" w:hAnsi="Times New Roman"/>
          <w:sz w:val="16"/>
          <w:szCs w:val="16"/>
          <w:color w:val="auto"/>
        </w:rPr>
        <w:t xml:space="preserve">Redes de deformación de la forma de la cabeza de </w:t>
      </w:r>
      <w:r>
        <w:rPr>
          <w:rFonts w:ascii="Times New Roman" w:cs="Times New Roman" w:eastAsia="Times New Roman" w:hAnsi="Times New Roman"/>
          <w:sz w:val="16"/>
          <w:szCs w:val="16"/>
          <w:i w:val="1"/>
          <w:iCs w:val="1"/>
          <w:color w:val="auto"/>
        </w:rPr>
        <w:t>B. imbricata</w:t>
      </w:r>
      <w:r>
        <w:rPr>
          <w:rFonts w:ascii="Times New Roman" w:cs="Times New Roman" w:eastAsia="Times New Roman" w:hAnsi="Times New Roman"/>
          <w:sz w:val="16"/>
          <w:szCs w:val="16"/>
          <w:color w:val="auto"/>
        </w:rPr>
        <w:t xml:space="preserve"> entre machos y hembras de las tres localidades. La configuración de los puntos y sus uniones reflejan la forma de la cabeza (A: Parque Sierra, B: El Mapa, C: Nevado; M: macho, H: hembra) (Fuente: Carmen, 2010).</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67"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31" name="Shape 23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31" o:spid="_x0000_s125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32" name="Shape 23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32" o:spid="_x0000_s125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33" name="Shape 23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33" o:spid="_x0000_s125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99" w:name="page100"/>
    <w:bookmarkEnd w:id="99"/>
    <w:tbl>
      <w:tblPr>
        <w:tblLayout w:type="fixed"/>
        <w:tblInd w:w="1580" w:type="dxa"/>
        <w:tblCellMar>
          <w:top w:w="0" w:type="dxa"/>
          <w:left w:w="0" w:type="dxa"/>
          <w:bottom w:w="0" w:type="dxa"/>
          <w:right w:w="0" w:type="dxa"/>
        </w:tblCellMar>
      </w:tblPr>
      <w:tr>
        <w:trPr>
          <w:trHeight w:val="222"/>
        </w:trPr>
        <w:tc>
          <w:tcPr>
            <w:tcW w:w="4760" w:type="dxa"/>
            <w:vAlign w:val="bottom"/>
          </w:tcPr>
          <w:p>
            <w:pPr>
              <w:spacing w:after="0"/>
              <w:rPr>
                <w:sz w:val="20"/>
                <w:szCs w:val="20"/>
                <w:color w:val="auto"/>
              </w:rPr>
            </w:pPr>
            <w:r>
              <w:rPr>
                <w:rFonts w:ascii="Arial Narrow" w:cs="Arial Narrow" w:eastAsia="Arial Narrow" w:hAnsi="Arial Narrow"/>
                <w:sz w:val="11"/>
                <w:szCs w:val="11"/>
                <w:color w:val="auto"/>
              </w:rPr>
              <w:t xml:space="preserve">morfología geométrica de las escamas cefálicas en </w:t>
            </w:r>
            <w:r>
              <w:rPr>
                <w:rFonts w:ascii="Arial Narrow" w:cs="Arial Narrow" w:eastAsia="Arial Narrow" w:hAnsi="Arial Narrow"/>
                <w:sz w:val="11"/>
                <w:szCs w:val="11"/>
                <w:i w:val="1"/>
                <w:iCs w:val="1"/>
                <w:color w:val="auto"/>
              </w:rPr>
              <w:t>barisia imbricata</w:t>
            </w:r>
          </w:p>
        </w:tc>
        <w:tc>
          <w:tcPr>
            <w:tcW w:w="860" w:type="dxa"/>
            <w:vAlign w:val="bottom"/>
          </w:tcPr>
          <w:p>
            <w:pPr>
              <w:jc w:val="right"/>
              <w:spacing w:after="0"/>
              <w:rPr>
                <w:sz w:val="20"/>
                <w:szCs w:val="20"/>
                <w:color w:val="auto"/>
              </w:rPr>
            </w:pPr>
            <w:r>
              <w:rPr>
                <w:rFonts w:ascii="Arial Narrow" w:cs="Arial Narrow" w:eastAsia="Arial Narrow" w:hAnsi="Arial Narrow"/>
                <w:sz w:val="16"/>
                <w:szCs w:val="16"/>
                <w:color w:val="auto"/>
              </w:rPr>
              <w:t>99</w:t>
            </w:r>
          </w:p>
        </w:tc>
      </w:tr>
    </w:tbl>
    <w:p>
      <w:pPr>
        <w:spacing w:after="0" w:line="200" w:lineRule="exact"/>
        <w:rPr>
          <w:sz w:val="20"/>
          <w:szCs w:val="20"/>
          <w:color w:val="auto"/>
        </w:rPr>
      </w:pPr>
    </w:p>
    <w:p>
      <w:pPr>
        <w:spacing w:after="0" w:line="309"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Discusión</w:t>
      </w:r>
    </w:p>
    <w:p>
      <w:pPr>
        <w:spacing w:after="0" w:line="367" w:lineRule="exact"/>
        <w:rPr>
          <w:sz w:val="20"/>
          <w:szCs w:val="20"/>
          <w:color w:val="auto"/>
        </w:rPr>
      </w:pPr>
    </w:p>
    <w:p>
      <w:pPr>
        <w:jc w:val="both"/>
        <w:spacing w:after="0" w:line="323" w:lineRule="auto"/>
        <w:rPr>
          <w:sz w:val="20"/>
          <w:szCs w:val="20"/>
          <w:color w:val="auto"/>
        </w:rPr>
      </w:pPr>
      <w:r>
        <w:rPr>
          <w:rFonts w:ascii="Times New Roman" w:cs="Times New Roman" w:eastAsia="Times New Roman" w:hAnsi="Times New Roman"/>
          <w:sz w:val="20"/>
          <w:szCs w:val="20"/>
          <w:color w:val="auto"/>
        </w:rPr>
        <w:t xml:space="preserve">La anatomía de las escamas cefálicas de las lagartijas muestra una organización geométrica clara, que fácilmente es investigada mediante la morfometría basada en </w:t>
      </w:r>
      <w:r>
        <w:rPr>
          <w:rFonts w:ascii="Times New Roman" w:cs="Times New Roman" w:eastAsia="Times New Roman" w:hAnsi="Times New Roman"/>
          <w:sz w:val="20"/>
          <w:szCs w:val="20"/>
          <w:i w:val="1"/>
          <w:iCs w:val="1"/>
          <w:color w:val="auto"/>
        </w:rPr>
        <w:t>landmarks</w:t>
      </w:r>
      <w:r>
        <w:rPr>
          <w:rFonts w:ascii="Times New Roman" w:cs="Times New Roman" w:eastAsia="Times New Roman" w:hAnsi="Times New Roman"/>
          <w:sz w:val="20"/>
          <w:szCs w:val="20"/>
          <w:color w:val="auto"/>
        </w:rPr>
        <w:t>. Las diferencias halladas en el estudio son mínimas y sólo con la ayuda de la</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 xml:space="preserve">morfología geométrica se pudieron encontrar, pues es una herramienta fundamental para la detección de diferencias a pequeña escala, porque, como dicen Kaliontzopoulou </w:t>
      </w:r>
      <w:r>
        <w:rPr>
          <w:rFonts w:ascii="Times New Roman" w:cs="Times New Roman" w:eastAsia="Times New Roman" w:hAnsi="Times New Roman"/>
          <w:sz w:val="20"/>
          <w:szCs w:val="20"/>
          <w:i w:val="1"/>
          <w:iCs w:val="1"/>
          <w:color w:val="auto"/>
        </w:rPr>
        <w:t xml:space="preserve">et al. </w:t>
      </w:r>
      <w:r>
        <w:rPr>
          <w:rFonts w:ascii="Times New Roman" w:cs="Times New Roman" w:eastAsia="Times New Roman" w:hAnsi="Times New Roman"/>
          <w:sz w:val="20"/>
          <w:szCs w:val="20"/>
          <w:color w:val="auto"/>
        </w:rPr>
        <w:t>(2007), permite la discriminación de poblaciones estrechamente relacionadas</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 xml:space="preserve">mucho mejor que usando métodos multivariados, además de que es capaz de cuantificar y visualizar los cambios de la forma asociando la funcionalidad y la importancia de los caracteres; también brinda una explicación atribuida a hipótesis biológicas, tales como factores ecológicos (Zelditch </w:t>
      </w:r>
      <w:r>
        <w:rPr>
          <w:rFonts w:ascii="Times New Roman" w:cs="Times New Roman" w:eastAsia="Times New Roman" w:hAnsi="Times New Roman"/>
          <w:sz w:val="20"/>
          <w:szCs w:val="20"/>
          <w:i w:val="1"/>
          <w:iCs w:val="1"/>
          <w:color w:val="auto"/>
        </w:rPr>
        <w:t>et al.,</w:t>
      </w:r>
      <w:r>
        <w:rPr>
          <w:rFonts w:ascii="Times New Roman" w:cs="Times New Roman" w:eastAsia="Times New Roman" w:hAnsi="Times New Roman"/>
          <w:sz w:val="20"/>
          <w:szCs w:val="20"/>
          <w:color w:val="auto"/>
        </w:rPr>
        <w:t xml:space="preserve"> 2004).</w:t>
      </w:r>
    </w:p>
    <w:p>
      <w:pPr>
        <w:spacing w:after="0" w:line="5" w:lineRule="exact"/>
        <w:rPr>
          <w:sz w:val="20"/>
          <w:szCs w:val="20"/>
          <w:color w:val="auto"/>
        </w:rPr>
      </w:pPr>
    </w:p>
    <w:p>
      <w:pPr>
        <w:jc w:val="both"/>
        <w:ind w:firstLine="360"/>
        <w:spacing w:after="0" w:line="308" w:lineRule="auto"/>
        <w:rPr>
          <w:sz w:val="20"/>
          <w:szCs w:val="20"/>
          <w:color w:val="auto"/>
        </w:rPr>
      </w:pPr>
      <w:r>
        <w:rPr>
          <w:rFonts w:ascii="Times New Roman" w:cs="Times New Roman" w:eastAsia="Times New Roman" w:hAnsi="Times New Roman"/>
          <w:sz w:val="21"/>
          <w:szCs w:val="21"/>
          <w:color w:val="auto"/>
        </w:rPr>
        <w:t xml:space="preserve">No se advirtieron diferencias significativas en las escamas dorsales y ventrales ni en la forma de la cabeza de </w:t>
      </w:r>
      <w:r>
        <w:rPr>
          <w:rFonts w:ascii="Times New Roman" w:cs="Times New Roman" w:eastAsia="Times New Roman" w:hAnsi="Times New Roman"/>
          <w:sz w:val="21"/>
          <w:szCs w:val="21"/>
          <w:i w:val="1"/>
          <w:iCs w:val="1"/>
          <w:color w:val="auto"/>
        </w:rPr>
        <w:t>B. imbricata</w:t>
      </w:r>
      <w:r>
        <w:rPr>
          <w:rFonts w:ascii="Times New Roman" w:cs="Times New Roman" w:eastAsia="Times New Roman" w:hAnsi="Times New Roman"/>
          <w:sz w:val="21"/>
          <w:szCs w:val="21"/>
          <w:color w:val="auto"/>
        </w:rPr>
        <w:t xml:space="preserve"> en las tres áreas de estudio puesto que no hay entidades o morfotipos definidos dentro de dichas zonas, a pesar de que éstas se encuentran a diferente altitud y las condiciones ecológicas son distintas. En las escamas laterales al realizar la F de Goodall (</w:t>
      </w: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1"/>
          <w:szCs w:val="21"/>
          <w:color w:val="auto"/>
        </w:rPr>
        <w:t xml:space="preserve"> = 1.5831,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 0.0250) se evidenció que sí existen diferencias significativas entre el Parque Sierra y El Mapa. Estos resultados difieren con lo encontrado por Vitt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xml:space="preserve"> (1997), quienes observaron que las lagartijas </w:t>
      </w:r>
      <w:r>
        <w:rPr>
          <w:rFonts w:ascii="Times New Roman" w:cs="Times New Roman" w:eastAsia="Times New Roman" w:hAnsi="Times New Roman"/>
          <w:sz w:val="21"/>
          <w:szCs w:val="21"/>
          <w:i w:val="1"/>
          <w:iCs w:val="1"/>
          <w:color w:val="auto"/>
        </w:rPr>
        <w:t xml:space="preserve">Tropidurus hispidus </w:t>
      </w:r>
      <w:r>
        <w:rPr>
          <w:rFonts w:ascii="Times New Roman" w:cs="Times New Roman" w:eastAsia="Times New Roman" w:hAnsi="Times New Roman"/>
          <w:sz w:val="21"/>
          <w:szCs w:val="21"/>
          <w:color w:val="auto"/>
        </w:rPr>
        <w:t>que son cercanas geográficamente presentan variación morfológica</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 xml:space="preserve">como respuesta a las características del hábitat. Pulcini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xml:space="preserve"> (2008) exponen que la variación es fundamental para el cambio evolutivo, que puede originarse del fenotipo y el genotipo, donde el ambiente es reconocido como una fuerza moldeadora de la forma y función de los organismos, ya que éstos son resultado de todas las presiones selectivas dadas por lo factores bióticos y abióticos.</w:t>
      </w:r>
    </w:p>
    <w:p>
      <w:pPr>
        <w:spacing w:after="0" w:line="1" w:lineRule="exact"/>
        <w:rPr>
          <w:sz w:val="20"/>
          <w:szCs w:val="20"/>
          <w:color w:val="auto"/>
        </w:rPr>
      </w:pPr>
    </w:p>
    <w:p>
      <w:pPr>
        <w:jc w:val="both"/>
        <w:ind w:firstLine="360"/>
        <w:spacing w:after="0" w:line="317" w:lineRule="auto"/>
        <w:rPr>
          <w:sz w:val="20"/>
          <w:szCs w:val="20"/>
          <w:color w:val="auto"/>
        </w:rPr>
      </w:pPr>
      <w:r>
        <w:rPr>
          <w:rFonts w:ascii="Times New Roman" w:cs="Times New Roman" w:eastAsia="Times New Roman" w:hAnsi="Times New Roman"/>
          <w:sz w:val="21"/>
          <w:szCs w:val="21"/>
          <w:color w:val="auto"/>
        </w:rPr>
        <w:t xml:space="preserve">En trabajos realizados acerca del dimorfismo sexual en la escamas craneales usando la morfología geométrica, se ha encontrado en lagartijas de la familia Lacertidae que los machos tienen cabezas más robustas; mientras que las hembras presentan una cabeza más redondeada (Bruner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xml:space="preserve">., 2005; Kaliontzopoulou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2007). Sin embargo, comparando con el presente estudio, no se hallaron evidencias significativas estadísticamente, aunque sí cierta tendencia a presentar dichos patrones de dimorfismo sexual en las escamas cefálicas.</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22"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100" w:name="page101"/>
    <w:bookmarkEnd w:id="100"/>
    <w:p>
      <w:pPr>
        <w:spacing w:after="0"/>
        <w:tabs>
          <w:tab w:leader="none" w:pos="2040" w:val="left"/>
          <w:tab w:leader="none" w:pos="3180" w:val="left"/>
          <w:tab w:leader="none" w:pos="4340" w:val="left"/>
        </w:tabs>
        <w:rPr>
          <w:sz w:val="20"/>
          <w:szCs w:val="20"/>
          <w:color w:val="auto"/>
        </w:rPr>
      </w:pPr>
      <w:r>
        <w:rPr>
          <w:rFonts w:ascii="Arial Narrow" w:cs="Arial Narrow" w:eastAsia="Arial Narrow" w:hAnsi="Arial Narrow"/>
          <w:sz w:val="16"/>
          <w:szCs w:val="16"/>
          <w:color w:val="auto"/>
        </w:rPr>
        <w:t>100</w:t>
      </w:r>
      <w:r>
        <w:rPr>
          <w:sz w:val="20"/>
          <w:szCs w:val="20"/>
          <w:color w:val="auto"/>
        </w:rPr>
        <w:tab/>
      </w:r>
      <w:r>
        <w:rPr>
          <w:rFonts w:ascii="Arial Narrow" w:cs="Arial Narrow" w:eastAsia="Arial Narrow" w:hAnsi="Arial Narrow"/>
          <w:sz w:val="11"/>
          <w:szCs w:val="11"/>
          <w:color w:val="auto"/>
        </w:rPr>
        <w:t>carmen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cristóbal</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nava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1994535</wp:posOffset>
                </wp:positionH>
                <wp:positionV relativeFrom="paragraph">
                  <wp:posOffset>-76835</wp:posOffset>
                </wp:positionV>
                <wp:extent cx="0" cy="88900"/>
                <wp:wrapNone/>
                <wp:docPr id="234" name="Shape 23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34" o:spid="_x0000_s125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7.05pt,-6.0499pt" to="157.0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2738120</wp:posOffset>
                </wp:positionH>
                <wp:positionV relativeFrom="paragraph">
                  <wp:posOffset>-76835</wp:posOffset>
                </wp:positionV>
                <wp:extent cx="0" cy="88900"/>
                <wp:wrapNone/>
                <wp:docPr id="235" name="Shape 23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35" o:spid="_x0000_s126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5.6pt,-6.0499pt" to="215.6pt,0.95pt" o:allowincell="f" strokecolor="#000000" strokeweight="0.4pt"/>
            </w:pict>
          </mc:Fallback>
        </mc:AlternateContent>
      </w:r>
    </w:p>
    <w:p>
      <w:pPr>
        <w:spacing w:after="0" w:line="347" w:lineRule="exact"/>
        <w:rPr>
          <w:sz w:val="20"/>
          <w:szCs w:val="20"/>
          <w:color w:val="auto"/>
        </w:rPr>
      </w:pPr>
    </w:p>
    <w:p>
      <w:pPr>
        <w:jc w:val="both"/>
        <w:ind w:firstLine="360"/>
        <w:spacing w:after="0" w:line="333" w:lineRule="auto"/>
        <w:rPr>
          <w:sz w:val="20"/>
          <w:szCs w:val="20"/>
          <w:color w:val="auto"/>
        </w:rPr>
      </w:pPr>
      <w:r>
        <w:rPr>
          <w:rFonts w:ascii="Times New Roman" w:cs="Times New Roman" w:eastAsia="Times New Roman" w:hAnsi="Times New Roman"/>
          <w:sz w:val="20"/>
          <w:szCs w:val="20"/>
          <w:color w:val="auto"/>
        </w:rPr>
        <w:t xml:space="preserve">Al realizar las comparaciones entre machos y hembras no hubo diferencias significativas en las escamas dorsales y ventrales ni en la forma de la cabeza para determinar un patrón de dimorfismo sexual evidente en las áreas de estudio, por lo que se sugiere que tanto machos como hembras de </w:t>
      </w:r>
      <w:r>
        <w:rPr>
          <w:rFonts w:ascii="Times New Roman" w:cs="Times New Roman" w:eastAsia="Times New Roman" w:hAnsi="Times New Roman"/>
          <w:sz w:val="20"/>
          <w:szCs w:val="20"/>
          <w:i w:val="1"/>
          <w:iCs w:val="1"/>
          <w:color w:val="auto"/>
        </w:rPr>
        <w:t>B. imbricata</w:t>
      </w:r>
      <w:r>
        <w:rPr>
          <w:rFonts w:ascii="Times New Roman" w:cs="Times New Roman" w:eastAsia="Times New Roman" w:hAnsi="Times New Roman"/>
          <w:sz w:val="20"/>
          <w:szCs w:val="20"/>
          <w:color w:val="auto"/>
        </w:rPr>
        <w:t xml:space="preserve"> están sometidos a la misma presión de selección, aun cuando en las escamas laterales se observó que sí existen diferencias entre machos y hembras de la localidad El Mapa. Además, como la competencia trófica suele ser un factor que afecta la morfología de las especies y las modificaciones morfológicas aparecen como un resultado de otro tipo de interacciones intra e interespecíficas (Kaliontzopoulou </w:t>
      </w:r>
      <w:r>
        <w:rPr>
          <w:rFonts w:ascii="Times New Roman" w:cs="Times New Roman" w:eastAsia="Times New Roman" w:hAnsi="Times New Roman"/>
          <w:sz w:val="20"/>
          <w:szCs w:val="20"/>
          <w:i w:val="1"/>
          <w:iCs w:val="1"/>
          <w:color w:val="auto"/>
        </w:rPr>
        <w:t>et al</w:t>
      </w:r>
      <w:r>
        <w:rPr>
          <w:rFonts w:ascii="Times New Roman" w:cs="Times New Roman" w:eastAsia="Times New Roman" w:hAnsi="Times New Roman"/>
          <w:sz w:val="20"/>
          <w:szCs w:val="20"/>
          <w:color w:val="auto"/>
        </w:rPr>
        <w:t>., 2007), se sugiere que en este lugar se da esa competencia. Las figuras 2 y 8 muestran una separación de los sexos en la población del Nevado; por tanto, una diferenciación en las escamas dorsales y forma de la cabeza, ya que los machos la tienen más ensanchada y, por supuesto, también presentan un ensanchamiento de las escamas en la región occipital, lo que contrasta con otras especies de lagartijas, en las que los machos tienden a presentar cabezas más largas y más anchas que las hembras a pesar de presentar tallas similares (Anderson y Vitt, 1990; Braña, 1996; Fairbairn, 1997); por ello sería importante ampliar el tamaño de muestra y definir los patrones de dimorfismo sexual.</w:t>
      </w:r>
    </w:p>
    <w:p>
      <w:pPr>
        <w:spacing w:after="0" w:line="15"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No encontrar diferencias significativas de dimorfismo sexual en las escamas (dorsales, ventrales y laterales) y forma de la cabeza de </w:t>
      </w:r>
      <w:r>
        <w:rPr>
          <w:rFonts w:ascii="Times New Roman" w:cs="Times New Roman" w:eastAsia="Times New Roman" w:hAnsi="Times New Roman"/>
          <w:sz w:val="22"/>
          <w:szCs w:val="22"/>
          <w:i w:val="1"/>
          <w:iCs w:val="1"/>
          <w:color w:val="auto"/>
        </w:rPr>
        <w:t>B. imbricata</w:t>
      </w:r>
      <w:r>
        <w:rPr>
          <w:rFonts w:ascii="Times New Roman" w:cs="Times New Roman" w:eastAsia="Times New Roman" w:hAnsi="Times New Roman"/>
          <w:sz w:val="22"/>
          <w:szCs w:val="22"/>
          <w:color w:val="auto"/>
        </w:rPr>
        <w:t xml:space="preserve"> es una evidencia más de que en esta especie no es destacable el diformismo, pues no está presente en la proporción de los dígitos 2D:4D (Malvaez, 2010), además de que no existe dimorfismo sexual en la velocidad de escape ni diferencias morfológicas entre las mismas poblaciones (Parque Sierra, El Mapa y Nevado) en la longitud de hocico-cloaca, antebrazo, radio, largo y ancho de la palma, fémur, tibia, y largo y ancho de la planta (Suárez, 2010).</w:t>
      </w:r>
    </w:p>
    <w:p>
      <w:pPr>
        <w:spacing w:after="0" w:line="5" w:lineRule="exact"/>
        <w:rPr>
          <w:sz w:val="20"/>
          <w:szCs w:val="20"/>
          <w:color w:val="auto"/>
        </w:rPr>
      </w:pPr>
    </w:p>
    <w:p>
      <w:pPr>
        <w:jc w:val="both"/>
        <w:ind w:firstLine="360"/>
        <w:spacing w:after="0" w:line="325" w:lineRule="auto"/>
        <w:rPr>
          <w:sz w:val="20"/>
          <w:szCs w:val="20"/>
          <w:color w:val="auto"/>
        </w:rPr>
      </w:pPr>
      <w:r>
        <w:rPr>
          <w:rFonts w:ascii="Times New Roman" w:cs="Times New Roman" w:eastAsia="Times New Roman" w:hAnsi="Times New Roman"/>
          <w:sz w:val="21"/>
          <w:szCs w:val="21"/>
          <w:color w:val="auto"/>
        </w:rPr>
        <w:t xml:space="preserve">Según otros estudios realizados en la cabeza de las lagartijas, como el de Herrel </w:t>
      </w:r>
      <w:r>
        <w:rPr>
          <w:rFonts w:ascii="Times New Roman" w:cs="Times New Roman" w:eastAsia="Times New Roman" w:hAnsi="Times New Roman"/>
          <w:sz w:val="21"/>
          <w:szCs w:val="21"/>
          <w:i w:val="1"/>
          <w:iCs w:val="1"/>
          <w:color w:val="auto"/>
        </w:rPr>
        <w:t xml:space="preserve">et al. </w:t>
      </w:r>
      <w:r>
        <w:rPr>
          <w:rFonts w:ascii="Times New Roman" w:cs="Times New Roman" w:eastAsia="Times New Roman" w:hAnsi="Times New Roman"/>
          <w:sz w:val="21"/>
          <w:szCs w:val="21"/>
          <w:color w:val="auto"/>
        </w:rPr>
        <w:t>(1999), muchos reptiles están sometidos a una fuerte selección natural, lo que</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conduce a la partición de nichos entre machos y hembras, siendo el principal factor la elección de un hábitat natural y sus beneficios. Butler y Lossos (2002) establecen que las especies pueden adaptarse en forma diferencial al ambiente según el sexo; en consecuencia, los machos y las hembras, así como su diferenciación morfométrica,</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42"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36" name="Shape 23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36" o:spid="_x0000_s126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37" name="Shape 23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37" o:spid="_x0000_s126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38" name="Shape 23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38" o:spid="_x0000_s126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01" w:name="page102"/>
    <w:bookmarkEnd w:id="101"/>
    <w:tbl>
      <w:tblPr>
        <w:tblLayout w:type="fixed"/>
        <w:tblInd w:w="1580" w:type="dxa"/>
        <w:tblCellMar>
          <w:top w:w="0" w:type="dxa"/>
          <w:left w:w="0" w:type="dxa"/>
          <w:bottom w:w="0" w:type="dxa"/>
          <w:right w:w="0" w:type="dxa"/>
        </w:tblCellMar>
      </w:tblPr>
      <w:tr>
        <w:trPr>
          <w:trHeight w:val="222"/>
        </w:trPr>
        <w:tc>
          <w:tcPr>
            <w:tcW w:w="4720" w:type="dxa"/>
            <w:vAlign w:val="bottom"/>
          </w:tcPr>
          <w:p>
            <w:pPr>
              <w:spacing w:after="0"/>
              <w:rPr>
                <w:sz w:val="20"/>
                <w:szCs w:val="20"/>
                <w:color w:val="auto"/>
              </w:rPr>
            </w:pPr>
            <w:r>
              <w:rPr>
                <w:rFonts w:ascii="Arial Narrow" w:cs="Arial Narrow" w:eastAsia="Arial Narrow" w:hAnsi="Arial Narrow"/>
                <w:sz w:val="11"/>
                <w:szCs w:val="11"/>
                <w:color w:val="auto"/>
              </w:rPr>
              <w:t xml:space="preserve">morfología geométrica de las escamas cefálicas en </w:t>
            </w:r>
            <w:r>
              <w:rPr>
                <w:rFonts w:ascii="Arial Narrow" w:cs="Arial Narrow" w:eastAsia="Arial Narrow" w:hAnsi="Arial Narrow"/>
                <w:sz w:val="11"/>
                <w:szCs w:val="11"/>
                <w:i w:val="1"/>
                <w:iCs w:val="1"/>
                <w:color w:val="auto"/>
              </w:rPr>
              <w:t>barisia imbricata</w:t>
            </w:r>
          </w:p>
        </w:tc>
        <w:tc>
          <w:tcPr>
            <w:tcW w:w="900" w:type="dxa"/>
            <w:vAlign w:val="bottom"/>
          </w:tcPr>
          <w:p>
            <w:pPr>
              <w:jc w:val="right"/>
              <w:spacing w:after="0"/>
              <w:rPr>
                <w:sz w:val="20"/>
                <w:szCs w:val="20"/>
                <w:color w:val="auto"/>
              </w:rPr>
            </w:pPr>
            <w:r>
              <w:rPr>
                <w:rFonts w:ascii="Arial Narrow" w:cs="Arial Narrow" w:eastAsia="Arial Narrow" w:hAnsi="Arial Narrow"/>
                <w:sz w:val="16"/>
                <w:szCs w:val="16"/>
                <w:color w:val="auto"/>
              </w:rPr>
              <w:t>101</w:t>
            </w:r>
          </w:p>
        </w:tc>
      </w:tr>
    </w:tbl>
    <w:p>
      <w:pPr>
        <w:spacing w:after="0" w:line="200" w:lineRule="exact"/>
        <w:rPr>
          <w:sz w:val="20"/>
          <w:szCs w:val="20"/>
          <w:color w:val="auto"/>
        </w:rPr>
      </w:pPr>
    </w:p>
    <w:p>
      <w:pPr>
        <w:spacing w:after="0" w:line="309"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 xml:space="preserve">pueden interactuar de manera distinta con el hábitat. En el presente estudio los machos y hembras de </w:t>
      </w:r>
      <w:r>
        <w:rPr>
          <w:rFonts w:ascii="Times New Roman" w:cs="Times New Roman" w:eastAsia="Times New Roman" w:hAnsi="Times New Roman"/>
          <w:sz w:val="22"/>
          <w:szCs w:val="22"/>
          <w:i w:val="1"/>
          <w:iCs w:val="1"/>
          <w:color w:val="auto"/>
        </w:rPr>
        <w:t>B. imbricata</w:t>
      </w:r>
      <w:r>
        <w:rPr>
          <w:rFonts w:ascii="Times New Roman" w:cs="Times New Roman" w:eastAsia="Times New Roman" w:hAnsi="Times New Roman"/>
          <w:sz w:val="22"/>
          <w:szCs w:val="22"/>
          <w:color w:val="auto"/>
        </w:rPr>
        <w:t xml:space="preserve"> siguen patrones muy similares en sus escamas cefálicas (dorsales y ventrales) y en la forma de la cabeza en las tres áreas de estudio, por lo que resulta difícil apoyar la idea de que los sexos actúan de manera distinta. No así para las escamas laterales de la población de El Mapa, que con la prueba estadística F de Goodall mostró diferencias significativas en las redes de deformación (figura 7), donde la altura de la cabeza es mayor en los machos y presenta una mayor distancia entre el borde de la escama rostral y la subocular; mientras que en las hembras la escama subocular es más alargada.</w:t>
      </w:r>
    </w:p>
    <w:p>
      <w:pPr>
        <w:spacing w:after="0" w:line="6"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 xml:space="preserve">El factor altitud no causó un efecto en el dimorfismo y morfología de esta especie, ya que en las tres zonas de estudio los ejemplares presentaron patrones similares. Aparentemente, </w:t>
      </w:r>
      <w:r>
        <w:rPr>
          <w:rFonts w:ascii="Times New Roman" w:cs="Times New Roman" w:eastAsia="Times New Roman" w:hAnsi="Times New Roman"/>
          <w:sz w:val="21"/>
          <w:szCs w:val="21"/>
          <w:i w:val="1"/>
          <w:iCs w:val="1"/>
          <w:color w:val="auto"/>
        </w:rPr>
        <w:t>B. imbricata</w:t>
      </w:r>
      <w:r>
        <w:rPr>
          <w:rFonts w:ascii="Times New Roman" w:cs="Times New Roman" w:eastAsia="Times New Roman" w:hAnsi="Times New Roman"/>
          <w:sz w:val="21"/>
          <w:szCs w:val="21"/>
          <w:color w:val="auto"/>
        </w:rPr>
        <w:t xml:space="preserve"> es una especie con distribución muy amplia y muy tolerante a los diversos ambientes y climas que predominan según la altitud (Zaldívar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2002). Se sugiere que</w:t>
      </w:r>
      <w:r>
        <w:rPr>
          <w:rFonts w:ascii="Times New Roman" w:cs="Times New Roman" w:eastAsia="Times New Roman" w:hAnsi="Times New Roman"/>
          <w:sz w:val="21"/>
          <w:szCs w:val="21"/>
          <w:i w:val="1"/>
          <w:iCs w:val="1"/>
          <w:color w:val="auto"/>
        </w:rPr>
        <w:t xml:space="preserve"> B. imbricata </w:t>
      </w:r>
      <w:r>
        <w:rPr>
          <w:rFonts w:ascii="Times New Roman" w:cs="Times New Roman" w:eastAsia="Times New Roman" w:hAnsi="Times New Roman"/>
          <w:sz w:val="21"/>
          <w:szCs w:val="21"/>
          <w:color w:val="auto"/>
        </w:rPr>
        <w:t>se adaptaría rápidamente a los distintos</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hábitat, los cuales no son tan diferentes, sin importar la altitud.</w:t>
      </w:r>
    </w:p>
    <w:p>
      <w:pPr>
        <w:jc w:val="both"/>
        <w:ind w:firstLine="360"/>
        <w:spacing w:after="0" w:line="333" w:lineRule="auto"/>
        <w:rPr>
          <w:sz w:val="20"/>
          <w:szCs w:val="20"/>
          <w:color w:val="auto"/>
        </w:rPr>
      </w:pPr>
      <w:r>
        <w:rPr>
          <w:rFonts w:ascii="Times New Roman" w:cs="Times New Roman" w:eastAsia="Times New Roman" w:hAnsi="Times New Roman"/>
          <w:sz w:val="20"/>
          <w:szCs w:val="20"/>
          <w:color w:val="auto"/>
        </w:rPr>
        <w:t>Las diferencias encontradas en otro ánguido (</w:t>
      </w:r>
      <w:r>
        <w:rPr>
          <w:rFonts w:ascii="Times New Roman" w:cs="Times New Roman" w:eastAsia="Times New Roman" w:hAnsi="Times New Roman"/>
          <w:sz w:val="20"/>
          <w:szCs w:val="20"/>
          <w:i w:val="1"/>
          <w:iCs w:val="1"/>
          <w:color w:val="auto"/>
        </w:rPr>
        <w:t>Mensaspis montícola</w:t>
      </w:r>
      <w:r>
        <w:rPr>
          <w:rFonts w:ascii="Times New Roman" w:cs="Times New Roman" w:eastAsia="Times New Roman" w:hAnsi="Times New Roman"/>
          <w:sz w:val="20"/>
          <w:szCs w:val="20"/>
          <w:color w:val="auto"/>
        </w:rPr>
        <w:t xml:space="preserve">) fueron exploradas en el contexto tanto de selección natural como sexual, donde Vial y Stewart (1989) exponen que la ausencia de dimorfismo en el tamaño total del cuerpo es el resultado de la selección natural que funciona para maximizar el potencial reproductor de las hembras. De acuerdo con el presente estudio, no hay evidencias de dimorfismo en la morfología de cabeza, por lo que se piensa que puede estar expresado en la coloración como una consecuencia de selección sexual. También existe la probabilidad de que machos y hembras de </w:t>
      </w:r>
      <w:r>
        <w:rPr>
          <w:rFonts w:ascii="Times New Roman" w:cs="Times New Roman" w:eastAsia="Times New Roman" w:hAnsi="Times New Roman"/>
          <w:sz w:val="20"/>
          <w:szCs w:val="20"/>
          <w:i w:val="1"/>
          <w:iCs w:val="1"/>
          <w:color w:val="auto"/>
        </w:rPr>
        <w:t>B. imbricata</w:t>
      </w:r>
      <w:r>
        <w:rPr>
          <w:rFonts w:ascii="Times New Roman" w:cs="Times New Roman" w:eastAsia="Times New Roman" w:hAnsi="Times New Roman"/>
          <w:sz w:val="20"/>
          <w:szCs w:val="20"/>
          <w:color w:val="auto"/>
        </w:rPr>
        <w:t xml:space="preserve"> tenga el mismo tipo de dieta, ya que no se observaron diferencias como las encontradas en las especies del género </w:t>
      </w:r>
      <w:r>
        <w:rPr>
          <w:rFonts w:ascii="Times New Roman" w:cs="Times New Roman" w:eastAsia="Times New Roman" w:hAnsi="Times New Roman"/>
          <w:sz w:val="20"/>
          <w:szCs w:val="20"/>
          <w:i w:val="1"/>
          <w:iCs w:val="1"/>
          <w:color w:val="auto"/>
        </w:rPr>
        <w:t>Podarcis</w:t>
      </w:r>
      <w:r>
        <w:rPr>
          <w:rFonts w:ascii="Times New Roman" w:cs="Times New Roman" w:eastAsia="Times New Roman" w:hAnsi="Times New Roman"/>
          <w:sz w:val="20"/>
          <w:szCs w:val="20"/>
          <w:color w:val="auto"/>
        </w:rPr>
        <w:t xml:space="preserve">, donde los cambios en las escamas están dados por los músculos situados en la cabeza y como producto del desarrollo del cráneo. El sexo de la especie está relacionado con la selección del alimento, que puede estar unida a otros factores como variables conductuales vía respuestas genéticas y/o fisiológicas (Bruner </w:t>
      </w:r>
      <w:r>
        <w:rPr>
          <w:rFonts w:ascii="Times New Roman" w:cs="Times New Roman" w:eastAsia="Times New Roman" w:hAnsi="Times New Roman"/>
          <w:sz w:val="20"/>
          <w:szCs w:val="20"/>
          <w:i w:val="1"/>
          <w:iCs w:val="1"/>
          <w:color w:val="auto"/>
        </w:rPr>
        <w:t>et al.,</w:t>
      </w:r>
      <w:r>
        <w:rPr>
          <w:rFonts w:ascii="Times New Roman" w:cs="Times New Roman" w:eastAsia="Times New Roman" w:hAnsi="Times New Roman"/>
          <w:sz w:val="20"/>
          <w:szCs w:val="20"/>
          <w:color w:val="auto"/>
        </w:rPr>
        <w:t xml:space="preserve"> 2005).</w:t>
      </w:r>
    </w:p>
    <w:p>
      <w:pPr>
        <w:spacing w:after="0" w:line="12" w:lineRule="exact"/>
        <w:rPr>
          <w:sz w:val="20"/>
          <w:szCs w:val="20"/>
          <w:color w:val="auto"/>
        </w:rPr>
      </w:pPr>
    </w:p>
    <w:p>
      <w:pPr>
        <w:jc w:val="both"/>
        <w:ind w:firstLine="360"/>
        <w:spacing w:after="0" w:line="358" w:lineRule="auto"/>
        <w:rPr>
          <w:sz w:val="20"/>
          <w:szCs w:val="20"/>
          <w:color w:val="auto"/>
        </w:rPr>
      </w:pPr>
      <w:r>
        <w:rPr>
          <w:rFonts w:ascii="Times New Roman" w:cs="Times New Roman" w:eastAsia="Times New Roman" w:hAnsi="Times New Roman"/>
          <w:sz w:val="20"/>
          <w:szCs w:val="20"/>
          <w:color w:val="auto"/>
        </w:rPr>
        <w:t>Aunque la selección sexual directa puede tener un papel principal en la evolución de estructuras neomórficas, las diferencias sexuales a menudo son vinculadas a modelos alométricos y procesos heterocrónicos (Fairbairn, 1997). La clave para explicar el</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15"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102" w:name="page103"/>
    <w:bookmarkEnd w:id="102"/>
    <w:p>
      <w:pPr>
        <w:spacing w:after="0"/>
        <w:tabs>
          <w:tab w:leader="none" w:pos="2040" w:val="left"/>
          <w:tab w:leader="none" w:pos="3180" w:val="left"/>
          <w:tab w:leader="none" w:pos="4340" w:val="left"/>
        </w:tabs>
        <w:rPr>
          <w:sz w:val="20"/>
          <w:szCs w:val="20"/>
          <w:color w:val="auto"/>
        </w:rPr>
      </w:pPr>
      <w:r>
        <w:rPr>
          <w:rFonts w:ascii="Arial Narrow" w:cs="Arial Narrow" w:eastAsia="Arial Narrow" w:hAnsi="Arial Narrow"/>
          <w:sz w:val="16"/>
          <w:szCs w:val="16"/>
          <w:color w:val="auto"/>
        </w:rPr>
        <w:t>102</w:t>
      </w:r>
      <w:r>
        <w:rPr>
          <w:sz w:val="20"/>
          <w:szCs w:val="20"/>
          <w:color w:val="auto"/>
        </w:rPr>
        <w:tab/>
      </w:r>
      <w:r>
        <w:rPr>
          <w:rFonts w:ascii="Arial Narrow" w:cs="Arial Narrow" w:eastAsia="Arial Narrow" w:hAnsi="Arial Narrow"/>
          <w:sz w:val="11"/>
          <w:szCs w:val="11"/>
          <w:color w:val="auto"/>
        </w:rPr>
        <w:t>carmen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cristóbal</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nava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1994535</wp:posOffset>
                </wp:positionH>
                <wp:positionV relativeFrom="paragraph">
                  <wp:posOffset>-76835</wp:posOffset>
                </wp:positionV>
                <wp:extent cx="0" cy="88900"/>
                <wp:wrapNone/>
                <wp:docPr id="239" name="Shape 23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39" o:spid="_x0000_s126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7.05pt,-6.0499pt" to="157.0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2738120</wp:posOffset>
                </wp:positionH>
                <wp:positionV relativeFrom="paragraph">
                  <wp:posOffset>-76835</wp:posOffset>
                </wp:positionV>
                <wp:extent cx="0" cy="88900"/>
                <wp:wrapNone/>
                <wp:docPr id="240" name="Shape 24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40" o:spid="_x0000_s126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5.6pt,-6.0499pt" to="215.6pt,0.95pt" o:allowincell="f" strokecolor="#000000" strokeweight="0.4pt"/>
            </w:pict>
          </mc:Fallback>
        </mc:AlternateContent>
      </w:r>
    </w:p>
    <w:p>
      <w:pPr>
        <w:spacing w:after="0" w:line="347" w:lineRule="exact"/>
        <w:rPr>
          <w:sz w:val="20"/>
          <w:szCs w:val="20"/>
          <w:color w:val="auto"/>
        </w:rPr>
      </w:pPr>
    </w:p>
    <w:p>
      <w:pPr>
        <w:jc w:val="both"/>
        <w:spacing w:after="0" w:line="323" w:lineRule="auto"/>
        <w:rPr>
          <w:sz w:val="20"/>
          <w:szCs w:val="20"/>
          <w:color w:val="auto"/>
        </w:rPr>
      </w:pPr>
      <w:r>
        <w:rPr>
          <w:rFonts w:ascii="Times New Roman" w:cs="Times New Roman" w:eastAsia="Times New Roman" w:hAnsi="Times New Roman"/>
          <w:sz w:val="20"/>
          <w:szCs w:val="20"/>
          <w:color w:val="auto"/>
        </w:rPr>
        <w:t xml:space="preserve">dimorfismo sexual es reconocer que la reproducción sexual impone diferentes presiones selectivas a las hembras y a los machos. Se infiere que las hembras de </w:t>
      </w:r>
      <w:r>
        <w:rPr>
          <w:rFonts w:ascii="Times New Roman" w:cs="Times New Roman" w:eastAsia="Times New Roman" w:hAnsi="Times New Roman"/>
          <w:sz w:val="20"/>
          <w:szCs w:val="20"/>
          <w:i w:val="1"/>
          <w:iCs w:val="1"/>
          <w:color w:val="auto"/>
        </w:rPr>
        <w:t>B. imbricata</w:t>
      </w:r>
      <w:r>
        <w:rPr>
          <w:rFonts w:ascii="Times New Roman" w:cs="Times New Roman" w:eastAsia="Times New Roman" w:hAnsi="Times New Roman"/>
          <w:sz w:val="20"/>
          <w:szCs w:val="20"/>
          <w:color w:val="auto"/>
        </w:rPr>
        <w:t xml:space="preserve"> son selectivas, pues cumplen con las predicciones de Freeman y Herron (2002) sobre que no están limitadas a las oportunidades para aparearse, pero, como cada apareamiento tiene un costo con la descendencia, ellas deciden con quién aparearse. Además, en el estudio se observa que los machos no siguen la misma morfología en sus escamas; por consiguiente, se conjetura que hay una competencia entre ellos, aunque sería necesario hacer estudios sobre la selección natural, ya que la variación morfológica causada por el hábitat es resultado de las adaptaciones ecomorfológicas específicas del sexo, así como de otras presiones de selección sexual, como la selección de fecundidad sobre hembras y la selección sexual que actúa más fuerte sobre machos (Shine </w:t>
      </w:r>
      <w:r>
        <w:rPr>
          <w:rFonts w:ascii="Times New Roman" w:cs="Times New Roman" w:eastAsia="Times New Roman" w:hAnsi="Times New Roman"/>
          <w:sz w:val="20"/>
          <w:szCs w:val="20"/>
          <w:i w:val="1"/>
          <w:iCs w:val="1"/>
          <w:color w:val="auto"/>
        </w:rPr>
        <w:t>et al.</w:t>
      </w:r>
      <w:r>
        <w:rPr>
          <w:rFonts w:ascii="Times New Roman" w:cs="Times New Roman" w:eastAsia="Times New Roman" w:hAnsi="Times New Roman"/>
          <w:sz w:val="20"/>
          <w:szCs w:val="20"/>
          <w:color w:val="auto"/>
        </w:rPr>
        <w:t>, 1998).</w:t>
      </w:r>
    </w:p>
    <w:p>
      <w:pPr>
        <w:spacing w:after="0" w:line="5" w:lineRule="exact"/>
        <w:rPr>
          <w:sz w:val="20"/>
          <w:szCs w:val="20"/>
          <w:color w:val="auto"/>
        </w:rPr>
      </w:pPr>
    </w:p>
    <w:p>
      <w:pPr>
        <w:jc w:val="both"/>
        <w:ind w:firstLine="360"/>
        <w:spacing w:after="0" w:line="313" w:lineRule="auto"/>
        <w:rPr>
          <w:sz w:val="20"/>
          <w:szCs w:val="20"/>
          <w:color w:val="auto"/>
        </w:rPr>
      </w:pPr>
      <w:r>
        <w:rPr>
          <w:rFonts w:ascii="Times New Roman" w:cs="Times New Roman" w:eastAsia="Times New Roman" w:hAnsi="Times New Roman"/>
          <w:sz w:val="21"/>
          <w:szCs w:val="21"/>
          <w:color w:val="auto"/>
        </w:rPr>
        <w:t xml:space="preserve">Shine (1990) encontró los acontecimientos prematuros que contribuyen más a menudo al dimorfismo sexual, a pesar de que en vertebrados ectotérmicos esto sólo es sostenible para diferencias del tamaño del cuerpo y no puede generalizarse a caracteres que exponen diferencias sexuales de escamación, como lo observado en </w:t>
      </w:r>
      <w:r>
        <w:rPr>
          <w:rFonts w:ascii="Times New Roman" w:cs="Times New Roman" w:eastAsia="Times New Roman" w:hAnsi="Times New Roman"/>
          <w:sz w:val="21"/>
          <w:szCs w:val="21"/>
          <w:i w:val="1"/>
          <w:iCs w:val="1"/>
          <w:color w:val="auto"/>
        </w:rPr>
        <w:t>B. imbricata,</w:t>
      </w:r>
      <w:r>
        <w:rPr>
          <w:rFonts w:ascii="Times New Roman" w:cs="Times New Roman" w:eastAsia="Times New Roman" w:hAnsi="Times New Roman"/>
          <w:sz w:val="21"/>
          <w:szCs w:val="21"/>
          <w:color w:val="auto"/>
        </w:rPr>
        <w:t xml:space="preserve"> donde no hay diferenciación en las escamas. Por lo tanto, las explicaciones para la variación de los patrones del dimorfismo sexual deberían ser buscadas en la selección sexual, natural y fecundidad que actúa diferencialmente en ambos sexos y en distintas partes del cuerpo (Kaliontzopoulou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2007).</w:t>
      </w:r>
    </w:p>
    <w:p>
      <w:pPr>
        <w:spacing w:after="0" w:line="200" w:lineRule="exact"/>
        <w:rPr>
          <w:sz w:val="20"/>
          <w:szCs w:val="20"/>
          <w:color w:val="auto"/>
        </w:rPr>
      </w:pPr>
    </w:p>
    <w:p>
      <w:pPr>
        <w:spacing w:after="0" w:line="399"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Referencias</w:t>
      </w:r>
    </w:p>
    <w:p>
      <w:pPr>
        <w:spacing w:after="0" w:line="372" w:lineRule="exact"/>
        <w:rPr>
          <w:sz w:val="20"/>
          <w:szCs w:val="20"/>
          <w:color w:val="auto"/>
        </w:rPr>
      </w:pPr>
    </w:p>
    <w:p>
      <w:pPr>
        <w:jc w:val="both"/>
        <w:ind w:left="360" w:hanging="359"/>
        <w:spacing w:after="0" w:line="308" w:lineRule="auto"/>
        <w:rPr>
          <w:sz w:val="20"/>
          <w:szCs w:val="20"/>
          <w:color w:val="auto"/>
        </w:rPr>
      </w:pPr>
      <w:r>
        <w:rPr>
          <w:rFonts w:ascii="Times New Roman" w:cs="Times New Roman" w:eastAsia="Times New Roman" w:hAnsi="Times New Roman"/>
          <w:sz w:val="21"/>
          <w:szCs w:val="21"/>
          <w:color w:val="auto"/>
        </w:rPr>
        <w:t xml:space="preserve">Adams, D. C., F. J. Rohlf y D. E. Slice (2004), “Geometric morphometrics: ten years of progress following the revolution”, </w:t>
      </w:r>
      <w:r>
        <w:rPr>
          <w:rFonts w:ascii="Times New Roman" w:cs="Times New Roman" w:eastAsia="Times New Roman" w:hAnsi="Times New Roman"/>
          <w:sz w:val="21"/>
          <w:szCs w:val="21"/>
          <w:i w:val="1"/>
          <w:iCs w:val="1"/>
          <w:color w:val="auto"/>
        </w:rPr>
        <w:t>Italian Journal of Zoology</w:t>
      </w:r>
      <w:r>
        <w:rPr>
          <w:rFonts w:ascii="Times New Roman" w:cs="Times New Roman" w:eastAsia="Times New Roman" w:hAnsi="Times New Roman"/>
          <w:sz w:val="21"/>
          <w:szCs w:val="21"/>
          <w:color w:val="auto"/>
        </w:rPr>
        <w:t>, 71, pp. 5-16.</w:t>
      </w:r>
    </w:p>
    <w:p>
      <w:pPr>
        <w:jc w:val="both"/>
        <w:ind w:left="360" w:hanging="359"/>
        <w:spacing w:after="0" w:line="294" w:lineRule="auto"/>
        <w:rPr>
          <w:sz w:val="20"/>
          <w:szCs w:val="20"/>
          <w:color w:val="auto"/>
        </w:rPr>
      </w:pPr>
      <w:r>
        <w:rPr>
          <w:rFonts w:ascii="Times New Roman" w:cs="Times New Roman" w:eastAsia="Times New Roman" w:hAnsi="Times New Roman"/>
          <w:sz w:val="22"/>
          <w:szCs w:val="22"/>
          <w:color w:val="auto"/>
        </w:rPr>
        <w:t xml:space="preserve">Anderson, R., A. y L. J. Vitt (1990), “Sexual selection versus alternative causes of sexual dimorphism in teiid lizard”, </w:t>
      </w:r>
      <w:r>
        <w:rPr>
          <w:rFonts w:ascii="Times New Roman" w:cs="Times New Roman" w:eastAsia="Times New Roman" w:hAnsi="Times New Roman"/>
          <w:sz w:val="22"/>
          <w:szCs w:val="22"/>
          <w:i w:val="1"/>
          <w:iCs w:val="1"/>
          <w:color w:val="auto"/>
        </w:rPr>
        <w:t>Oecología,</w:t>
      </w:r>
      <w:r>
        <w:rPr>
          <w:rFonts w:ascii="Times New Roman" w:cs="Times New Roman" w:eastAsia="Times New Roman" w:hAnsi="Times New Roman"/>
          <w:sz w:val="22"/>
          <w:szCs w:val="22"/>
          <w:color w:val="auto"/>
        </w:rPr>
        <w:t xml:space="preserve"> 2, pp. 145-157.</w:t>
      </w:r>
    </w:p>
    <w:p>
      <w:pPr>
        <w:jc w:val="both"/>
        <w:ind w:left="360" w:hanging="359"/>
        <w:spacing w:after="0" w:line="294" w:lineRule="auto"/>
        <w:rPr>
          <w:sz w:val="20"/>
          <w:szCs w:val="20"/>
          <w:color w:val="auto"/>
        </w:rPr>
      </w:pPr>
      <w:r>
        <w:rPr>
          <w:rFonts w:ascii="Times New Roman" w:cs="Times New Roman" w:eastAsia="Times New Roman" w:hAnsi="Times New Roman"/>
          <w:sz w:val="22"/>
          <w:szCs w:val="22"/>
          <w:color w:val="auto"/>
        </w:rPr>
        <w:t xml:space="preserve">Arnold, E. N. (1998), “Structural niche, limb morphology and locomotion in lacertid lizards (Squamata, Lacertidae): a preliminary survey”, </w:t>
      </w:r>
      <w:r>
        <w:rPr>
          <w:rFonts w:ascii="Times New Roman" w:cs="Times New Roman" w:eastAsia="Times New Roman" w:hAnsi="Times New Roman"/>
          <w:sz w:val="22"/>
          <w:szCs w:val="22"/>
          <w:i w:val="1"/>
          <w:iCs w:val="1"/>
          <w:color w:val="auto"/>
        </w:rPr>
        <w:t>Bulletin of the British</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Museum of Natural History (Zoology), </w:t>
      </w:r>
      <w:r>
        <w:rPr>
          <w:rFonts w:ascii="Times New Roman" w:cs="Times New Roman" w:eastAsia="Times New Roman" w:hAnsi="Times New Roman"/>
          <w:sz w:val="22"/>
          <w:szCs w:val="22"/>
          <w:color w:val="auto"/>
        </w:rPr>
        <w:t>64, pp. 63-89.</w:t>
      </w:r>
    </w:p>
    <w:p>
      <w:pPr>
        <w:jc w:val="both"/>
        <w:ind w:left="360" w:hanging="359"/>
        <w:spacing w:after="0" w:line="317" w:lineRule="auto"/>
        <w:rPr>
          <w:sz w:val="20"/>
          <w:szCs w:val="20"/>
          <w:color w:val="auto"/>
        </w:rPr>
      </w:pPr>
      <w:r>
        <w:rPr>
          <w:rFonts w:ascii="Times New Roman" w:cs="Times New Roman" w:eastAsia="Times New Roman" w:hAnsi="Times New Roman"/>
          <w:sz w:val="22"/>
          <w:szCs w:val="22"/>
          <w:color w:val="auto"/>
        </w:rPr>
        <w:t xml:space="preserve">Braña, F. (1996), “Sexual dimorphism in lacertid lizards: male head increase </w:t>
      </w:r>
      <w:r>
        <w:rPr>
          <w:rFonts w:ascii="Times New Roman" w:cs="Times New Roman" w:eastAsia="Times New Roman" w:hAnsi="Times New Roman"/>
          <w:sz w:val="22"/>
          <w:szCs w:val="22"/>
          <w:i w:val="1"/>
          <w:iCs w:val="1"/>
          <w:color w:val="auto"/>
        </w:rPr>
        <w:t>vs.</w:t>
      </w:r>
      <w:r>
        <w:rPr>
          <w:rFonts w:ascii="Times New Roman" w:cs="Times New Roman" w:eastAsia="Times New Roman" w:hAnsi="Times New Roman"/>
          <w:sz w:val="22"/>
          <w:szCs w:val="22"/>
          <w:color w:val="auto"/>
        </w:rPr>
        <w:t xml:space="preserve"> female abdomen increase?”, </w:t>
      </w:r>
      <w:r>
        <w:rPr>
          <w:rFonts w:ascii="Times New Roman" w:cs="Times New Roman" w:eastAsia="Times New Roman" w:hAnsi="Times New Roman"/>
          <w:sz w:val="22"/>
          <w:szCs w:val="22"/>
          <w:i w:val="1"/>
          <w:iCs w:val="1"/>
          <w:color w:val="auto"/>
        </w:rPr>
        <w:t>Oikos,</w:t>
      </w:r>
      <w:r>
        <w:rPr>
          <w:rFonts w:ascii="Times New Roman" w:cs="Times New Roman" w:eastAsia="Times New Roman" w:hAnsi="Times New Roman"/>
          <w:sz w:val="22"/>
          <w:szCs w:val="22"/>
          <w:color w:val="auto"/>
        </w:rPr>
        <w:t xml:space="preserve"> 3, pp. 511-523.</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36"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41" name="Shape 24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41" o:spid="_x0000_s126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42" name="Shape 24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42" o:spid="_x0000_s126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43" name="Shape 24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43" o:spid="_x0000_s126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03" w:name="page104"/>
    <w:bookmarkEnd w:id="103"/>
    <w:tbl>
      <w:tblPr>
        <w:tblLayout w:type="fixed"/>
        <w:tblInd w:w="1220" w:type="dxa"/>
        <w:tblCellMar>
          <w:top w:w="0" w:type="dxa"/>
          <w:left w:w="0" w:type="dxa"/>
          <w:bottom w:w="0" w:type="dxa"/>
          <w:right w:w="0" w:type="dxa"/>
        </w:tblCellMar>
      </w:tblPr>
      <w:tr>
        <w:trPr>
          <w:trHeight w:val="222"/>
        </w:trPr>
        <w:tc>
          <w:tcPr>
            <w:tcW w:w="4720" w:type="dxa"/>
            <w:vAlign w:val="bottom"/>
          </w:tcPr>
          <w:p>
            <w:pPr>
              <w:spacing w:after="0"/>
              <w:rPr>
                <w:sz w:val="20"/>
                <w:szCs w:val="20"/>
                <w:color w:val="auto"/>
              </w:rPr>
            </w:pPr>
            <w:r>
              <w:rPr>
                <w:rFonts w:ascii="Arial Narrow" w:cs="Arial Narrow" w:eastAsia="Arial Narrow" w:hAnsi="Arial Narrow"/>
                <w:sz w:val="11"/>
                <w:szCs w:val="11"/>
                <w:color w:val="auto"/>
              </w:rPr>
              <w:t xml:space="preserve">morfología geométrica de las escamas cefálicas en </w:t>
            </w:r>
            <w:r>
              <w:rPr>
                <w:rFonts w:ascii="Arial Narrow" w:cs="Arial Narrow" w:eastAsia="Arial Narrow" w:hAnsi="Arial Narrow"/>
                <w:sz w:val="11"/>
                <w:szCs w:val="11"/>
                <w:i w:val="1"/>
                <w:iCs w:val="1"/>
                <w:color w:val="auto"/>
              </w:rPr>
              <w:t>barisia imbricata</w:t>
            </w:r>
          </w:p>
        </w:tc>
        <w:tc>
          <w:tcPr>
            <w:tcW w:w="900" w:type="dxa"/>
            <w:vAlign w:val="bottom"/>
          </w:tcPr>
          <w:p>
            <w:pPr>
              <w:jc w:val="right"/>
              <w:spacing w:after="0"/>
              <w:rPr>
                <w:sz w:val="20"/>
                <w:szCs w:val="20"/>
                <w:color w:val="auto"/>
              </w:rPr>
            </w:pPr>
            <w:r>
              <w:rPr>
                <w:rFonts w:ascii="Arial Narrow" w:cs="Arial Narrow" w:eastAsia="Arial Narrow" w:hAnsi="Arial Narrow"/>
                <w:sz w:val="16"/>
                <w:szCs w:val="16"/>
                <w:color w:val="auto"/>
              </w:rPr>
              <w:t>103</w:t>
            </w:r>
          </w:p>
        </w:tc>
      </w:tr>
    </w:tbl>
    <w:p>
      <w:pPr>
        <w:spacing w:after="0" w:line="200" w:lineRule="exact"/>
        <w:rPr>
          <w:sz w:val="20"/>
          <w:szCs w:val="20"/>
          <w:color w:val="auto"/>
        </w:rPr>
      </w:pPr>
    </w:p>
    <w:p>
      <w:pPr>
        <w:spacing w:after="0" w:line="309" w:lineRule="exact"/>
        <w:rPr>
          <w:sz w:val="20"/>
          <w:szCs w:val="20"/>
          <w:color w:val="auto"/>
        </w:rPr>
      </w:pPr>
    </w:p>
    <w:p>
      <w:pPr>
        <w:jc w:val="both"/>
        <w:ind w:hanging="359"/>
        <w:spacing w:after="0" w:line="294" w:lineRule="auto"/>
        <w:rPr>
          <w:sz w:val="20"/>
          <w:szCs w:val="20"/>
          <w:color w:val="auto"/>
        </w:rPr>
      </w:pPr>
      <w:r>
        <w:rPr>
          <w:rFonts w:ascii="Times New Roman" w:cs="Times New Roman" w:eastAsia="Times New Roman" w:hAnsi="Times New Roman"/>
          <w:sz w:val="22"/>
          <w:szCs w:val="22"/>
          <w:color w:val="auto"/>
        </w:rPr>
        <w:t xml:space="preserve">Bruner, E., D. Constantini, A. Fanfani y G. Dell’Omo (2005), “Morphological variation and sexual dimorphism of the cephalic scales in </w:t>
      </w:r>
      <w:r>
        <w:rPr>
          <w:rFonts w:ascii="Times New Roman" w:cs="Times New Roman" w:eastAsia="Times New Roman" w:hAnsi="Times New Roman"/>
          <w:sz w:val="22"/>
          <w:szCs w:val="22"/>
          <w:i w:val="1"/>
          <w:iCs w:val="1"/>
          <w:color w:val="auto"/>
        </w:rPr>
        <w:t>Lacerta billineata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Acta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Zoologica</w:t>
      </w:r>
      <w:r>
        <w:rPr>
          <w:rFonts w:ascii="Times New Roman" w:cs="Times New Roman" w:eastAsia="Times New Roman" w:hAnsi="Times New Roman"/>
          <w:sz w:val="22"/>
          <w:szCs w:val="22"/>
          <w:color w:val="auto"/>
        </w:rPr>
        <w:t>, 86, pp. 245-254.</w:t>
      </w:r>
    </w:p>
    <w:p>
      <w:pPr>
        <w:jc w:val="both"/>
        <w:ind w:hanging="359"/>
        <w:spacing w:after="0" w:line="294" w:lineRule="auto"/>
        <w:rPr>
          <w:sz w:val="20"/>
          <w:szCs w:val="20"/>
          <w:color w:val="auto"/>
        </w:rPr>
      </w:pPr>
      <w:r>
        <w:rPr>
          <w:rFonts w:ascii="Times New Roman" w:cs="Times New Roman" w:eastAsia="Times New Roman" w:hAnsi="Times New Roman"/>
          <w:sz w:val="22"/>
          <w:szCs w:val="22"/>
          <w:color w:val="auto"/>
        </w:rPr>
        <w:t xml:space="preserve">Butler, M. A. y J. Lossos (2002), “Multivariate sexual dimorphism, sexual selection and adaptation in greater Antillean </w:t>
      </w:r>
      <w:r>
        <w:rPr>
          <w:rFonts w:ascii="Times New Roman" w:cs="Times New Roman" w:eastAsia="Times New Roman" w:hAnsi="Times New Roman"/>
          <w:sz w:val="22"/>
          <w:szCs w:val="22"/>
          <w:i w:val="1"/>
          <w:iCs w:val="1"/>
          <w:color w:val="auto"/>
        </w:rPr>
        <w:t>Anolis</w:t>
      </w:r>
      <w:r>
        <w:rPr>
          <w:rFonts w:ascii="Times New Roman" w:cs="Times New Roman" w:eastAsia="Times New Roman" w:hAnsi="Times New Roman"/>
          <w:sz w:val="22"/>
          <w:szCs w:val="22"/>
          <w:color w:val="auto"/>
        </w:rPr>
        <w:t xml:space="preserve"> lizards”, </w:t>
      </w:r>
      <w:r>
        <w:rPr>
          <w:rFonts w:ascii="Times New Roman" w:cs="Times New Roman" w:eastAsia="Times New Roman" w:hAnsi="Times New Roman"/>
          <w:sz w:val="22"/>
          <w:szCs w:val="22"/>
          <w:i w:val="1"/>
          <w:iCs w:val="1"/>
          <w:color w:val="auto"/>
        </w:rPr>
        <w:t>Ecological Monographs</w:t>
      </w:r>
      <w:r>
        <w:rPr>
          <w:rFonts w:ascii="Times New Roman" w:cs="Times New Roman" w:eastAsia="Times New Roman" w:hAnsi="Times New Roman"/>
          <w:sz w:val="22"/>
          <w:szCs w:val="22"/>
          <w:color w:val="auto"/>
        </w:rPr>
        <w:t>, 72, pp. 541-559.</w:t>
      </w:r>
    </w:p>
    <w:p>
      <w:pPr>
        <w:jc w:val="both"/>
        <w:ind w:hanging="359"/>
        <w:spacing w:after="0" w:line="323" w:lineRule="auto"/>
        <w:rPr>
          <w:sz w:val="20"/>
          <w:szCs w:val="20"/>
          <w:color w:val="auto"/>
        </w:rPr>
      </w:pPr>
      <w:r>
        <w:rPr>
          <w:rFonts w:ascii="Times New Roman" w:cs="Times New Roman" w:eastAsia="Times New Roman" w:hAnsi="Times New Roman"/>
          <w:sz w:val="20"/>
          <w:szCs w:val="20"/>
          <w:color w:val="auto"/>
        </w:rPr>
        <w:t>Cepanaf (Comisión Estatal de Parques Naturales y Fauna) (2009), http://www. edomexico.gob.mx/cepanaf/htm/cepanaf.htm, consultado el 8 de octubre de 2009.</w:t>
      </w:r>
    </w:p>
    <w:p>
      <w:pPr>
        <w:spacing w:after="0" w:line="1" w:lineRule="exact"/>
        <w:rPr>
          <w:sz w:val="20"/>
          <w:szCs w:val="20"/>
          <w:color w:val="auto"/>
        </w:rPr>
      </w:pPr>
    </w:p>
    <w:p>
      <w:pPr>
        <w:jc w:val="both"/>
        <w:ind w:hanging="359"/>
        <w:spacing w:after="0" w:line="294" w:lineRule="auto"/>
        <w:rPr>
          <w:sz w:val="20"/>
          <w:szCs w:val="20"/>
          <w:color w:val="auto"/>
        </w:rPr>
      </w:pPr>
      <w:r>
        <w:rPr>
          <w:rFonts w:ascii="Times New Roman" w:cs="Times New Roman" w:eastAsia="Times New Roman" w:hAnsi="Times New Roman"/>
          <w:sz w:val="22"/>
          <w:szCs w:val="22"/>
          <w:color w:val="auto"/>
        </w:rPr>
        <w:t xml:space="preserve">Fairbairn, D. J. (1997), “Allometry for sexual size dimorphism: pattern and process in the coevolution of body size in males and females”, </w:t>
      </w:r>
      <w:r>
        <w:rPr>
          <w:rFonts w:ascii="Times New Roman" w:cs="Times New Roman" w:eastAsia="Times New Roman" w:hAnsi="Times New Roman"/>
          <w:sz w:val="22"/>
          <w:szCs w:val="22"/>
          <w:i w:val="1"/>
          <w:iCs w:val="1"/>
          <w:color w:val="auto"/>
        </w:rPr>
        <w:t>Annual Review of Ecology and</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Systematics</w:t>
      </w:r>
      <w:r>
        <w:rPr>
          <w:rFonts w:ascii="Times New Roman" w:cs="Times New Roman" w:eastAsia="Times New Roman" w:hAnsi="Times New Roman"/>
          <w:sz w:val="22"/>
          <w:szCs w:val="22"/>
          <w:color w:val="auto"/>
        </w:rPr>
        <w:t>, 1, pp. 659-687.</w:t>
      </w:r>
    </w:p>
    <w:p>
      <w:pPr>
        <w:jc w:val="both"/>
        <w:ind w:hanging="359"/>
        <w:spacing w:after="0" w:line="294" w:lineRule="auto"/>
        <w:rPr>
          <w:sz w:val="20"/>
          <w:szCs w:val="20"/>
          <w:color w:val="auto"/>
        </w:rPr>
      </w:pPr>
      <w:r>
        <w:rPr>
          <w:rFonts w:ascii="Times New Roman" w:cs="Times New Roman" w:eastAsia="Times New Roman" w:hAnsi="Times New Roman"/>
          <w:sz w:val="22"/>
          <w:szCs w:val="22"/>
          <w:color w:val="auto"/>
        </w:rPr>
        <w:t xml:space="preserve">Freeman, S. C. y J. C. Herron (2002), </w:t>
      </w:r>
      <w:r>
        <w:rPr>
          <w:rFonts w:ascii="Times New Roman" w:cs="Times New Roman" w:eastAsia="Times New Roman" w:hAnsi="Times New Roman"/>
          <w:sz w:val="22"/>
          <w:szCs w:val="22"/>
          <w:i w:val="1"/>
          <w:iCs w:val="1"/>
          <w:color w:val="auto"/>
        </w:rPr>
        <w:t>Análisis evolutivo</w:t>
      </w:r>
      <w:r>
        <w:rPr>
          <w:rFonts w:ascii="Times New Roman" w:cs="Times New Roman" w:eastAsia="Times New Roman" w:hAnsi="Times New Roman"/>
          <w:sz w:val="22"/>
          <w:szCs w:val="22"/>
          <w:color w:val="auto"/>
        </w:rPr>
        <w:t>, Estados Unidos, Prentice Hall, 2ª ed.</w:t>
      </w:r>
    </w:p>
    <w:p>
      <w:pPr>
        <w:jc w:val="both"/>
        <w:ind w:hanging="359"/>
        <w:spacing w:after="0" w:line="294" w:lineRule="auto"/>
        <w:rPr>
          <w:sz w:val="20"/>
          <w:szCs w:val="20"/>
          <w:color w:val="auto"/>
        </w:rPr>
      </w:pPr>
      <w:r>
        <w:rPr>
          <w:rFonts w:ascii="Times New Roman" w:cs="Times New Roman" w:eastAsia="Times New Roman" w:hAnsi="Times New Roman"/>
          <w:sz w:val="22"/>
          <w:szCs w:val="22"/>
          <w:color w:val="auto"/>
        </w:rPr>
        <w:t xml:space="preserve">García, E. (1981), </w:t>
      </w:r>
      <w:r>
        <w:rPr>
          <w:rFonts w:ascii="Times New Roman" w:cs="Times New Roman" w:eastAsia="Times New Roman" w:hAnsi="Times New Roman"/>
          <w:sz w:val="22"/>
          <w:szCs w:val="22"/>
          <w:i w:val="1"/>
          <w:iCs w:val="1"/>
          <w:color w:val="auto"/>
        </w:rPr>
        <w:t>Modificaciones al sistema de clasificación climática de Köeppen</w:t>
      </w:r>
      <w:r>
        <w:rPr>
          <w:rFonts w:ascii="Times New Roman" w:cs="Times New Roman" w:eastAsia="Times New Roman" w:hAnsi="Times New Roman"/>
          <w:sz w:val="22"/>
          <w:szCs w:val="22"/>
          <w:color w:val="auto"/>
        </w:rPr>
        <w:t>, México, Offset Larios.</w:t>
      </w:r>
    </w:p>
    <w:p>
      <w:pPr>
        <w:jc w:val="both"/>
        <w:ind w:hanging="359"/>
        <w:spacing w:after="0" w:line="323" w:lineRule="auto"/>
        <w:rPr>
          <w:sz w:val="20"/>
          <w:szCs w:val="20"/>
          <w:color w:val="auto"/>
        </w:rPr>
      </w:pPr>
      <w:r>
        <w:rPr>
          <w:rFonts w:ascii="Times New Roman" w:cs="Times New Roman" w:eastAsia="Times New Roman" w:hAnsi="Times New Roman"/>
          <w:sz w:val="20"/>
          <w:szCs w:val="20"/>
          <w:color w:val="auto"/>
        </w:rPr>
        <w:t xml:space="preserve">Gvoždík, L. y R. van Damme (2003), “Evolutionary maintainance of sexual dimorphism in head size in the lizard </w:t>
      </w:r>
      <w:r>
        <w:rPr>
          <w:rFonts w:ascii="Times New Roman" w:cs="Times New Roman" w:eastAsia="Times New Roman" w:hAnsi="Times New Roman"/>
          <w:sz w:val="20"/>
          <w:szCs w:val="20"/>
          <w:i w:val="1"/>
          <w:iCs w:val="1"/>
          <w:color w:val="auto"/>
        </w:rPr>
        <w:t>Zootoca vivipara</w:t>
      </w:r>
      <w:r>
        <w:rPr>
          <w:rFonts w:ascii="Times New Roman" w:cs="Times New Roman" w:eastAsia="Times New Roman" w:hAnsi="Times New Roman"/>
          <w:sz w:val="20"/>
          <w:szCs w:val="20"/>
          <w:color w:val="auto"/>
        </w:rPr>
        <w:t>: a test of two hypotheses”,</w:t>
      </w:r>
    </w:p>
    <w:p>
      <w:pPr>
        <w:spacing w:after="0" w:line="1"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 xml:space="preserve">Journal of Zoology, </w:t>
      </w:r>
      <w:r>
        <w:rPr>
          <w:rFonts w:ascii="Times New Roman" w:cs="Times New Roman" w:eastAsia="Times New Roman" w:hAnsi="Times New Roman"/>
          <w:sz w:val="22"/>
          <w:szCs w:val="22"/>
          <w:color w:val="auto"/>
        </w:rPr>
        <w:t>1, pp. 7-13.</w:t>
      </w:r>
    </w:p>
    <w:p>
      <w:pPr>
        <w:spacing w:after="0" w:line="57" w:lineRule="exact"/>
        <w:rPr>
          <w:sz w:val="20"/>
          <w:szCs w:val="20"/>
          <w:color w:val="auto"/>
        </w:rPr>
      </w:pPr>
    </w:p>
    <w:p>
      <w:pPr>
        <w:jc w:val="both"/>
        <w:ind w:hanging="359"/>
        <w:spacing w:after="0" w:line="323" w:lineRule="auto"/>
        <w:rPr>
          <w:sz w:val="20"/>
          <w:szCs w:val="20"/>
          <w:color w:val="auto"/>
        </w:rPr>
      </w:pPr>
      <w:r>
        <w:rPr>
          <w:rFonts w:ascii="Times New Roman" w:cs="Times New Roman" w:eastAsia="Times New Roman" w:hAnsi="Times New Roman"/>
          <w:sz w:val="20"/>
          <w:szCs w:val="20"/>
          <w:color w:val="auto"/>
        </w:rPr>
        <w:t xml:space="preserve">Herrel, A., P. Aerts, J. Fret y F. de Vree (1999), “Morphology of the feeding system in agamid lizards: ecological correlates”, </w:t>
      </w:r>
      <w:r>
        <w:rPr>
          <w:rFonts w:ascii="Times New Roman" w:cs="Times New Roman" w:eastAsia="Times New Roman" w:hAnsi="Times New Roman"/>
          <w:sz w:val="20"/>
          <w:szCs w:val="20"/>
          <w:i w:val="1"/>
          <w:iCs w:val="1"/>
          <w:color w:val="auto"/>
        </w:rPr>
        <w:t>The Anatomical Record</w:t>
      </w:r>
      <w:r>
        <w:rPr>
          <w:rFonts w:ascii="Times New Roman" w:cs="Times New Roman" w:eastAsia="Times New Roman" w:hAnsi="Times New Roman"/>
          <w:sz w:val="20"/>
          <w:szCs w:val="20"/>
          <w:color w:val="auto"/>
        </w:rPr>
        <w:t>, 4, pp. 496-507.</w:t>
      </w:r>
    </w:p>
    <w:p>
      <w:pPr>
        <w:spacing w:after="0" w:line="1" w:lineRule="exact"/>
        <w:rPr>
          <w:sz w:val="20"/>
          <w:szCs w:val="20"/>
          <w:color w:val="auto"/>
        </w:rPr>
      </w:pPr>
    </w:p>
    <w:p>
      <w:pPr>
        <w:jc w:val="both"/>
        <w:ind w:hanging="359"/>
        <w:spacing w:after="0" w:line="323" w:lineRule="auto"/>
        <w:rPr>
          <w:sz w:val="20"/>
          <w:szCs w:val="20"/>
          <w:color w:val="auto"/>
        </w:rPr>
      </w:pPr>
      <w:r>
        <w:rPr>
          <w:rFonts w:ascii="Times New Roman" w:cs="Times New Roman" w:eastAsia="Times New Roman" w:hAnsi="Times New Roman"/>
          <w:sz w:val="20"/>
          <w:szCs w:val="20"/>
          <w:color w:val="auto"/>
        </w:rPr>
        <w:t xml:space="preserve">Herrel, A., E. de Grauw y J. A. Lemos-Espinal (2001), “Head shape and bite performance in xenosaurid lizards”, </w:t>
      </w:r>
      <w:r>
        <w:rPr>
          <w:rFonts w:ascii="Times New Roman" w:cs="Times New Roman" w:eastAsia="Times New Roman" w:hAnsi="Times New Roman"/>
          <w:sz w:val="20"/>
          <w:szCs w:val="20"/>
          <w:i w:val="1"/>
          <w:iCs w:val="1"/>
          <w:color w:val="auto"/>
        </w:rPr>
        <w:t>Journal of Experimental Zoology,</w:t>
      </w:r>
      <w:r>
        <w:rPr>
          <w:rFonts w:ascii="Times New Roman" w:cs="Times New Roman" w:eastAsia="Times New Roman" w:hAnsi="Times New Roman"/>
          <w:sz w:val="20"/>
          <w:szCs w:val="20"/>
          <w:color w:val="auto"/>
        </w:rPr>
        <w:t xml:space="preserve"> 290, pp. 101-107.</w:t>
      </w:r>
    </w:p>
    <w:p>
      <w:pPr>
        <w:spacing w:after="0" w:line="1" w:lineRule="exact"/>
        <w:rPr>
          <w:sz w:val="20"/>
          <w:szCs w:val="20"/>
          <w:color w:val="auto"/>
        </w:rPr>
      </w:pPr>
    </w:p>
    <w:p>
      <w:pPr>
        <w:jc w:val="both"/>
        <w:ind w:hanging="359"/>
        <w:spacing w:after="0" w:line="308" w:lineRule="auto"/>
        <w:rPr>
          <w:sz w:val="20"/>
          <w:szCs w:val="20"/>
          <w:color w:val="auto"/>
        </w:rPr>
      </w:pPr>
      <w:r>
        <w:rPr>
          <w:rFonts w:ascii="Times New Roman" w:cs="Times New Roman" w:eastAsia="Times New Roman" w:hAnsi="Times New Roman"/>
          <w:sz w:val="21"/>
          <w:szCs w:val="21"/>
          <w:color w:val="auto"/>
        </w:rPr>
        <w:t xml:space="preserve">Inafed (Instituto Nacional para el Federalismo y el Desarrollo Munificpal)/ Gobierno del Estado de México (2005), “Estado de México”, en </w:t>
      </w:r>
      <w:r>
        <w:rPr>
          <w:rFonts w:ascii="Times New Roman" w:cs="Times New Roman" w:eastAsia="Times New Roman" w:hAnsi="Times New Roman"/>
          <w:sz w:val="21"/>
          <w:szCs w:val="21"/>
          <w:i w:val="1"/>
          <w:iCs w:val="1"/>
          <w:color w:val="auto"/>
        </w:rPr>
        <w:t>Enciclopedia de</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los Municipios de México</w:t>
      </w:r>
      <w:r>
        <w:rPr>
          <w:rFonts w:ascii="Times New Roman" w:cs="Times New Roman" w:eastAsia="Times New Roman" w:hAnsi="Times New Roman"/>
          <w:sz w:val="21"/>
          <w:szCs w:val="21"/>
          <w:color w:val="auto"/>
        </w:rPr>
        <w:t>, www.e_local.gob.mx/work/template/enciclo/mexico/</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mpios/15090a.htm, consultado el 8 de octubre de 2009.</w:t>
      </w:r>
    </w:p>
    <w:p>
      <w:pPr>
        <w:jc w:val="both"/>
        <w:ind w:hanging="359"/>
        <w:spacing w:after="0" w:line="294" w:lineRule="auto"/>
        <w:rPr>
          <w:sz w:val="20"/>
          <w:szCs w:val="20"/>
          <w:color w:val="auto"/>
        </w:rPr>
      </w:pPr>
      <w:r>
        <w:rPr>
          <w:rFonts w:ascii="Times New Roman" w:cs="Times New Roman" w:eastAsia="Times New Roman" w:hAnsi="Times New Roman"/>
          <w:sz w:val="22"/>
          <w:szCs w:val="22"/>
          <w:color w:val="auto"/>
        </w:rPr>
        <w:t>Kaliontzopoulou, A., M. A. Carretero y G. A. Llorente (2007), “Multivariate and geometric morphometrics in the analysis of sexual dimorphism variation in</w:t>
      </w:r>
    </w:p>
    <w:p>
      <w:pPr>
        <w:spacing w:after="0"/>
        <w:rPr>
          <w:sz w:val="20"/>
          <w:szCs w:val="20"/>
          <w:color w:val="auto"/>
        </w:rPr>
      </w:pPr>
      <w:r>
        <w:rPr>
          <w:rFonts w:ascii="Times New Roman" w:cs="Times New Roman" w:eastAsia="Times New Roman" w:hAnsi="Times New Roman"/>
          <w:sz w:val="22"/>
          <w:szCs w:val="22"/>
          <w:i w:val="1"/>
          <w:iCs w:val="1"/>
          <w:color w:val="auto"/>
        </w:rPr>
        <w:t xml:space="preserve">Podarcis </w:t>
      </w:r>
      <w:r>
        <w:rPr>
          <w:rFonts w:ascii="Times New Roman" w:cs="Times New Roman" w:eastAsia="Times New Roman" w:hAnsi="Times New Roman"/>
          <w:sz w:val="22"/>
          <w:szCs w:val="22"/>
          <w:color w:val="auto"/>
        </w:rPr>
        <w:t>lizards”,</w:t>
      </w:r>
      <w:r>
        <w:rPr>
          <w:rFonts w:ascii="Times New Roman" w:cs="Times New Roman" w:eastAsia="Times New Roman" w:hAnsi="Times New Roman"/>
          <w:sz w:val="22"/>
          <w:szCs w:val="22"/>
          <w:i w:val="1"/>
          <w:iCs w:val="1"/>
          <w:color w:val="auto"/>
        </w:rPr>
        <w:t xml:space="preserve"> Journal of Morphology</w:t>
      </w:r>
      <w:r>
        <w:rPr>
          <w:rFonts w:ascii="Times New Roman" w:cs="Times New Roman" w:eastAsia="Times New Roman" w:hAnsi="Times New Roman"/>
          <w:sz w:val="22"/>
          <w:szCs w:val="22"/>
          <w:color w:val="auto"/>
        </w:rPr>
        <w:t>, 268, pp. 152-165.</w:t>
      </w:r>
    </w:p>
    <w:p>
      <w:pPr>
        <w:spacing w:after="0" w:line="57" w:lineRule="exact"/>
        <w:rPr>
          <w:sz w:val="20"/>
          <w:szCs w:val="20"/>
          <w:color w:val="auto"/>
        </w:rPr>
      </w:pPr>
    </w:p>
    <w:p>
      <w:pPr>
        <w:jc w:val="both"/>
        <w:ind w:hanging="359"/>
        <w:spacing w:after="0" w:line="310" w:lineRule="auto"/>
        <w:rPr>
          <w:sz w:val="20"/>
          <w:szCs w:val="20"/>
          <w:color w:val="auto"/>
        </w:rPr>
      </w:pPr>
      <w:r>
        <w:rPr>
          <w:rFonts w:ascii="Times New Roman" w:cs="Times New Roman" w:eastAsia="Times New Roman" w:hAnsi="Times New Roman"/>
          <w:sz w:val="22"/>
          <w:szCs w:val="22"/>
          <w:color w:val="auto"/>
        </w:rPr>
        <w:t xml:space="preserve">Malvaez, E. J. (2010), </w:t>
      </w:r>
      <w:r>
        <w:rPr>
          <w:rFonts w:ascii="Times New Roman" w:cs="Times New Roman" w:eastAsia="Times New Roman" w:hAnsi="Times New Roman"/>
          <w:sz w:val="22"/>
          <w:szCs w:val="22"/>
          <w:i w:val="1"/>
          <w:iCs w:val="1"/>
          <w:color w:val="auto"/>
        </w:rPr>
        <w:t>Uso de los dígitos para evaluar el dimorfismo sexual en algunos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lacertilios mexicanos, </w:t>
      </w:r>
      <w:r>
        <w:rPr>
          <w:rFonts w:ascii="Times New Roman" w:cs="Times New Roman" w:eastAsia="Times New Roman" w:hAnsi="Times New Roman"/>
          <w:sz w:val="22"/>
          <w:szCs w:val="22"/>
          <w:color w:val="auto"/>
        </w:rPr>
        <w:t>tesis de licenciatura, Toluca, Facultad de Ciencias/Universidad</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Autónoma del Estado de México.</w:t>
      </w:r>
    </w:p>
    <w:p>
      <w:pPr>
        <w:sectPr>
          <w:pgSz w:w="9360" w:h="13039" w:orient="portrait"/>
          <w:cols w:equalWidth="0" w:num="1">
            <w:col w:w="6840"/>
          </w:cols>
          <w:pgMar w:left="1440" w:top="906" w:right="1080" w:bottom="437" w:gutter="0" w:footer="0" w:header="0"/>
        </w:sectPr>
      </w:pPr>
    </w:p>
    <w:p>
      <w:pPr>
        <w:spacing w:after="0" w:line="200" w:lineRule="exact"/>
        <w:rPr>
          <w:sz w:val="20"/>
          <w:szCs w:val="20"/>
          <w:color w:val="auto"/>
        </w:rPr>
      </w:pPr>
    </w:p>
    <w:p>
      <w:pPr>
        <w:spacing w:after="0" w:line="334"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104" w:name="page105"/>
    <w:bookmarkEnd w:id="104"/>
    <w:p>
      <w:pPr>
        <w:spacing w:after="0"/>
        <w:tabs>
          <w:tab w:leader="none" w:pos="2040" w:val="left"/>
          <w:tab w:leader="none" w:pos="3180" w:val="left"/>
          <w:tab w:leader="none" w:pos="4340" w:val="left"/>
        </w:tabs>
        <w:rPr>
          <w:sz w:val="20"/>
          <w:szCs w:val="20"/>
          <w:color w:val="auto"/>
        </w:rPr>
      </w:pPr>
      <w:r>
        <w:rPr>
          <w:rFonts w:ascii="Arial Narrow" w:cs="Arial Narrow" w:eastAsia="Arial Narrow" w:hAnsi="Arial Narrow"/>
          <w:sz w:val="16"/>
          <w:szCs w:val="16"/>
          <w:color w:val="auto"/>
        </w:rPr>
        <w:t>104</w:t>
      </w:r>
      <w:r>
        <w:rPr>
          <w:sz w:val="20"/>
          <w:szCs w:val="20"/>
          <w:color w:val="auto"/>
        </w:rPr>
        <w:tab/>
      </w:r>
      <w:r>
        <w:rPr>
          <w:rFonts w:ascii="Arial Narrow" w:cs="Arial Narrow" w:eastAsia="Arial Narrow" w:hAnsi="Arial Narrow"/>
          <w:sz w:val="11"/>
          <w:szCs w:val="11"/>
          <w:color w:val="auto"/>
        </w:rPr>
        <w:t>carmen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cristóbal</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nava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1994535</wp:posOffset>
                </wp:positionH>
                <wp:positionV relativeFrom="paragraph">
                  <wp:posOffset>-76835</wp:posOffset>
                </wp:positionV>
                <wp:extent cx="0" cy="88900"/>
                <wp:wrapNone/>
                <wp:docPr id="244" name="Shape 24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44" o:spid="_x0000_s126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57.05pt,-6.0499pt" to="157.0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2738120</wp:posOffset>
                </wp:positionH>
                <wp:positionV relativeFrom="paragraph">
                  <wp:posOffset>-76835</wp:posOffset>
                </wp:positionV>
                <wp:extent cx="0" cy="88900"/>
                <wp:wrapNone/>
                <wp:docPr id="245" name="Shape 24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45" o:spid="_x0000_s127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5.6pt,-6.0499pt" to="215.6pt,0.95pt" o:allowincell="f" strokecolor="#000000" strokeweight="0.4pt"/>
            </w:pict>
          </mc:Fallback>
        </mc:AlternateContent>
      </w:r>
    </w:p>
    <w:p>
      <w:pPr>
        <w:spacing w:after="0" w:line="347"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Pulcini, D., C. Costa, J. Aguzzi y S. Cataudella (2008), “Light and shape: a contribution to demonstrate morphological differences in diurnal and nocturnal teleosts”, </w:t>
      </w:r>
      <w:r>
        <w:rPr>
          <w:rFonts w:ascii="Times New Roman" w:cs="Times New Roman" w:eastAsia="Times New Roman" w:hAnsi="Times New Roman"/>
          <w:sz w:val="22"/>
          <w:szCs w:val="22"/>
          <w:i w:val="1"/>
          <w:iCs w:val="1"/>
          <w:color w:val="auto"/>
        </w:rPr>
        <w:t>Journal of Morphology</w:t>
      </w:r>
      <w:r>
        <w:rPr>
          <w:rFonts w:ascii="Times New Roman" w:cs="Times New Roman" w:eastAsia="Times New Roman" w:hAnsi="Times New Roman"/>
          <w:sz w:val="22"/>
          <w:szCs w:val="22"/>
          <w:color w:val="auto"/>
        </w:rPr>
        <w:t>, 69, pp. 375-385.</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Rohlf, F. J. (1990), “Morphometrics”, </w:t>
      </w:r>
      <w:r>
        <w:rPr>
          <w:rFonts w:ascii="Times New Roman" w:cs="Times New Roman" w:eastAsia="Times New Roman" w:hAnsi="Times New Roman"/>
          <w:sz w:val="22"/>
          <w:szCs w:val="22"/>
          <w:i w:val="1"/>
          <w:iCs w:val="1"/>
          <w:color w:val="auto"/>
        </w:rPr>
        <w:t>Annual Review of Ecology and Systematic</w:t>
      </w:r>
      <w:r>
        <w:rPr>
          <w:rFonts w:ascii="Times New Roman" w:cs="Times New Roman" w:eastAsia="Times New Roman" w:hAnsi="Times New Roman"/>
          <w:sz w:val="22"/>
          <w:szCs w:val="22"/>
          <w:color w:val="auto"/>
        </w:rPr>
        <w:t>, 21, pp. 299-316.</w:t>
      </w:r>
    </w:p>
    <w:p>
      <w:pPr>
        <w:spacing w:after="0" w:line="1"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 xml:space="preserve">Rzedowski, J. (1983), </w:t>
      </w:r>
      <w:r>
        <w:rPr>
          <w:rFonts w:ascii="Times New Roman" w:cs="Times New Roman" w:eastAsia="Times New Roman" w:hAnsi="Times New Roman"/>
          <w:sz w:val="22"/>
          <w:szCs w:val="22"/>
          <w:i w:val="1"/>
          <w:iCs w:val="1"/>
          <w:color w:val="auto"/>
        </w:rPr>
        <w:t>Vegetación de México</w:t>
      </w:r>
      <w:r>
        <w:rPr>
          <w:rFonts w:ascii="Times New Roman" w:cs="Times New Roman" w:eastAsia="Times New Roman" w:hAnsi="Times New Roman"/>
          <w:sz w:val="22"/>
          <w:szCs w:val="22"/>
          <w:color w:val="auto"/>
        </w:rPr>
        <w:t>, México, Limusa.</w:t>
      </w:r>
    </w:p>
    <w:p>
      <w:pPr>
        <w:spacing w:after="0" w:line="67"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Shine, R., S. Keogh, P. Doughty y H. Giragossyan (1998), “Costs of reproduction and the evolution of sexual dimorphism in a ‘flying lizard’ </w:t>
      </w:r>
      <w:r>
        <w:rPr>
          <w:rFonts w:ascii="Times New Roman" w:cs="Times New Roman" w:eastAsia="Times New Roman" w:hAnsi="Times New Roman"/>
          <w:sz w:val="22"/>
          <w:szCs w:val="22"/>
          <w:i w:val="1"/>
          <w:iCs w:val="1"/>
          <w:color w:val="auto"/>
        </w:rPr>
        <w:t>Draco melanopogon</w:t>
      </w:r>
      <w:r>
        <w:rPr>
          <w:rFonts w:ascii="Times New Roman" w:cs="Times New Roman" w:eastAsia="Times New Roman" w:hAnsi="Times New Roman"/>
          <w:sz w:val="22"/>
          <w:szCs w:val="22"/>
          <w:color w:val="auto"/>
        </w:rPr>
        <w:t xml:space="preserve"> (Agamidae)”, </w:t>
      </w:r>
      <w:r>
        <w:rPr>
          <w:rFonts w:ascii="Times New Roman" w:cs="Times New Roman" w:eastAsia="Times New Roman" w:hAnsi="Times New Roman"/>
          <w:sz w:val="22"/>
          <w:szCs w:val="22"/>
          <w:i w:val="1"/>
          <w:iCs w:val="1"/>
          <w:color w:val="auto"/>
        </w:rPr>
        <w:t>Journal of Zoology</w:t>
      </w:r>
      <w:r>
        <w:rPr>
          <w:rFonts w:ascii="Times New Roman" w:cs="Times New Roman" w:eastAsia="Times New Roman" w:hAnsi="Times New Roman"/>
          <w:sz w:val="22"/>
          <w:szCs w:val="22"/>
          <w:color w:val="auto"/>
        </w:rPr>
        <w:t>, 2, pp. 203-213.</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Suárez, R. O. (2010), </w:t>
      </w:r>
      <w:r>
        <w:rPr>
          <w:rFonts w:ascii="Times New Roman" w:cs="Times New Roman" w:eastAsia="Times New Roman" w:hAnsi="Times New Roman"/>
          <w:sz w:val="22"/>
          <w:szCs w:val="22"/>
          <w:i w:val="1"/>
          <w:iCs w:val="1"/>
          <w:color w:val="auto"/>
        </w:rPr>
        <w:t>Morfología corporal y comparación de la velocidad de escape en</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algunas especies de lacertilios mexicanos</w:t>
      </w:r>
      <w:r>
        <w:rPr>
          <w:rFonts w:ascii="Times New Roman" w:cs="Times New Roman" w:eastAsia="Times New Roman" w:hAnsi="Times New Roman"/>
          <w:sz w:val="22"/>
          <w:szCs w:val="22"/>
          <w:color w:val="auto"/>
        </w:rPr>
        <w:t>, tesis de licenciatura, Toluca, Facultad de</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Ciencias/Universidad Autónoma del Estado de México.</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Valenzuela, G. V. H. (1986), </w:t>
      </w:r>
      <w:r>
        <w:rPr>
          <w:rFonts w:ascii="Times New Roman" w:cs="Times New Roman" w:eastAsia="Times New Roman" w:hAnsi="Times New Roman"/>
          <w:sz w:val="22"/>
          <w:szCs w:val="22"/>
          <w:i w:val="1"/>
          <w:iCs w:val="1"/>
          <w:color w:val="auto"/>
        </w:rPr>
        <w:t>Estudio preliminar sobre micofagia por animales silvestres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de la Estación Experimental de Fauna Silvestre, San Cayetano, Estado de México</w:t>
      </w:r>
      <w:r>
        <w:rPr>
          <w:rFonts w:ascii="Times New Roman" w:cs="Times New Roman" w:eastAsia="Times New Roman" w:hAnsi="Times New Roman"/>
          <w:sz w:val="22"/>
          <w:szCs w:val="22"/>
          <w:color w:val="auto"/>
        </w:rPr>
        <w:t>, tesis</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de licenciatura, Toluca, Facultad de Ciencias/Universidad Nacional Autónoma de México.</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Vial, L. J. y R. J. Stewart (1989), “The manifestation and significance of sexual dimorphism in anguid lizards: a case study of </w:t>
      </w:r>
      <w:r>
        <w:rPr>
          <w:rFonts w:ascii="Times New Roman" w:cs="Times New Roman" w:eastAsia="Times New Roman" w:hAnsi="Times New Roman"/>
          <w:sz w:val="22"/>
          <w:szCs w:val="22"/>
          <w:i w:val="1"/>
          <w:iCs w:val="1"/>
          <w:color w:val="auto"/>
        </w:rPr>
        <w:t>Barisia monticola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Canadian</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Journal of Zoology, </w:t>
      </w:r>
      <w:r>
        <w:rPr>
          <w:rFonts w:ascii="Times New Roman" w:cs="Times New Roman" w:eastAsia="Times New Roman" w:hAnsi="Times New Roman"/>
          <w:sz w:val="22"/>
          <w:szCs w:val="22"/>
          <w:color w:val="auto"/>
        </w:rPr>
        <w:t>67, pp. 68-72</w:t>
      </w:r>
      <w:r>
        <w:rPr>
          <w:rFonts w:ascii="Times New Roman" w:cs="Times New Roman" w:eastAsia="Times New Roman" w:hAnsi="Times New Roman"/>
          <w:sz w:val="22"/>
          <w:szCs w:val="22"/>
          <w:b w:val="1"/>
          <w:bCs w:val="1"/>
          <w:color w:val="auto"/>
        </w:rPr>
        <w:t>.</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Vitt, L. J., J. P. Caldwell, P. A. Zani y T. A. Titus (1997), “The role of habitat shift in the evolution of lizard morphology: evidence from tropical </w:t>
      </w:r>
      <w:r>
        <w:rPr>
          <w:rFonts w:ascii="Times New Roman" w:cs="Times New Roman" w:eastAsia="Times New Roman" w:hAnsi="Times New Roman"/>
          <w:sz w:val="22"/>
          <w:szCs w:val="22"/>
          <w:i w:val="1"/>
          <w:iCs w:val="1"/>
          <w:color w:val="auto"/>
        </w:rPr>
        <w:t>Tropidurus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Evolution</w:t>
      </w:r>
      <w:r>
        <w:rPr>
          <w:rFonts w:ascii="Times New Roman" w:cs="Times New Roman" w:eastAsia="Times New Roman" w:hAnsi="Times New Roman"/>
          <w:sz w:val="22"/>
          <w:szCs w:val="22"/>
          <w:color w:val="auto"/>
        </w:rPr>
        <w:t>, 94, pp. 3828-3832.</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Zaldívar, R. A., W. Schmidt y P. Heimes (2002), </w:t>
      </w:r>
      <w:r>
        <w:rPr>
          <w:rFonts w:ascii="Times New Roman" w:cs="Times New Roman" w:eastAsia="Times New Roman" w:hAnsi="Times New Roman"/>
          <w:sz w:val="22"/>
          <w:szCs w:val="22"/>
          <w:i w:val="1"/>
          <w:iCs w:val="1"/>
          <w:color w:val="auto"/>
        </w:rPr>
        <w:t>Barisia imbricata.</w:t>
      </w:r>
      <w:r>
        <w:rPr>
          <w:rFonts w:ascii="Times New Roman" w:cs="Times New Roman" w:eastAsia="Times New Roman" w:hAnsi="Times New Roman"/>
          <w:sz w:val="22"/>
          <w:szCs w:val="22"/>
          <w:color w:val="auto"/>
        </w:rPr>
        <w:t xml:space="preserve"> Revisión de las categorías en el proyecto de la norma oficial mexicana (PROY-NOM 059-2000) para las especies de lagartijas de la familia Anguidae (Reptilia). Museo de Zoología “Alfonso L. Herrera” [Bases de datos snib-Conabio. Proyecto W026], México, Departamento de Biología / Universidad Nacional Autónoma de México.</w:t>
      </w:r>
    </w:p>
    <w:p>
      <w:pPr>
        <w:spacing w:after="0" w:line="4"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 xml:space="preserve">Zar, H. J. (1999), </w:t>
      </w:r>
      <w:r>
        <w:rPr>
          <w:rFonts w:ascii="Times New Roman" w:cs="Times New Roman" w:eastAsia="Times New Roman" w:hAnsi="Times New Roman"/>
          <w:sz w:val="22"/>
          <w:szCs w:val="22"/>
          <w:i w:val="1"/>
          <w:iCs w:val="1"/>
          <w:color w:val="auto"/>
        </w:rPr>
        <w:t>Biostatistical analysis</w:t>
      </w:r>
      <w:r>
        <w:rPr>
          <w:rFonts w:ascii="Times New Roman" w:cs="Times New Roman" w:eastAsia="Times New Roman" w:hAnsi="Times New Roman"/>
          <w:sz w:val="22"/>
          <w:szCs w:val="22"/>
          <w:color w:val="auto"/>
        </w:rPr>
        <w:t xml:space="preserve">, Estados Unidos, Prentice Hall, 2ª ed. Zeldictch, L. M., D. L. Swederrski, H .D. Sheets y W. L. Fink (2004), </w:t>
      </w:r>
      <w:r>
        <w:rPr>
          <w:rFonts w:ascii="Times New Roman" w:cs="Times New Roman" w:eastAsia="Times New Roman" w:hAnsi="Times New Roman"/>
          <w:sz w:val="22"/>
          <w:szCs w:val="22"/>
          <w:i w:val="1"/>
          <w:iCs w:val="1"/>
          <w:color w:val="auto"/>
        </w:rPr>
        <w:t>Geometric</w:t>
      </w:r>
    </w:p>
    <w:p>
      <w:pPr>
        <w:spacing w:after="0" w:line="1" w:lineRule="exact"/>
        <w:rPr>
          <w:sz w:val="20"/>
          <w:szCs w:val="20"/>
          <w:color w:val="auto"/>
        </w:rPr>
      </w:pPr>
    </w:p>
    <w:p>
      <w:pPr>
        <w:ind w:left="360"/>
        <w:spacing w:after="0"/>
        <w:rPr>
          <w:sz w:val="20"/>
          <w:szCs w:val="20"/>
          <w:color w:val="auto"/>
        </w:rPr>
      </w:pPr>
      <w:r>
        <w:rPr>
          <w:rFonts w:ascii="Times New Roman" w:cs="Times New Roman" w:eastAsia="Times New Roman" w:hAnsi="Times New Roman"/>
          <w:sz w:val="21"/>
          <w:szCs w:val="21"/>
          <w:i w:val="1"/>
          <w:iCs w:val="1"/>
          <w:color w:val="auto"/>
        </w:rPr>
        <w:t>morphometrics for biologist: a primer</w:t>
      </w:r>
      <w:r>
        <w:rPr>
          <w:rFonts w:ascii="Times New Roman" w:cs="Times New Roman" w:eastAsia="Times New Roman" w:hAnsi="Times New Roman"/>
          <w:sz w:val="21"/>
          <w:szCs w:val="21"/>
          <w:color w:val="auto"/>
        </w:rPr>
        <w:t>, Nueva York, Elservier Academic Press.</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63"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46" name="Shape 24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46" o:spid="_x0000_s127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47" name="Shape 24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47" o:spid="_x0000_s127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48" name="Shape 24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48" o:spid="_x0000_s127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05" w:name="page106"/>
    <w:bookmarkEnd w:id="105"/>
    <w:p>
      <w:pPr>
        <w:spacing w:after="0" w:line="194" w:lineRule="exact"/>
        <w:rPr>
          <w:sz w:val="20"/>
          <w:szCs w:val="20"/>
          <w:color w:val="auto"/>
        </w:rPr>
      </w:pPr>
    </w:p>
    <w:p>
      <w:pPr>
        <w:ind w:left="20"/>
        <w:spacing w:after="0"/>
        <w:rPr>
          <w:sz w:val="20"/>
          <w:szCs w:val="20"/>
          <w:color w:val="auto"/>
        </w:rPr>
      </w:pPr>
      <w:r>
        <w:rPr>
          <w:rFonts w:ascii="Times New Roman" w:cs="Times New Roman" w:eastAsia="Times New Roman" w:hAnsi="Times New Roman"/>
          <w:sz w:val="24"/>
          <w:szCs w:val="24"/>
          <w:color w:val="auto"/>
        </w:rPr>
        <w:t>MORFOMETRÍA EXTERNA DEL CORAZÓN DE DOS ESPECIES</w:t>
      </w:r>
    </w:p>
    <w:p>
      <w:pPr>
        <w:spacing w:after="0" w:line="44" w:lineRule="exact"/>
        <w:rPr>
          <w:sz w:val="20"/>
          <w:szCs w:val="20"/>
          <w:color w:val="auto"/>
        </w:rPr>
      </w:pPr>
    </w:p>
    <w:p>
      <w:pPr>
        <w:ind w:left="60"/>
        <w:spacing w:after="0"/>
        <w:rPr>
          <w:sz w:val="20"/>
          <w:szCs w:val="20"/>
          <w:color w:val="auto"/>
        </w:rPr>
      </w:pPr>
      <w:r>
        <w:rPr>
          <w:rFonts w:ascii="Times New Roman" w:cs="Times New Roman" w:eastAsia="Times New Roman" w:hAnsi="Times New Roman"/>
          <w:sz w:val="24"/>
          <w:szCs w:val="24"/>
          <w:color w:val="auto"/>
        </w:rPr>
        <w:t>HERMANAS DEL GRUPO SCALARIS CON DIFERENTE MODO</w:t>
      </w:r>
    </w:p>
    <w:p>
      <w:pPr>
        <w:spacing w:after="0" w:line="44" w:lineRule="exact"/>
        <w:rPr>
          <w:sz w:val="20"/>
          <w:szCs w:val="20"/>
          <w:color w:val="auto"/>
        </w:rPr>
      </w:pPr>
    </w:p>
    <w:p>
      <w:pPr>
        <w:ind w:left="940"/>
        <w:spacing w:after="0"/>
        <w:rPr>
          <w:sz w:val="20"/>
          <w:szCs w:val="20"/>
          <w:color w:val="auto"/>
        </w:rPr>
      </w:pPr>
      <w:r>
        <w:rPr>
          <w:rFonts w:ascii="Times New Roman" w:cs="Times New Roman" w:eastAsia="Times New Roman" w:hAnsi="Times New Roman"/>
          <w:sz w:val="24"/>
          <w:szCs w:val="24"/>
          <w:color w:val="auto"/>
        </w:rPr>
        <w:t>REPRODUCTOR Y DE DISTINTAS ALTITUDES</w:t>
      </w:r>
    </w:p>
    <w:p>
      <w:pPr>
        <w:spacing w:after="0" w:line="200" w:lineRule="exact"/>
        <w:rPr>
          <w:sz w:val="20"/>
          <w:szCs w:val="20"/>
          <w:color w:val="auto"/>
        </w:rPr>
      </w:pPr>
    </w:p>
    <w:p>
      <w:pPr>
        <w:spacing w:after="0" w:line="201"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0"/>
          <w:szCs w:val="20"/>
          <w:i w:val="1"/>
          <w:iCs w:val="1"/>
          <w:color w:val="auto"/>
        </w:rPr>
        <w:t>M. Ruiz-Valencia</w:t>
      </w:r>
    </w:p>
    <w:p>
      <w:pPr>
        <w:spacing w:after="0" w:line="90"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0"/>
          <w:szCs w:val="20"/>
          <w:i w:val="1"/>
          <w:iCs w:val="1"/>
          <w:color w:val="auto"/>
        </w:rPr>
        <w:t>F. Rodríguez-Romero</w:t>
      </w:r>
    </w:p>
    <w:p>
      <w:pPr>
        <w:spacing w:after="0" w:line="90"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0"/>
          <w:szCs w:val="20"/>
          <w:i w:val="1"/>
          <w:iCs w:val="1"/>
          <w:color w:val="auto"/>
        </w:rPr>
        <w:t>F. Méndez-Sánchez</w:t>
      </w:r>
    </w:p>
    <w:p>
      <w:pPr>
        <w:spacing w:after="0" w:line="200" w:lineRule="exact"/>
        <w:rPr>
          <w:sz w:val="20"/>
          <w:szCs w:val="20"/>
          <w:color w:val="auto"/>
        </w:rPr>
      </w:pPr>
    </w:p>
    <w:p>
      <w:pPr>
        <w:spacing w:after="0" w:line="200" w:lineRule="exact"/>
        <w:rPr>
          <w:sz w:val="20"/>
          <w:szCs w:val="20"/>
          <w:color w:val="auto"/>
        </w:rPr>
      </w:pPr>
    </w:p>
    <w:p>
      <w:pPr>
        <w:spacing w:after="0" w:line="312"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Resumen</w:t>
      </w:r>
    </w:p>
    <w:p>
      <w:pPr>
        <w:spacing w:after="0" w:line="387" w:lineRule="exact"/>
        <w:rPr>
          <w:sz w:val="20"/>
          <w:szCs w:val="20"/>
          <w:color w:val="auto"/>
        </w:rPr>
      </w:pPr>
    </w:p>
    <w:p>
      <w:pPr>
        <w:jc w:val="both"/>
        <w:spacing w:after="0" w:line="333" w:lineRule="auto"/>
        <w:rPr>
          <w:sz w:val="20"/>
          <w:szCs w:val="20"/>
          <w:color w:val="auto"/>
        </w:rPr>
      </w:pPr>
      <w:r>
        <w:rPr>
          <w:rFonts w:ascii="Times New Roman" w:cs="Times New Roman" w:eastAsia="Times New Roman" w:hAnsi="Times New Roman"/>
          <w:sz w:val="20"/>
          <w:szCs w:val="20"/>
          <w:color w:val="auto"/>
        </w:rPr>
        <w:t>El corazón es el órgano que bombea la sangre a todos los tejidos y a elevadas altitudes tiene que compensar la poca disponibilidad de oxígeno (O</w:t>
      </w:r>
      <w:r>
        <w:rPr>
          <w:rFonts w:ascii="Times New Roman" w:cs="Times New Roman" w:eastAsia="Times New Roman" w:hAnsi="Times New Roman"/>
          <w:sz w:val="23"/>
          <w:szCs w:val="23"/>
          <w:color w:val="auto"/>
          <w:vertAlign w:val="subscript"/>
        </w:rPr>
        <w:t>2</w:t>
      </w:r>
      <w:r>
        <w:rPr>
          <w:rFonts w:ascii="Times New Roman" w:cs="Times New Roman" w:eastAsia="Times New Roman" w:hAnsi="Times New Roman"/>
          <w:sz w:val="20"/>
          <w:szCs w:val="20"/>
          <w:color w:val="auto"/>
        </w:rPr>
        <w:t xml:space="preserve">), así como las bajas temperaturas, por lo que puede presentar cambios morfológicos, fisiológicos, metabólicos, genéticos, bioquímicos, etc. En el presente estudio se relaciona altitud (variable artificial), morfometría del corazón y morfometría del cuerpo de dos especies hermanas del género </w:t>
      </w:r>
      <w:r>
        <w:rPr>
          <w:rFonts w:ascii="Times New Roman" w:cs="Times New Roman" w:eastAsia="Times New Roman" w:hAnsi="Times New Roman"/>
          <w:sz w:val="20"/>
          <w:szCs w:val="20"/>
          <w:i w:val="1"/>
          <w:iCs w:val="1"/>
          <w:color w:val="auto"/>
        </w:rPr>
        <w:t>Sceloporus</w:t>
      </w:r>
      <w:r>
        <w:rPr>
          <w:rFonts w:ascii="Times New Roman" w:cs="Times New Roman" w:eastAsia="Times New Roman" w:hAnsi="Times New Roman"/>
          <w:sz w:val="20"/>
          <w:szCs w:val="20"/>
          <w:color w:val="auto"/>
        </w:rPr>
        <w:t xml:space="preserve">. Nueve organismos que viven a 2 645 msnm, 11 a 2 857 msnm, 25 a 3 245 msnm y 26 a 4 200 msnm fueron analizados. A cada ejemplar se le tomaron 18 medidas morfológicas corporales y 10 del corazón. Los datos se examinaron mediante un análisis de componentes principales (acp), un análisis de covarianza (Ancova) y un análisis de varianza (Anova) multifactorial. Los resultados sugieren diferencias significativas de la forma del cuerpo y del corazón entre poblaciones (altitudes), pero no entre sexos, además de discrepancias respecto al modo reproductor. No se encontró un patrón lineal entre la forma y la altitud, ya que la población de altitud más baja no mostró desemejanzas en comparación con la de mayor elevación en dichas variables. No obstante, se halló una relación inversa entre el tamaño corporal y la morfometría del corazón. Dentro de las características morfológicas, se determinaron dos posibles morfos: el primero para las poblaciones de </w:t>
      </w:r>
      <w:r>
        <w:rPr>
          <w:rFonts w:ascii="Times New Roman" w:cs="Times New Roman" w:eastAsia="Times New Roman" w:hAnsi="Times New Roman"/>
          <w:sz w:val="20"/>
          <w:szCs w:val="20"/>
          <w:i w:val="1"/>
          <w:iCs w:val="1"/>
          <w:color w:val="auto"/>
        </w:rPr>
        <w:t xml:space="preserve">S. bicanthalis; </w:t>
      </w:r>
      <w:r>
        <w:rPr>
          <w:rFonts w:ascii="Times New Roman" w:cs="Times New Roman" w:eastAsia="Times New Roman" w:hAnsi="Times New Roman"/>
          <w:sz w:val="20"/>
          <w:szCs w:val="20"/>
          <w:color w:val="auto"/>
        </w:rPr>
        <w:t>el segundo, aunque no puntualmente definido, para las poblaciones</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 xml:space="preserve">de </w:t>
      </w:r>
      <w:r>
        <w:rPr>
          <w:rFonts w:ascii="Times New Roman" w:cs="Times New Roman" w:eastAsia="Times New Roman" w:hAnsi="Times New Roman"/>
          <w:sz w:val="20"/>
          <w:szCs w:val="20"/>
          <w:i w:val="1"/>
          <w:iCs w:val="1"/>
          <w:color w:val="auto"/>
        </w:rPr>
        <w:t>S. aeneus</w:t>
      </w:r>
      <w:r>
        <w:rPr>
          <w:rFonts w:ascii="Times New Roman" w:cs="Times New Roman" w:eastAsia="Times New Roman" w:hAnsi="Times New Roman"/>
          <w:sz w:val="20"/>
          <w:szCs w:val="20"/>
          <w:color w:val="auto"/>
        </w:rPr>
        <w:t xml:space="preserve">. En cuanto al corazón, se encontraron dos posibles formas en </w:t>
      </w:r>
      <w:r>
        <w:rPr>
          <w:rFonts w:ascii="Times New Roman" w:cs="Times New Roman" w:eastAsia="Times New Roman" w:hAnsi="Times New Roman"/>
          <w:sz w:val="20"/>
          <w:szCs w:val="20"/>
          <w:i w:val="1"/>
          <w:iCs w:val="1"/>
          <w:color w:val="auto"/>
        </w:rPr>
        <w:t>S. bicanthalis</w:t>
      </w:r>
      <w:r>
        <w:rPr>
          <w:rFonts w:ascii="Times New Roman" w:cs="Times New Roman" w:eastAsia="Times New Roman" w:hAnsi="Times New Roman"/>
          <w:sz w:val="20"/>
          <w:szCs w:val="20"/>
          <w:color w:val="auto"/>
        </w:rPr>
        <w:t>: para las localidades de bajas altitudes prevalece un corazón alargado; en tanto que</w:t>
      </w:r>
    </w:p>
    <w:p>
      <w:pPr>
        <w:sectPr>
          <w:pgSz w:w="9360" w:h="13039" w:orient="portrait"/>
          <w:cols w:equalWidth="0" w:num="1">
            <w:col w:w="7200"/>
          </w:cols>
          <w:pgMar w:left="1080" w:top="1440" w:right="1080" w:bottom="437" w:gutter="0" w:footer="0" w:header="0"/>
        </w:sectPr>
      </w:pPr>
    </w:p>
    <w:p>
      <w:pPr>
        <w:spacing w:after="0" w:line="200" w:lineRule="exact"/>
        <w:rPr>
          <w:sz w:val="20"/>
          <w:szCs w:val="20"/>
          <w:color w:val="auto"/>
        </w:rPr>
      </w:pPr>
    </w:p>
    <w:p>
      <w:pPr>
        <w:spacing w:after="0" w:line="340"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1440" w:right="1080" w:bottom="437" w:gutter="0" w:footer="0" w:header="0"/>
          <w:type w:val="continuous"/>
        </w:sectPr>
      </w:pPr>
    </w:p>
    <w:bookmarkStart w:id="106" w:name="page107"/>
    <w:bookmarkEnd w:id="106"/>
    <w:p>
      <w:pPr>
        <w:spacing w:after="0"/>
        <w:tabs>
          <w:tab w:leader="none" w:pos="2100" w:val="left"/>
          <w:tab w:leader="none" w:pos="2960" w:val="left"/>
          <w:tab w:leader="none" w:pos="4120" w:val="left"/>
        </w:tabs>
        <w:rPr>
          <w:sz w:val="20"/>
          <w:szCs w:val="20"/>
          <w:color w:val="auto"/>
        </w:rPr>
      </w:pPr>
      <w:r>
        <w:rPr>
          <w:rFonts w:ascii="Arial Narrow" w:cs="Arial Narrow" w:eastAsia="Arial Narrow" w:hAnsi="Arial Narrow"/>
          <w:sz w:val="16"/>
          <w:szCs w:val="16"/>
          <w:color w:val="auto"/>
        </w:rPr>
        <w:t>106</w:t>
      </w:r>
      <w:r>
        <w:rPr>
          <w:sz w:val="20"/>
          <w:szCs w:val="20"/>
          <w:color w:val="auto"/>
        </w:rPr>
        <w:tab/>
      </w:r>
      <w:r>
        <w:rPr>
          <w:rFonts w:ascii="Arial Narrow" w:cs="Arial Narrow" w:eastAsia="Arial Narrow" w:hAnsi="Arial Narrow"/>
          <w:sz w:val="11"/>
          <w:szCs w:val="11"/>
          <w:color w:val="auto"/>
        </w:rPr>
        <w:t>ruiz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valencia</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1858645</wp:posOffset>
                </wp:positionH>
                <wp:positionV relativeFrom="paragraph">
                  <wp:posOffset>-76835</wp:posOffset>
                </wp:positionV>
                <wp:extent cx="0" cy="88900"/>
                <wp:wrapNone/>
                <wp:docPr id="249" name="Shape 24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49" o:spid="_x0000_s127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6.35pt,-6.0499pt" to="146.3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2602230</wp:posOffset>
                </wp:positionH>
                <wp:positionV relativeFrom="paragraph">
                  <wp:posOffset>-76835</wp:posOffset>
                </wp:positionV>
                <wp:extent cx="0" cy="88900"/>
                <wp:wrapNone/>
                <wp:docPr id="250" name="Shape 25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50" o:spid="_x0000_s127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4.9pt,-6.0499pt" to="204.9pt,0.95pt" o:allowincell="f" strokecolor="#000000" strokeweight="0.4pt"/>
            </w:pict>
          </mc:Fallback>
        </mc:AlternateContent>
      </w:r>
    </w:p>
    <w:p>
      <w:pPr>
        <w:spacing w:after="0" w:line="347" w:lineRule="exact"/>
        <w:rPr>
          <w:sz w:val="20"/>
          <w:szCs w:val="20"/>
          <w:color w:val="auto"/>
        </w:rPr>
      </w:pPr>
    </w:p>
    <w:p>
      <w:pPr>
        <w:jc w:val="both"/>
        <w:spacing w:after="0" w:line="322" w:lineRule="auto"/>
        <w:rPr>
          <w:sz w:val="20"/>
          <w:szCs w:val="20"/>
          <w:color w:val="auto"/>
        </w:rPr>
      </w:pPr>
      <w:r>
        <w:rPr>
          <w:rFonts w:ascii="Times New Roman" w:cs="Times New Roman" w:eastAsia="Times New Roman" w:hAnsi="Times New Roman"/>
          <w:sz w:val="21"/>
          <w:szCs w:val="21"/>
          <w:color w:val="auto"/>
        </w:rPr>
        <w:t xml:space="preserve">las poblaciones de elevadas altitudes presentan una forma del corazón ensanchada. Debido a las variaciones encontradas, se puede sugerir que la altitud causa un efecto en la morfometría corporal y en la del corazón actuando de manera diferente en especies vivíparas y ovíparas; además, los organismos desarrollan estrategias como los denominados </w:t>
      </w:r>
      <w:r>
        <w:rPr>
          <w:rFonts w:ascii="Times New Roman" w:cs="Times New Roman" w:eastAsia="Times New Roman" w:hAnsi="Times New Roman"/>
          <w:sz w:val="21"/>
          <w:szCs w:val="21"/>
          <w:i w:val="1"/>
          <w:iCs w:val="1"/>
          <w:color w:val="auto"/>
        </w:rPr>
        <w:t>trade offs,</w:t>
      </w:r>
      <w:r>
        <w:rPr>
          <w:rFonts w:ascii="Times New Roman" w:cs="Times New Roman" w:eastAsia="Times New Roman" w:hAnsi="Times New Roman"/>
          <w:sz w:val="21"/>
          <w:szCs w:val="21"/>
          <w:color w:val="auto"/>
        </w:rPr>
        <w:t xml:space="preserve"> o trueques, que restringen la inversión de energía en el desarrollo de ciertas características para destinarla al incremento de otras, lo que también refleja plasticidad fenotípica, todo ello con el propósito de compensar las restricciones del ambiente y mantener la mayor eficacia biológica para sobrevivir, adaptarse y evolucionar en zonas extremas.</w:t>
      </w:r>
    </w:p>
    <w:p>
      <w:pPr>
        <w:spacing w:after="0" w:line="200" w:lineRule="exact"/>
        <w:rPr>
          <w:sz w:val="20"/>
          <w:szCs w:val="20"/>
          <w:color w:val="auto"/>
        </w:rPr>
      </w:pPr>
    </w:p>
    <w:p>
      <w:pPr>
        <w:spacing w:after="0" w:line="200" w:lineRule="exact"/>
        <w:rPr>
          <w:sz w:val="20"/>
          <w:szCs w:val="20"/>
          <w:color w:val="auto"/>
        </w:rPr>
      </w:pPr>
    </w:p>
    <w:p>
      <w:pPr>
        <w:spacing w:after="0" w:line="204"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Introducción</w:t>
      </w:r>
    </w:p>
    <w:p>
      <w:pPr>
        <w:spacing w:after="0" w:line="38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El corazón es uno de los elementos más importantes del organismo; es el órgano central del sistema circulatorio. La función que desempeña es actuar como una bomba aspirante e impelente para crear el impulso necesario y que así la sangre llegue a todos los tejidos (Guyton y Hall, 2006).</w:t>
      </w:r>
    </w:p>
    <w:p>
      <w:pPr>
        <w:spacing w:after="0" w:line="2" w:lineRule="exact"/>
        <w:rPr>
          <w:sz w:val="20"/>
          <w:szCs w:val="20"/>
          <w:color w:val="auto"/>
        </w:rPr>
      </w:pPr>
    </w:p>
    <w:p>
      <w:pPr>
        <w:jc w:val="both"/>
        <w:ind w:firstLine="360"/>
        <w:spacing w:after="0" w:line="296" w:lineRule="auto"/>
        <w:rPr>
          <w:sz w:val="20"/>
          <w:szCs w:val="20"/>
          <w:color w:val="auto"/>
        </w:rPr>
      </w:pPr>
      <w:r>
        <w:rPr>
          <w:rFonts w:ascii="Times New Roman" w:cs="Times New Roman" w:eastAsia="Times New Roman" w:hAnsi="Times New Roman"/>
          <w:sz w:val="22"/>
          <w:szCs w:val="22"/>
          <w:color w:val="auto"/>
        </w:rPr>
        <w:t>Este órgano necesita condiciones específicas para mantener un buen funcionamiento. En los mamíferos, el corazón consume entre 200 y 300 ml/min de O</w:t>
      </w:r>
      <w:r>
        <w:rPr>
          <w:rFonts w:ascii="Times New Roman" w:cs="Times New Roman" w:eastAsia="Times New Roman" w:hAnsi="Times New Roman"/>
          <w:sz w:val="25"/>
          <w:szCs w:val="25"/>
          <w:color w:val="auto"/>
          <w:vertAlign w:val="subscript"/>
        </w:rPr>
        <w:t>2</w:t>
      </w:r>
      <w:r>
        <w:rPr>
          <w:rFonts w:ascii="Times New Roman" w:cs="Times New Roman" w:eastAsia="Times New Roman" w:hAnsi="Times New Roman"/>
          <w:sz w:val="22"/>
          <w:szCs w:val="22"/>
          <w:color w:val="auto"/>
        </w:rPr>
        <w:t xml:space="preserve"> y es capaz de soportar un amplio gradiente de temperaturas, aunque esto causa variaciones proporcionales en el ritmo cardíaco y un pH alcalino para facilitar el transporte de oxígeno, dado que así la sangre fluye más fácil a través del cuerpo (Thibodeau y Patton, 2007).</w:t>
      </w:r>
    </w:p>
    <w:p>
      <w:pPr>
        <w:spacing w:after="0" w:line="5"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Las variables ambientales ejercen una presión de selección sobre los organismos estimulándolos a desarrollar respuestas a las mismas (Benabib, 1993). La altitud es una variable (artificial y compleja) que incluye diferentes factores, como temperatura, presión parcial de oxígeno, humedad, precipitación, entre otros; éstos afectan directa o indirectamente la adaptación y, por consiguiente, la adecuación de los organismos (Morrison y Marchero, 2003).</w:t>
      </w:r>
    </w:p>
    <w:p>
      <w:pPr>
        <w:spacing w:after="0" w:line="4" w:lineRule="exact"/>
        <w:rPr>
          <w:sz w:val="20"/>
          <w:szCs w:val="20"/>
          <w:color w:val="auto"/>
        </w:rPr>
      </w:pPr>
    </w:p>
    <w:p>
      <w:pPr>
        <w:jc w:val="both"/>
        <w:ind w:firstLine="360"/>
        <w:spacing w:after="0" w:line="354" w:lineRule="auto"/>
        <w:rPr>
          <w:sz w:val="20"/>
          <w:szCs w:val="20"/>
          <w:color w:val="auto"/>
        </w:rPr>
      </w:pPr>
      <w:r>
        <w:rPr>
          <w:rFonts w:ascii="Times New Roman" w:cs="Times New Roman" w:eastAsia="Times New Roman" w:hAnsi="Times New Roman"/>
          <w:sz w:val="21"/>
          <w:szCs w:val="21"/>
          <w:color w:val="auto"/>
        </w:rPr>
        <w:t>Los individuos responden de diferente manera ante la variación ambiental que se presenta a elevadas altitudes, por ejemplo, la disminución de la presión atmosférica,</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12"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51" name="Shape 25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51" o:spid="_x0000_s127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52" name="Shape 25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52" o:spid="_x0000_s127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53" name="Shape 25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53" o:spid="_x0000_s127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07" w:name="page108"/>
    <w:bookmarkEnd w:id="107"/>
    <w:p>
      <w:pPr>
        <w:ind w:left="1180"/>
        <w:spacing w:after="0"/>
        <w:tabs>
          <w:tab w:leader="dot" w:pos="6960" w:val="left"/>
        </w:tabs>
        <w:rPr>
          <w:sz w:val="20"/>
          <w:szCs w:val="20"/>
          <w:color w:val="auto"/>
        </w:rPr>
      </w:pPr>
      <w:r>
        <w:rPr>
          <w:rFonts w:ascii="Arial Narrow" w:cs="Arial Narrow" w:eastAsia="Arial Narrow" w:hAnsi="Arial Narrow"/>
          <w:sz w:val="11"/>
          <w:szCs w:val="11"/>
          <w:color w:val="auto"/>
        </w:rPr>
        <w:t>morfometría externa del corazón de dos especies hermanas del grupo scalaris</w:t>
      </w:r>
      <w:r>
        <w:rPr>
          <w:sz w:val="20"/>
          <w:szCs w:val="20"/>
          <w:color w:val="auto"/>
        </w:rPr>
        <w:tab/>
      </w:r>
      <w:r>
        <w:rPr>
          <w:rFonts w:ascii="Arial Narrow" w:cs="Arial Narrow" w:eastAsia="Arial Narrow" w:hAnsi="Arial Narrow"/>
          <w:sz w:val="16"/>
          <w:szCs w:val="16"/>
          <w:color w:val="auto"/>
        </w:rPr>
        <w:t>107</w:t>
      </w:r>
    </w:p>
    <w:p>
      <w:pPr>
        <w:spacing w:after="0" w:line="200" w:lineRule="exact"/>
        <w:rPr>
          <w:sz w:val="20"/>
          <w:szCs w:val="20"/>
          <w:color w:val="auto"/>
        </w:rPr>
      </w:pPr>
    </w:p>
    <w:p>
      <w:pPr>
        <w:spacing w:after="0" w:line="349"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 xml:space="preserve">que conlleva una menor disponibilidad de oxígeno, la disminución de temperatura y humedad, así como una mayor velocidad del viento. Las respuestas pueden expresarse mediante una serie de modificaciones cardiovasculares, respiratorias, hematológicas y metabólicas (Hernández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1999).</w:t>
      </w:r>
    </w:p>
    <w:p>
      <w:pPr>
        <w:spacing w:after="0" w:line="2" w:lineRule="exact"/>
        <w:rPr>
          <w:sz w:val="20"/>
          <w:szCs w:val="20"/>
          <w:color w:val="auto"/>
        </w:rPr>
      </w:pPr>
    </w:p>
    <w:p>
      <w:pPr>
        <w:jc w:val="both"/>
        <w:ind w:firstLine="360"/>
        <w:spacing w:after="0" w:line="333" w:lineRule="auto"/>
        <w:rPr>
          <w:sz w:val="20"/>
          <w:szCs w:val="20"/>
          <w:color w:val="auto"/>
        </w:rPr>
      </w:pPr>
      <w:r>
        <w:rPr>
          <w:rFonts w:ascii="Times New Roman" w:cs="Times New Roman" w:eastAsia="Times New Roman" w:hAnsi="Times New Roman"/>
          <w:sz w:val="20"/>
          <w:szCs w:val="20"/>
          <w:color w:val="auto"/>
        </w:rPr>
        <w:t>En los organismos, la morfología dicta el desempeño individual que limita y restringe su conducta. Las interconexiones entre el diseño morfológico y la función son puntos centrales para la biología evolutiva debido a que pueden definir ciertos patrones naturales, como la distribución de las especies, la diversificación filogenética y la especialización morfológica, características que permiten a las especies sobrevivir, adaptarse y evolucionar en un hábitat determinado (Valencia Flores, 2008).</w:t>
      </w:r>
    </w:p>
    <w:p>
      <w:pPr>
        <w:spacing w:after="0" w:line="5"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La morfometría es un método basado en la forma y en las medidas de organismos u órganos que ayuda a su clasificación e identificación; es de gran utilidad en la investigación con animales para realizar inferencias de la especie o del grado de desarrollo de alguno de sus órganos (Padovani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2007). Mediante esta técnica se pueden conocer las adaptaciones que los organismos han desarrollado al medio en que habitan (Kaliontzopoulou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2007).</w:t>
      </w:r>
    </w:p>
    <w:p>
      <w:pPr>
        <w:spacing w:after="0" w:line="4"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 xml:space="preserve">Lo anterior sirve como herramienta base para integrar estudios sobre la ecomorfología, campo de investigación que permite conocer la relación entre el fenotipo (morfología) de los organismos y el ambiente en el que han evolucionado (Plumeer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2008), así como las formas corporales o de los órganos y su adaptación de la función que desempeñan (Wainwright y Bellwood, 2001).</w:t>
      </w: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La mayor parte de las investigaciones que se han realizado con el propósito de identificar las modificaciones presentes en los organismos que habitan a elevadas altitudes ha tenido enfoques genéticos, bioquímicos, fisiológicos y hasta de microestructuras celulares. Considerar en los estudios la morfología externa y el desarrollo de órganos como el corazón es de suma importancia para mejorar o complementar la interpretación de estas variaciones, ya que éstos pueden ser afectados directamente por las restricciones en el ambiente, lo que fuerza a las especies a desarrollar diversas estrategias para adaptarse.</w:t>
      </w:r>
    </w:p>
    <w:p>
      <w:pPr>
        <w:spacing w:after="0" w:line="5" w:lineRule="exact"/>
        <w:rPr>
          <w:sz w:val="20"/>
          <w:szCs w:val="20"/>
          <w:color w:val="auto"/>
        </w:rPr>
      </w:pPr>
    </w:p>
    <w:p>
      <w:pPr>
        <w:jc w:val="both"/>
        <w:ind w:firstLine="360"/>
        <w:spacing w:after="0" w:line="354" w:lineRule="auto"/>
        <w:rPr>
          <w:sz w:val="20"/>
          <w:szCs w:val="20"/>
          <w:color w:val="auto"/>
        </w:rPr>
      </w:pPr>
      <w:r>
        <w:rPr>
          <w:rFonts w:ascii="Times New Roman" w:cs="Times New Roman" w:eastAsia="Times New Roman" w:hAnsi="Times New Roman"/>
          <w:sz w:val="21"/>
          <w:szCs w:val="21"/>
          <w:color w:val="auto"/>
        </w:rPr>
        <w:t>Otro aspecto es la preferencia, para este tipo de investigaciones, por grupos de mamíferos, peces y algunas aves, quizá, debido a que son vertebrados fáciles de</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312"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108" w:name="page109"/>
    <w:bookmarkEnd w:id="108"/>
    <w:p>
      <w:pPr>
        <w:spacing w:after="0"/>
        <w:tabs>
          <w:tab w:leader="none" w:pos="2100" w:val="left"/>
          <w:tab w:leader="none" w:pos="2960" w:val="left"/>
          <w:tab w:leader="none" w:pos="4120" w:val="left"/>
        </w:tabs>
        <w:rPr>
          <w:sz w:val="20"/>
          <w:szCs w:val="20"/>
          <w:color w:val="auto"/>
        </w:rPr>
      </w:pPr>
      <w:r>
        <w:rPr>
          <w:rFonts w:ascii="Arial Narrow" w:cs="Arial Narrow" w:eastAsia="Arial Narrow" w:hAnsi="Arial Narrow"/>
          <w:sz w:val="16"/>
          <w:szCs w:val="16"/>
          <w:color w:val="auto"/>
        </w:rPr>
        <w:t>108</w:t>
      </w:r>
      <w:r>
        <w:rPr>
          <w:sz w:val="20"/>
          <w:szCs w:val="20"/>
          <w:color w:val="auto"/>
        </w:rPr>
        <w:tab/>
      </w:r>
      <w:r>
        <w:rPr>
          <w:rFonts w:ascii="Arial Narrow" w:cs="Arial Narrow" w:eastAsia="Arial Narrow" w:hAnsi="Arial Narrow"/>
          <w:sz w:val="11"/>
          <w:szCs w:val="11"/>
          <w:color w:val="auto"/>
        </w:rPr>
        <w:t>ruiz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valencia</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1858645</wp:posOffset>
                </wp:positionH>
                <wp:positionV relativeFrom="paragraph">
                  <wp:posOffset>-76835</wp:posOffset>
                </wp:positionV>
                <wp:extent cx="0" cy="88900"/>
                <wp:wrapNone/>
                <wp:docPr id="254" name="Shape 25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54" o:spid="_x0000_s127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6.35pt,-6.0499pt" to="146.3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2602230</wp:posOffset>
                </wp:positionH>
                <wp:positionV relativeFrom="paragraph">
                  <wp:posOffset>-76835</wp:posOffset>
                </wp:positionV>
                <wp:extent cx="0" cy="88900"/>
                <wp:wrapNone/>
                <wp:docPr id="255" name="Shape 25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55" o:spid="_x0000_s128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4.9pt,-6.0499pt" to="204.9pt,0.95pt" o:allowincell="f" strokecolor="#000000" strokeweight="0.4pt"/>
            </w:pict>
          </mc:Fallback>
        </mc:AlternateContent>
      </w:r>
    </w:p>
    <w:p>
      <w:pPr>
        <w:spacing w:after="0" w:line="347" w:lineRule="exact"/>
        <w:rPr>
          <w:sz w:val="20"/>
          <w:szCs w:val="20"/>
          <w:color w:val="auto"/>
        </w:rPr>
      </w:pPr>
    </w:p>
    <w:p>
      <w:pPr>
        <w:jc w:val="both"/>
        <w:spacing w:after="0" w:line="321" w:lineRule="auto"/>
        <w:rPr>
          <w:sz w:val="20"/>
          <w:szCs w:val="20"/>
          <w:color w:val="auto"/>
        </w:rPr>
      </w:pPr>
      <w:r>
        <w:rPr>
          <w:rFonts w:ascii="Times New Roman" w:cs="Times New Roman" w:eastAsia="Times New Roman" w:hAnsi="Times New Roman"/>
          <w:sz w:val="21"/>
          <w:szCs w:val="21"/>
          <w:color w:val="auto"/>
        </w:rPr>
        <w:t xml:space="preserve">mantener bajo condiciones controladas en laboratorio. Pocos reportes han sido sobre reptiles, aun cuando son considerados adecuados para estudios comparados, como es el caso de los estudios ecomorfológicos, y especialmente se han centrado en los escamados del género </w:t>
      </w:r>
      <w:r>
        <w:rPr>
          <w:rFonts w:ascii="Times New Roman" w:cs="Times New Roman" w:eastAsia="Times New Roman" w:hAnsi="Times New Roman"/>
          <w:sz w:val="21"/>
          <w:szCs w:val="21"/>
          <w:i w:val="1"/>
          <w:iCs w:val="1"/>
          <w:color w:val="auto"/>
        </w:rPr>
        <w:t>Sceloporus</w:t>
      </w:r>
      <w:r>
        <w:rPr>
          <w:rFonts w:ascii="Times New Roman" w:cs="Times New Roman" w:eastAsia="Times New Roman" w:hAnsi="Times New Roman"/>
          <w:sz w:val="21"/>
          <w:szCs w:val="21"/>
          <w:color w:val="auto"/>
        </w:rPr>
        <w:t xml:space="preserve"> por su amplia distribución, abundancia, diversidad morfológica, ecológica y fisiológica, además de que son relativamente fáciles de colectar, lo que los convierte en organismos apropiados para llevar a cabo trabajos de campo. </w:t>
      </w:r>
      <w:r>
        <w:rPr>
          <w:rFonts w:ascii="Times New Roman" w:cs="Times New Roman" w:eastAsia="Times New Roman" w:hAnsi="Times New Roman"/>
          <w:sz w:val="21"/>
          <w:szCs w:val="21"/>
          <w:i w:val="1"/>
          <w:iCs w:val="1"/>
          <w:color w:val="auto"/>
        </w:rPr>
        <w:t>S. bicanthalis</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S. aeneus</w:t>
      </w:r>
      <w:r>
        <w:rPr>
          <w:rFonts w:ascii="Times New Roman" w:cs="Times New Roman" w:eastAsia="Times New Roman" w:hAnsi="Times New Roman"/>
          <w:sz w:val="21"/>
          <w:szCs w:val="21"/>
          <w:color w:val="auto"/>
        </w:rPr>
        <w:t xml:space="preserve"> son especies hermanas que habitan a elevadas altitudes y cuyas investigaciones se han enfocado principalmente a la evolución del modo de paridad, dejando de lado estudios ecológicos y morfológicos, por lo que el objetivo del presente trabajo fue comparar la morfometría corporal y del corazón en dos especies hermanas del grupo </w:t>
      </w:r>
      <w:r>
        <w:rPr>
          <w:rFonts w:ascii="Times New Roman" w:cs="Times New Roman" w:eastAsia="Times New Roman" w:hAnsi="Times New Roman"/>
          <w:sz w:val="21"/>
          <w:szCs w:val="21"/>
          <w:i w:val="1"/>
          <w:iCs w:val="1"/>
          <w:color w:val="auto"/>
        </w:rPr>
        <w:t>Scalaris</w:t>
      </w:r>
      <w:r>
        <w:rPr>
          <w:rFonts w:ascii="Times New Roman" w:cs="Times New Roman" w:eastAsia="Times New Roman" w:hAnsi="Times New Roman"/>
          <w:sz w:val="21"/>
          <w:szCs w:val="21"/>
          <w:color w:val="auto"/>
        </w:rPr>
        <w:t xml:space="preserve"> con diferente modo reproductor y determinar si existe una relación de estas características con la altitud.</w:t>
      </w:r>
    </w:p>
    <w:p>
      <w:pPr>
        <w:spacing w:after="0" w:line="200" w:lineRule="exact"/>
        <w:rPr>
          <w:sz w:val="20"/>
          <w:szCs w:val="20"/>
          <w:color w:val="auto"/>
        </w:rPr>
      </w:pPr>
    </w:p>
    <w:p>
      <w:pPr>
        <w:spacing w:after="0" w:line="200" w:lineRule="exact"/>
        <w:rPr>
          <w:sz w:val="20"/>
          <w:szCs w:val="20"/>
          <w:color w:val="auto"/>
        </w:rPr>
      </w:pPr>
    </w:p>
    <w:p>
      <w:pPr>
        <w:spacing w:after="0" w:line="204"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Método</w:t>
      </w:r>
    </w:p>
    <w:p>
      <w:pPr>
        <w:spacing w:after="0" w:line="38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Áreas de estudio</w:t>
      </w:r>
    </w:p>
    <w:p>
      <w:pPr>
        <w:spacing w:after="0" w:line="38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 xml:space="preserve">Milpa Alta, Distrito Federal: se ubica al suroeste del Distrito Federal, dentro de las coordenadas 19° 18’ 21.9” latitud norte y 98° 57’ 11” longitud oeste. Este sitio, donde se encuentra una de las poblaciones de </w:t>
      </w:r>
      <w:r>
        <w:rPr>
          <w:rFonts w:ascii="Times New Roman" w:cs="Times New Roman" w:eastAsia="Times New Roman" w:hAnsi="Times New Roman"/>
          <w:sz w:val="22"/>
          <w:szCs w:val="22"/>
          <w:i w:val="1"/>
          <w:iCs w:val="1"/>
          <w:color w:val="auto"/>
        </w:rPr>
        <w:t>S. aeneus,</w:t>
      </w:r>
      <w:r>
        <w:rPr>
          <w:rFonts w:ascii="Times New Roman" w:cs="Times New Roman" w:eastAsia="Times New Roman" w:hAnsi="Times New Roman"/>
          <w:sz w:val="22"/>
          <w:szCs w:val="22"/>
          <w:color w:val="auto"/>
        </w:rPr>
        <w:t xml:space="preserve"> presenta una altitud de 2 645 m. El clima es templado lluvioso con lluvias en verano e invierno seco (Cw). La temperatura promedio oscila entre 8 y 14 °C (E. García de Miranda y Z. Falcón de Gyves, citadas en Rzedowski, 2006). Dentro del tipo de vegetación predominante está </w:t>
      </w:r>
      <w:r>
        <w:rPr>
          <w:rFonts w:ascii="Times New Roman" w:cs="Times New Roman" w:eastAsia="Times New Roman" w:hAnsi="Times New Roman"/>
          <w:sz w:val="22"/>
          <w:szCs w:val="22"/>
          <w:i w:val="1"/>
          <w:iCs w:val="1"/>
          <w:color w:val="auto"/>
        </w:rPr>
        <w:t>Pinus</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Quercus</w:t>
      </w:r>
      <w:r>
        <w:rPr>
          <w:rFonts w:ascii="Times New Roman" w:cs="Times New Roman" w:eastAsia="Times New Roman" w:hAnsi="Times New Roman"/>
          <w:sz w:val="22"/>
          <w:szCs w:val="22"/>
          <w:color w:val="auto"/>
        </w:rPr>
        <w:t xml:space="preserve"> con estrato inferior de zacatonales como </w:t>
      </w:r>
      <w:r>
        <w:rPr>
          <w:rFonts w:ascii="Times New Roman" w:cs="Times New Roman" w:eastAsia="Times New Roman" w:hAnsi="Times New Roman"/>
          <w:sz w:val="22"/>
          <w:szCs w:val="22"/>
          <w:i w:val="1"/>
          <w:iCs w:val="1"/>
          <w:color w:val="auto"/>
        </w:rPr>
        <w:t>Festuca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Muhlenbergia</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 xml:space="preserve">Agrostis </w:t>
      </w:r>
      <w:r>
        <w:rPr>
          <w:rFonts w:ascii="Times New Roman" w:cs="Times New Roman" w:eastAsia="Times New Roman" w:hAnsi="Times New Roman"/>
          <w:sz w:val="22"/>
          <w:szCs w:val="22"/>
          <w:color w:val="auto"/>
        </w:rPr>
        <w:t>(Rzedowski, 1983).</w:t>
      </w:r>
    </w:p>
    <w:p>
      <w:pPr>
        <w:spacing w:after="0" w:line="5" w:lineRule="exact"/>
        <w:rPr>
          <w:sz w:val="20"/>
          <w:szCs w:val="20"/>
          <w:color w:val="auto"/>
        </w:rPr>
      </w:pPr>
    </w:p>
    <w:p>
      <w:pPr>
        <w:jc w:val="both"/>
        <w:ind w:firstLine="360"/>
        <w:spacing w:after="0" w:line="327" w:lineRule="auto"/>
        <w:rPr>
          <w:sz w:val="20"/>
          <w:szCs w:val="20"/>
          <w:color w:val="auto"/>
        </w:rPr>
      </w:pPr>
      <w:r>
        <w:rPr>
          <w:rFonts w:ascii="Times New Roman" w:cs="Times New Roman" w:eastAsia="Times New Roman" w:hAnsi="Times New Roman"/>
          <w:sz w:val="21"/>
          <w:szCs w:val="21"/>
          <w:color w:val="auto"/>
        </w:rPr>
        <w:t>Nopalillo, Hidalgo: es una localidad del municipio de Epazoyucan, estado de Hidalgo. El clima es templado subhúmedo con una precipitación total anual de 600 mm y una temperatura media anual de 15 °C (Cw) (E. García de Miranda y Z. Falcón de Gyves, citadas en Rzedowski, 2006). Presenta una altitud de 2 857 m dentro de las coordenadas 20° 04’ 25” latitud norte y 98° 34’ 37.5” longitud oeste. La</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39"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56" name="Shape 25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56" o:spid="_x0000_s128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57" name="Shape 25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57" o:spid="_x0000_s128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58" name="Shape 25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58" o:spid="_x0000_s128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09" w:name="page110"/>
    <w:bookmarkEnd w:id="109"/>
    <w:p>
      <w:pPr>
        <w:ind w:left="1180"/>
        <w:spacing w:after="0"/>
        <w:tabs>
          <w:tab w:leader="dot" w:pos="6960" w:val="left"/>
        </w:tabs>
        <w:rPr>
          <w:sz w:val="20"/>
          <w:szCs w:val="20"/>
          <w:color w:val="auto"/>
        </w:rPr>
      </w:pPr>
      <w:r>
        <w:rPr>
          <w:rFonts w:ascii="Arial Narrow" w:cs="Arial Narrow" w:eastAsia="Arial Narrow" w:hAnsi="Arial Narrow"/>
          <w:sz w:val="11"/>
          <w:szCs w:val="11"/>
          <w:color w:val="auto"/>
        </w:rPr>
        <w:t>morfometría externa del corazón de dos especies hermanas del grupo scalaris</w:t>
      </w:r>
      <w:r>
        <w:rPr>
          <w:sz w:val="20"/>
          <w:szCs w:val="20"/>
          <w:color w:val="auto"/>
        </w:rPr>
        <w:tab/>
      </w:r>
      <w:r>
        <w:rPr>
          <w:rFonts w:ascii="Arial Narrow" w:cs="Arial Narrow" w:eastAsia="Arial Narrow" w:hAnsi="Arial Narrow"/>
          <w:sz w:val="16"/>
          <w:szCs w:val="16"/>
          <w:color w:val="auto"/>
        </w:rPr>
        <w:t>109</w:t>
      </w:r>
    </w:p>
    <w:p>
      <w:pPr>
        <w:spacing w:after="0" w:line="200" w:lineRule="exact"/>
        <w:rPr>
          <w:sz w:val="20"/>
          <w:szCs w:val="20"/>
          <w:color w:val="auto"/>
        </w:rPr>
      </w:pPr>
    </w:p>
    <w:p>
      <w:pPr>
        <w:spacing w:after="0" w:line="349"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 xml:space="preserve">vegetación predominante es bosque de encinos y bosque de coníferas, aunque también existen matorrales xerófilos y pastizales. En este sitio se recolectó la primera población de </w:t>
      </w:r>
      <w:r>
        <w:rPr>
          <w:rFonts w:ascii="Times New Roman" w:cs="Times New Roman" w:eastAsia="Times New Roman" w:hAnsi="Times New Roman"/>
          <w:sz w:val="22"/>
          <w:szCs w:val="22"/>
          <w:i w:val="1"/>
          <w:iCs w:val="1"/>
          <w:color w:val="auto"/>
        </w:rPr>
        <w:t>S. bicanthalis</w:t>
      </w:r>
      <w:r>
        <w:rPr>
          <w:rFonts w:ascii="Times New Roman" w:cs="Times New Roman" w:eastAsia="Times New Roman" w:hAnsi="Times New Roman"/>
          <w:sz w:val="22"/>
          <w:szCs w:val="22"/>
          <w:color w:val="auto"/>
        </w:rPr>
        <w:t xml:space="preserve"> para este estudio</w:t>
      </w:r>
      <w:r>
        <w:rPr>
          <w:rFonts w:ascii="Times New Roman" w:cs="Times New Roman" w:eastAsia="Times New Roman" w:hAnsi="Times New Roman"/>
          <w:sz w:val="22"/>
          <w:szCs w:val="22"/>
          <w:i w:val="1"/>
          <w:iCs w:val="1"/>
          <w:color w:val="auto"/>
        </w:rPr>
        <w:t>.</w:t>
      </w:r>
    </w:p>
    <w:p>
      <w:pPr>
        <w:spacing w:after="0" w:line="2"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El Mapa, Zinacantepec, Estado de México: el clima es semifrío subhúmedo y templado subhúmedo con lluvias en verano (García, 1981). La temperatura promedio es de 17 ºC y la precipitación anual es de 940.4 mm (Valenzuela, 1986). La zona está a una altitud de 3 200 m y se encuentra entre las coordenadas 19° 22’ 30” latitud norte y 100° 05’ 57” longitud oeste. Aquí se encontraron los organismos que conforman la segunda población de </w:t>
      </w:r>
      <w:r>
        <w:rPr>
          <w:rFonts w:ascii="Times New Roman" w:cs="Times New Roman" w:eastAsia="Times New Roman" w:hAnsi="Times New Roman"/>
          <w:sz w:val="22"/>
          <w:szCs w:val="22"/>
          <w:i w:val="1"/>
          <w:iCs w:val="1"/>
          <w:color w:val="auto"/>
        </w:rPr>
        <w:t>S. aeneus</w:t>
      </w:r>
      <w:r>
        <w:rPr>
          <w:rFonts w:ascii="Times New Roman" w:cs="Times New Roman" w:eastAsia="Times New Roman" w:hAnsi="Times New Roman"/>
          <w:sz w:val="22"/>
          <w:szCs w:val="22"/>
          <w:color w:val="auto"/>
        </w:rPr>
        <w:t xml:space="preserve">. La vegetación está representada por bosque de coníferas </w:t>
      </w:r>
      <w:r>
        <w:rPr>
          <w:rFonts w:ascii="Times New Roman" w:cs="Times New Roman" w:eastAsia="Times New Roman" w:hAnsi="Times New Roman"/>
          <w:sz w:val="22"/>
          <w:szCs w:val="22"/>
          <w:i w:val="1"/>
          <w:iCs w:val="1"/>
          <w:color w:val="auto"/>
        </w:rPr>
        <w:t>Pinus</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Quercus</w:t>
      </w:r>
      <w:r>
        <w:rPr>
          <w:rFonts w:ascii="Times New Roman" w:cs="Times New Roman" w:eastAsia="Times New Roman" w:hAnsi="Times New Roman"/>
          <w:sz w:val="22"/>
          <w:szCs w:val="22"/>
          <w:color w:val="auto"/>
        </w:rPr>
        <w:t xml:space="preserve"> y zacatonal alpino como </w:t>
      </w:r>
      <w:r>
        <w:rPr>
          <w:rFonts w:ascii="Times New Roman" w:cs="Times New Roman" w:eastAsia="Times New Roman" w:hAnsi="Times New Roman"/>
          <w:sz w:val="22"/>
          <w:szCs w:val="22"/>
          <w:i w:val="1"/>
          <w:iCs w:val="1"/>
          <w:color w:val="auto"/>
        </w:rPr>
        <w:t>Festuca tolucencis</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Calamagrostis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tolucencis </w:t>
      </w:r>
      <w:r>
        <w:rPr>
          <w:rFonts w:ascii="Times New Roman" w:cs="Times New Roman" w:eastAsia="Times New Roman" w:hAnsi="Times New Roman"/>
          <w:sz w:val="22"/>
          <w:szCs w:val="22"/>
          <w:color w:val="auto"/>
        </w:rPr>
        <w:t>(Rzedowski, 1983).</w:t>
      </w:r>
    </w:p>
    <w:p>
      <w:pPr>
        <w:spacing w:after="0" w:line="5" w:lineRule="exact"/>
        <w:rPr>
          <w:sz w:val="20"/>
          <w:szCs w:val="20"/>
          <w:color w:val="auto"/>
        </w:rPr>
      </w:pPr>
    </w:p>
    <w:p>
      <w:pPr>
        <w:jc w:val="both"/>
        <w:ind w:firstLine="360"/>
        <w:spacing w:after="0" w:line="306" w:lineRule="auto"/>
        <w:rPr>
          <w:sz w:val="20"/>
          <w:szCs w:val="20"/>
          <w:color w:val="auto"/>
        </w:rPr>
      </w:pPr>
      <w:r>
        <w:rPr>
          <w:rFonts w:ascii="Times New Roman" w:cs="Times New Roman" w:eastAsia="Times New Roman" w:hAnsi="Times New Roman"/>
          <w:sz w:val="22"/>
          <w:szCs w:val="22"/>
          <w:color w:val="auto"/>
        </w:rPr>
        <w:t xml:space="preserve">Parque Nacional Nevado de Toluca, Estado de México: otra localidad de </w:t>
      </w:r>
      <w:r>
        <w:rPr>
          <w:rFonts w:ascii="Times New Roman" w:cs="Times New Roman" w:eastAsia="Times New Roman" w:hAnsi="Times New Roman"/>
          <w:sz w:val="22"/>
          <w:szCs w:val="22"/>
          <w:i w:val="1"/>
          <w:iCs w:val="1"/>
          <w:color w:val="auto"/>
        </w:rPr>
        <w:t xml:space="preserve">S. bicanthalis </w:t>
      </w:r>
      <w:r>
        <w:rPr>
          <w:rFonts w:ascii="Times New Roman" w:cs="Times New Roman" w:eastAsia="Times New Roman" w:hAnsi="Times New Roman"/>
          <w:sz w:val="22"/>
          <w:szCs w:val="22"/>
          <w:color w:val="auto"/>
        </w:rPr>
        <w:t>fue ubicada entre las coordenadas 19° 06’ 23” latitud norte y 99° 45’</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39.8” longitud oeste, a una altitud de 4 200 m. En esta zona el clima frío o glacial (E) se caracteriza por un régimen térmico promedio de 6.5 °C. La precipitación media anual fluctúa entre los 1 000-1 400 mm y también llega a ser mucho menor en otoño e invierno (Enciclopedia de los Municipios de México, 1998). La vegetación está representada por zacatonal alpino como </w:t>
      </w:r>
      <w:r>
        <w:rPr>
          <w:rFonts w:ascii="Times New Roman" w:cs="Times New Roman" w:eastAsia="Times New Roman" w:hAnsi="Times New Roman"/>
          <w:sz w:val="22"/>
          <w:szCs w:val="22"/>
          <w:i w:val="1"/>
          <w:iCs w:val="1"/>
          <w:color w:val="auto"/>
        </w:rPr>
        <w:t>Festuca tolucencis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Calamagrostis tolucencis</w:t>
      </w:r>
      <w:r>
        <w:rPr>
          <w:rFonts w:ascii="Times New Roman" w:cs="Times New Roman" w:eastAsia="Times New Roman" w:hAnsi="Times New Roman"/>
          <w:sz w:val="22"/>
          <w:szCs w:val="22"/>
          <w:color w:val="auto"/>
        </w:rPr>
        <w:t xml:space="preserve"> y </w:t>
      </w:r>
      <w:r>
        <w:rPr>
          <w:rFonts w:ascii="Times New Roman" w:cs="Times New Roman" w:eastAsia="Times New Roman" w:hAnsi="Times New Roman"/>
          <w:sz w:val="22"/>
          <w:szCs w:val="22"/>
          <w:i w:val="1"/>
          <w:iCs w:val="1"/>
          <w:color w:val="auto"/>
        </w:rPr>
        <w:t xml:space="preserve">Eryngium protiflorum </w:t>
      </w:r>
      <w:r>
        <w:rPr>
          <w:rFonts w:ascii="Times New Roman" w:cs="Times New Roman" w:eastAsia="Times New Roman" w:hAnsi="Times New Roman"/>
          <w:sz w:val="22"/>
          <w:szCs w:val="22"/>
          <w:color w:val="auto"/>
        </w:rPr>
        <w:t>(Rzedowski, 1983).</w:t>
      </w:r>
    </w:p>
    <w:p>
      <w:pPr>
        <w:spacing w:after="0" w:line="200" w:lineRule="exact"/>
        <w:rPr>
          <w:sz w:val="20"/>
          <w:szCs w:val="20"/>
          <w:color w:val="auto"/>
        </w:rPr>
      </w:pPr>
    </w:p>
    <w:p>
      <w:pPr>
        <w:spacing w:after="0" w:line="200" w:lineRule="exact"/>
        <w:rPr>
          <w:sz w:val="20"/>
          <w:szCs w:val="20"/>
          <w:color w:val="auto"/>
        </w:rPr>
      </w:pPr>
    </w:p>
    <w:p>
      <w:pPr>
        <w:spacing w:after="0" w:line="220"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Análisis morfométrico corporal</w:t>
      </w:r>
    </w:p>
    <w:p>
      <w:pPr>
        <w:spacing w:after="0" w:line="387" w:lineRule="exact"/>
        <w:rPr>
          <w:sz w:val="20"/>
          <w:szCs w:val="20"/>
          <w:color w:val="auto"/>
        </w:rPr>
      </w:pPr>
    </w:p>
    <w:p>
      <w:pPr>
        <w:jc w:val="both"/>
        <w:spacing w:after="0" w:line="327" w:lineRule="auto"/>
        <w:rPr>
          <w:sz w:val="20"/>
          <w:szCs w:val="20"/>
          <w:color w:val="auto"/>
        </w:rPr>
      </w:pPr>
      <w:r>
        <w:rPr>
          <w:rFonts w:ascii="Times New Roman" w:cs="Times New Roman" w:eastAsia="Times New Roman" w:hAnsi="Times New Roman"/>
          <w:sz w:val="21"/>
          <w:szCs w:val="21"/>
          <w:color w:val="auto"/>
        </w:rPr>
        <w:t>Los datos de cada espécimen se obtuvieron de organismos de la colección de vertebrados, sección anfibios y reptiles, del Centro de Investigación en Recursos Bióticos de la Universidad Autónoma del Estado de México (en trámite). Se cuantificaron 18 medidas morfométricas corporales descritas en el cuadro 1. Todas fueron calculadas en milímetros mediante un vernier digital Mitutoyo 0.01.</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9"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110" w:name="page111"/>
    <w:bookmarkEnd w:id="110"/>
    <w:tbl>
      <w:tblPr>
        <w:tblLayout w:type="fixed"/>
        <w:tblInd w:w="0" w:type="dxa"/>
        <w:tblCellMar>
          <w:top w:w="0" w:type="dxa"/>
          <w:left w:w="0" w:type="dxa"/>
          <w:bottom w:w="0" w:type="dxa"/>
          <w:right w:w="0" w:type="dxa"/>
        </w:tblCellMar>
      </w:tblPr>
      <w:tr>
        <w:trPr>
          <w:trHeight w:val="62"/>
        </w:trPr>
        <w:tc>
          <w:tcPr>
            <w:tcW w:w="1160" w:type="dxa"/>
            <w:vAlign w:val="bottom"/>
            <w:vMerge w:val="restart"/>
          </w:tcPr>
          <w:p>
            <w:pPr>
              <w:jc w:val="right"/>
              <w:ind w:right="880"/>
              <w:spacing w:after="0"/>
              <w:rPr>
                <w:sz w:val="20"/>
                <w:szCs w:val="20"/>
                <w:color w:val="auto"/>
              </w:rPr>
            </w:pPr>
            <w:r>
              <w:rPr>
                <w:rFonts w:ascii="Arial Narrow" w:cs="Arial Narrow" w:eastAsia="Arial Narrow" w:hAnsi="Arial Narrow"/>
                <w:sz w:val="16"/>
                <w:szCs w:val="16"/>
                <w:color w:val="auto"/>
                <w:w w:val="82"/>
              </w:rPr>
              <w:t>110</w:t>
            </w:r>
          </w:p>
        </w:tc>
        <w:tc>
          <w:tcPr>
            <w:tcW w:w="1760" w:type="dxa"/>
            <w:vAlign w:val="bottom"/>
            <w:vMerge w:val="restart"/>
          </w:tcPr>
          <w:p>
            <w:pPr>
              <w:ind w:left="960"/>
              <w:spacing w:after="0"/>
              <w:rPr>
                <w:sz w:val="20"/>
                <w:szCs w:val="20"/>
                <w:color w:val="auto"/>
              </w:rPr>
            </w:pPr>
            <w:r>
              <w:rPr>
                <w:rFonts w:ascii="Arial Narrow" w:cs="Arial Narrow" w:eastAsia="Arial Narrow" w:hAnsi="Arial Narrow"/>
                <w:sz w:val="11"/>
                <w:szCs w:val="11"/>
                <w:color w:val="auto"/>
              </w:rPr>
              <w:t>ruiz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valencia</w:t>
            </w:r>
          </w:p>
        </w:tc>
        <w:tc>
          <w:tcPr>
            <w:tcW w:w="20" w:type="dxa"/>
            <w:vAlign w:val="bottom"/>
          </w:tcPr>
          <w:p>
            <w:pPr>
              <w:spacing w:after="0"/>
              <w:rPr>
                <w:sz w:val="5"/>
                <w:szCs w:val="5"/>
                <w:color w:val="auto"/>
              </w:rPr>
            </w:pPr>
          </w:p>
        </w:tc>
        <w:tc>
          <w:tcPr>
            <w:tcW w:w="1160" w:type="dxa"/>
            <w:vAlign w:val="bottom"/>
            <w:vMerge w:val="restart"/>
          </w:tcPr>
          <w:p>
            <w:pPr>
              <w:ind w:left="40"/>
              <w:spacing w:after="0"/>
              <w:rPr>
                <w:sz w:val="20"/>
                <w:szCs w:val="20"/>
                <w:color w:val="auto"/>
              </w:rPr>
            </w:pP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p>
        </w:tc>
        <w:tc>
          <w:tcPr>
            <w:tcW w:w="20" w:type="dxa"/>
            <w:vAlign w:val="bottom"/>
          </w:tcPr>
          <w:p>
            <w:pPr>
              <w:spacing w:after="0"/>
              <w:rPr>
                <w:sz w:val="5"/>
                <w:szCs w:val="5"/>
                <w:color w:val="auto"/>
              </w:rPr>
            </w:pPr>
          </w:p>
        </w:tc>
        <w:tc>
          <w:tcPr>
            <w:tcW w:w="960" w:type="dxa"/>
            <w:vAlign w:val="bottom"/>
            <w:vMerge w:val="restart"/>
          </w:tcPr>
          <w:p>
            <w:pPr>
              <w:ind w:left="20"/>
              <w:spacing w:after="0"/>
              <w:rPr>
                <w:sz w:val="20"/>
                <w:szCs w:val="20"/>
                <w:color w:val="auto"/>
              </w:rPr>
            </w:pP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tc>
        <w:tc>
          <w:tcPr>
            <w:tcW w:w="0" w:type="dxa"/>
            <w:vAlign w:val="bottom"/>
          </w:tcPr>
          <w:p>
            <w:pPr>
              <w:spacing w:after="0"/>
              <w:rPr>
                <w:sz w:val="1"/>
                <w:szCs w:val="1"/>
                <w:color w:val="auto"/>
              </w:rPr>
            </w:pPr>
          </w:p>
        </w:tc>
      </w:tr>
      <w:tr>
        <w:trPr>
          <w:trHeight w:val="140"/>
        </w:trPr>
        <w:tc>
          <w:tcPr>
            <w:tcW w:w="1160" w:type="dxa"/>
            <w:vAlign w:val="bottom"/>
            <w:vMerge w:val="continue"/>
          </w:tcPr>
          <w:p>
            <w:pPr>
              <w:spacing w:after="0"/>
              <w:rPr>
                <w:sz w:val="12"/>
                <w:szCs w:val="12"/>
                <w:color w:val="auto"/>
              </w:rPr>
            </w:pPr>
          </w:p>
        </w:tc>
        <w:tc>
          <w:tcPr>
            <w:tcW w:w="176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116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960" w:type="dxa"/>
            <w:vAlign w:val="bottom"/>
            <w:vMerge w:val="continue"/>
          </w:tcPr>
          <w:p>
            <w:pPr>
              <w:spacing w:after="0"/>
              <w:rPr>
                <w:sz w:val="12"/>
                <w:szCs w:val="12"/>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336" w:lineRule="exact"/>
        <w:rPr>
          <w:sz w:val="20"/>
          <w:szCs w:val="20"/>
          <w:color w:val="auto"/>
        </w:rPr>
      </w:pPr>
    </w:p>
    <w:p>
      <w:pPr>
        <w:ind w:left="3280"/>
        <w:spacing w:after="0"/>
        <w:rPr>
          <w:sz w:val="20"/>
          <w:szCs w:val="20"/>
          <w:color w:val="auto"/>
        </w:rPr>
      </w:pPr>
      <w:r>
        <w:rPr>
          <w:rFonts w:ascii="Times New Roman" w:cs="Times New Roman" w:eastAsia="Times New Roman" w:hAnsi="Times New Roman"/>
          <w:sz w:val="18"/>
          <w:szCs w:val="18"/>
          <w:i w:val="1"/>
          <w:iCs w:val="1"/>
          <w:color w:val="auto"/>
        </w:rPr>
        <w:t>Cuadro 1</w:t>
      </w:r>
    </w:p>
    <w:p>
      <w:pPr>
        <w:spacing w:after="0" w:line="33"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18"/>
          <w:szCs w:val="18"/>
          <w:color w:val="auto"/>
        </w:rPr>
        <w:t>Medidas morfométricas corporales</w:t>
      </w:r>
    </w:p>
    <w:p>
      <w:pPr>
        <w:spacing w:after="0" w:line="131" w:lineRule="exact"/>
        <w:rPr>
          <w:sz w:val="20"/>
          <w:szCs w:val="20"/>
          <w:color w:val="auto"/>
        </w:rPr>
      </w:pPr>
    </w:p>
    <w:tbl>
      <w:tblPr>
        <w:tblLayout w:type="fixed"/>
        <w:tblInd w:w="10" w:type="dxa"/>
        <w:tblCellMar>
          <w:top w:w="0" w:type="dxa"/>
          <w:left w:w="0" w:type="dxa"/>
          <w:bottom w:w="0" w:type="dxa"/>
          <w:right w:w="0" w:type="dxa"/>
        </w:tblCellMar>
      </w:tblPr>
      <w:tr>
        <w:trPr>
          <w:trHeight w:val="272"/>
        </w:trPr>
        <w:tc>
          <w:tcPr>
            <w:tcW w:w="520" w:type="dxa"/>
            <w:vAlign w:val="bottom"/>
            <w:tcBorders>
              <w:top w:val="single" w:sz="8" w:color="auto"/>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i w:val="1"/>
                <w:iCs w:val="1"/>
                <w:color w:val="auto"/>
              </w:rPr>
              <w:t>Núm.</w:t>
            </w:r>
          </w:p>
        </w:tc>
        <w:tc>
          <w:tcPr>
            <w:tcW w:w="860" w:type="dxa"/>
            <w:vAlign w:val="bottom"/>
            <w:tcBorders>
              <w:top w:val="single" w:sz="8" w:color="auto"/>
              <w:right w:val="single" w:sz="8" w:color="auto"/>
            </w:tcBorders>
          </w:tcPr>
          <w:p>
            <w:pPr>
              <w:ind w:left="60"/>
              <w:spacing w:after="0"/>
              <w:rPr>
                <w:sz w:val="20"/>
                <w:szCs w:val="20"/>
                <w:color w:val="auto"/>
              </w:rPr>
            </w:pPr>
            <w:r>
              <w:rPr>
                <w:rFonts w:ascii="Times New Roman" w:cs="Times New Roman" w:eastAsia="Times New Roman" w:hAnsi="Times New Roman"/>
                <w:sz w:val="16"/>
                <w:szCs w:val="16"/>
                <w:i w:val="1"/>
                <w:iCs w:val="1"/>
                <w:color w:val="auto"/>
                <w:w w:val="98"/>
              </w:rPr>
              <w:t>Abreviatura</w:t>
            </w:r>
          </w:p>
        </w:tc>
        <w:tc>
          <w:tcPr>
            <w:tcW w:w="1820" w:type="dxa"/>
            <w:vAlign w:val="bottom"/>
            <w:tcBorders>
              <w:top w:val="single" w:sz="8" w:color="auto"/>
              <w:right w:val="single" w:sz="8" w:color="auto"/>
            </w:tcBorders>
          </w:tcPr>
          <w:p>
            <w:pPr>
              <w:ind w:left="220"/>
              <w:spacing w:after="0"/>
              <w:rPr>
                <w:sz w:val="20"/>
                <w:szCs w:val="20"/>
                <w:color w:val="auto"/>
              </w:rPr>
            </w:pPr>
            <w:r>
              <w:rPr>
                <w:rFonts w:ascii="Times New Roman" w:cs="Times New Roman" w:eastAsia="Times New Roman" w:hAnsi="Times New Roman"/>
                <w:sz w:val="16"/>
                <w:szCs w:val="16"/>
                <w:i w:val="1"/>
                <w:iCs w:val="1"/>
                <w:color w:val="auto"/>
              </w:rPr>
              <w:t>Medidas morfométricas</w:t>
            </w:r>
          </w:p>
        </w:tc>
        <w:tc>
          <w:tcPr>
            <w:tcW w:w="4000" w:type="dxa"/>
            <w:vAlign w:val="bottom"/>
            <w:tcBorders>
              <w:top w:val="single" w:sz="8" w:color="auto"/>
              <w:right w:val="single" w:sz="8" w:color="auto"/>
            </w:tcBorders>
          </w:tcPr>
          <w:p>
            <w:pPr>
              <w:ind w:left="1660"/>
              <w:spacing w:after="0"/>
              <w:rPr>
                <w:sz w:val="20"/>
                <w:szCs w:val="20"/>
                <w:color w:val="auto"/>
              </w:rPr>
            </w:pPr>
            <w:r>
              <w:rPr>
                <w:rFonts w:ascii="Times New Roman" w:cs="Times New Roman" w:eastAsia="Times New Roman" w:hAnsi="Times New Roman"/>
                <w:sz w:val="16"/>
                <w:szCs w:val="16"/>
                <w:i w:val="1"/>
                <w:iCs w:val="1"/>
                <w:color w:val="auto"/>
              </w:rPr>
              <w:t>Descripción</w:t>
            </w:r>
          </w:p>
        </w:tc>
      </w:tr>
      <w:tr>
        <w:trPr>
          <w:trHeight w:val="38"/>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lhc</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Longitud hocico-cloaca</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w w:val="91"/>
              </w:rPr>
              <w:t>De la punta del hocico hasta la parte anterior de la cloaca (ventral)</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2</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lc</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Longitud de la cola</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De la inserción a la punta</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3</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li</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Longitud interaxilar</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w w:val="94"/>
              </w:rPr>
              <w:t>Distancia interna de las extremidades anteriores a las posteriores</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4</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ann</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Ancho de las narinas</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Parte más ancha del orificio nasal derecho</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5</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lonn</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Longitud de las narinas</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Parte más larga de los orificios nasales</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6</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din</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Distancia internarinar</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Del inicio de la foseta derecha al inicio de la izquierda</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7</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ancr</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Ancho del cráneo</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Porción más ancha del cráneo</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8</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alcr</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Alto del cráneo</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Porción más alta del cráneo</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9</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larcr</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Largo del cráneo</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De la punta del hocico a la inserción del cuello</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10</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hom-cod</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Distancia hombro-codo</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De la inserción de las extremidades anteriores hasta el codo</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11</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cod-muñ</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Distancia codo-muñeca</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Del codo a la región proximal de la mano</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12</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lmuñ-fa</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Largo muñeca-falange</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Del inicio de la muñeca al inicio de los dedos</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13</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anmuñ-fa</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Ancho muñeca-falange</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Distancia más ancha de la palma de la mano</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14</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doma</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w w:val="99"/>
              </w:rPr>
              <w:t>Dedo más largo de la mano</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Región distal de la mano al final del dedo (sin garra)</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15</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cad-rod</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Distancia cadera-rodilla</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De la inserción de la extremidad posterior hasta la rodilla</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16</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rod-tob</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Distancia rodilla-tobillo</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De la rodilla a la parte final del tobillo</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17</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tob-ddo</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Distancia tobillo-dedos</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De la parte inicial del talón al inicio de los dedos</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r>
        <w:trPr>
          <w:trHeight w:val="253"/>
        </w:trPr>
        <w:tc>
          <w:tcPr>
            <w:tcW w:w="5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18</w:t>
            </w:r>
          </w:p>
        </w:tc>
        <w:tc>
          <w:tcPr>
            <w:tcW w:w="86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dopa</w:t>
            </w:r>
          </w:p>
        </w:tc>
        <w:tc>
          <w:tcPr>
            <w:tcW w:w="1820" w:type="dxa"/>
            <w:vAlign w:val="bottom"/>
            <w:tcBorders>
              <w:right w:val="single" w:sz="8" w:color="auto"/>
            </w:tcBorders>
          </w:tcPr>
          <w:p>
            <w:pPr>
              <w:ind w:left="40"/>
              <w:spacing w:after="0"/>
              <w:rPr>
                <w:sz w:val="20"/>
                <w:szCs w:val="20"/>
                <w:color w:val="auto"/>
              </w:rPr>
            </w:pPr>
            <w:r>
              <w:rPr>
                <w:rFonts w:ascii="Times New Roman" w:cs="Times New Roman" w:eastAsia="Times New Roman" w:hAnsi="Times New Roman"/>
                <w:sz w:val="16"/>
                <w:szCs w:val="16"/>
                <w:color w:val="auto"/>
              </w:rPr>
              <w:t>Dedo más largo de la pata</w:t>
            </w:r>
          </w:p>
        </w:tc>
        <w:tc>
          <w:tcPr>
            <w:tcW w:w="400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Región distal del talón al final del dedo (sin garra)</w:t>
            </w:r>
          </w:p>
        </w:tc>
      </w:tr>
      <w:tr>
        <w:trPr>
          <w:trHeight w:val="35"/>
        </w:trPr>
        <w:tc>
          <w:tcPr>
            <w:tcW w:w="520" w:type="dxa"/>
            <w:vAlign w:val="bottom"/>
            <w:tcBorders>
              <w:left w:val="single" w:sz="8" w:color="auto"/>
              <w:bottom w:val="single" w:sz="8" w:color="auto"/>
              <w:right w:val="single" w:sz="8" w:color="auto"/>
            </w:tcBorders>
          </w:tcPr>
          <w:p>
            <w:pPr>
              <w:spacing w:after="0"/>
              <w:rPr>
                <w:sz w:val="3"/>
                <w:szCs w:val="3"/>
                <w:color w:val="auto"/>
              </w:rPr>
            </w:pPr>
          </w:p>
        </w:tc>
        <w:tc>
          <w:tcPr>
            <w:tcW w:w="860" w:type="dxa"/>
            <w:vAlign w:val="bottom"/>
            <w:tcBorders>
              <w:bottom w:val="single" w:sz="8" w:color="auto"/>
              <w:right w:val="single" w:sz="8" w:color="auto"/>
            </w:tcBorders>
          </w:tcPr>
          <w:p>
            <w:pPr>
              <w:spacing w:after="0"/>
              <w:rPr>
                <w:sz w:val="3"/>
                <w:szCs w:val="3"/>
                <w:color w:val="auto"/>
              </w:rPr>
            </w:pPr>
          </w:p>
        </w:tc>
        <w:tc>
          <w:tcPr>
            <w:tcW w:w="1820" w:type="dxa"/>
            <w:vAlign w:val="bottom"/>
            <w:tcBorders>
              <w:bottom w:val="single" w:sz="8" w:color="auto"/>
              <w:right w:val="single" w:sz="8" w:color="auto"/>
            </w:tcBorders>
          </w:tcPr>
          <w:p>
            <w:pPr>
              <w:spacing w:after="0"/>
              <w:rPr>
                <w:sz w:val="3"/>
                <w:szCs w:val="3"/>
                <w:color w:val="auto"/>
              </w:rPr>
            </w:pPr>
          </w:p>
        </w:tc>
        <w:tc>
          <w:tcPr>
            <w:tcW w:w="4000" w:type="dxa"/>
            <w:vAlign w:val="bottom"/>
            <w:tcBorders>
              <w:bottom w:val="single" w:sz="8" w:color="auto"/>
              <w:right w:val="single" w:sz="8" w:color="auto"/>
            </w:tcBorders>
          </w:tcPr>
          <w:p>
            <w:pPr>
              <w:spacing w:after="0"/>
              <w:rPr>
                <w:sz w:val="3"/>
                <w:szCs w:val="3"/>
                <w:color w:val="auto"/>
              </w:rPr>
            </w:pPr>
          </w:p>
        </w:tc>
      </w:tr>
    </w:tbl>
    <w:p>
      <w:pPr>
        <w:spacing w:after="0" w:line="163"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Fuente: Ruiz, 2010.</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1"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Análisis morfométrico del corazón</w:t>
      </w:r>
    </w:p>
    <w:p>
      <w:pPr>
        <w:spacing w:after="0" w:line="200" w:lineRule="exact"/>
        <w:rPr>
          <w:sz w:val="20"/>
          <w:szCs w:val="20"/>
          <w:color w:val="auto"/>
        </w:rPr>
      </w:pPr>
    </w:p>
    <w:p>
      <w:pPr>
        <w:spacing w:after="0" w:line="227" w:lineRule="exact"/>
        <w:rPr>
          <w:sz w:val="20"/>
          <w:szCs w:val="20"/>
          <w:color w:val="auto"/>
        </w:rPr>
      </w:pPr>
    </w:p>
    <w:p>
      <w:pPr>
        <w:jc w:val="both"/>
        <w:spacing w:after="0" w:line="346" w:lineRule="auto"/>
        <w:rPr>
          <w:sz w:val="20"/>
          <w:szCs w:val="20"/>
          <w:color w:val="auto"/>
        </w:rPr>
      </w:pPr>
      <w:r>
        <w:rPr>
          <w:rFonts w:ascii="Times New Roman" w:cs="Times New Roman" w:eastAsia="Times New Roman" w:hAnsi="Times New Roman"/>
          <w:sz w:val="20"/>
          <w:szCs w:val="20"/>
          <w:color w:val="auto"/>
        </w:rPr>
        <w:t>Posterior a la toma de medidas corporales, los organismos fueron disecados para extraerles el corazón. A estos órganos se les tomaron fotografías en vista dorsal, ventral y lateral, tanto derecha como izquierda. Se utilizó el programa Image J (versión 1.40) para obtener 10 medidas de cada corazón. Cada fotografía analizada se calibró con una escala milimétrica y se describió como en el cuadro 2 y en las figuras 1 y 2 se muestra.</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14"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59" name="Shape 25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59" o:spid="_x0000_s128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60" name="Shape 26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60" o:spid="_x0000_s128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61" name="Shape 26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61" o:spid="_x0000_s128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11" w:name="page112"/>
    <w:bookmarkEnd w:id="111"/>
    <w:p>
      <w:pPr>
        <w:jc w:val="right"/>
        <w:spacing w:after="0"/>
        <w:tabs>
          <w:tab w:leader="dot" w:pos="180" w:val="left"/>
        </w:tabs>
        <w:rPr>
          <w:sz w:val="20"/>
          <w:szCs w:val="20"/>
          <w:color w:val="auto"/>
        </w:rPr>
      </w:pPr>
      <w:r>
        <w:rPr>
          <w:rFonts w:ascii="Arial Narrow" w:cs="Arial Narrow" w:eastAsia="Arial Narrow" w:hAnsi="Arial Narrow"/>
          <w:sz w:val="11"/>
          <w:szCs w:val="11"/>
          <w:color w:val="auto"/>
        </w:rPr>
        <w:t>morfometría externa del corazón de dos especies hermanas del grupo scalaris</w:t>
      </w:r>
      <w:r>
        <w:rPr>
          <w:sz w:val="20"/>
          <w:szCs w:val="20"/>
          <w:color w:val="auto"/>
        </w:rPr>
        <w:tab/>
      </w:r>
      <w:r>
        <w:rPr>
          <w:rFonts w:ascii="Arial Narrow" w:cs="Arial Narrow" w:eastAsia="Arial Narrow" w:hAnsi="Arial Narrow"/>
          <w:sz w:val="14"/>
          <w:szCs w:val="14"/>
          <w:color w:val="auto"/>
        </w:rPr>
        <w:t>111</w:t>
      </w:r>
    </w:p>
    <w:p>
      <w:pPr>
        <w:spacing w:after="0" w:line="200" w:lineRule="exact"/>
        <w:rPr>
          <w:sz w:val="20"/>
          <w:szCs w:val="20"/>
          <w:color w:val="auto"/>
        </w:rPr>
      </w:pPr>
    </w:p>
    <w:p>
      <w:pPr>
        <w:spacing w:after="0" w:line="379" w:lineRule="exact"/>
        <w:rPr>
          <w:sz w:val="20"/>
          <w:szCs w:val="20"/>
          <w:color w:val="auto"/>
        </w:rPr>
      </w:pPr>
    </w:p>
    <w:p>
      <w:pPr>
        <w:ind w:left="3280"/>
        <w:spacing w:after="0"/>
        <w:rPr>
          <w:sz w:val="20"/>
          <w:szCs w:val="20"/>
          <w:color w:val="auto"/>
        </w:rPr>
      </w:pPr>
      <w:r>
        <w:rPr>
          <w:rFonts w:ascii="Times New Roman" w:cs="Times New Roman" w:eastAsia="Times New Roman" w:hAnsi="Times New Roman"/>
          <w:sz w:val="18"/>
          <w:szCs w:val="18"/>
          <w:i w:val="1"/>
          <w:iCs w:val="1"/>
          <w:color w:val="auto"/>
        </w:rPr>
        <w:t>Cuadro 2</w:t>
      </w:r>
    </w:p>
    <w:p>
      <w:pPr>
        <w:spacing w:after="0" w:line="15" w:lineRule="exact"/>
        <w:rPr>
          <w:sz w:val="20"/>
          <w:szCs w:val="20"/>
          <w:color w:val="auto"/>
        </w:rPr>
      </w:pPr>
    </w:p>
    <w:p>
      <w:pPr>
        <w:ind w:left="2020"/>
        <w:spacing w:after="0"/>
        <w:rPr>
          <w:sz w:val="20"/>
          <w:szCs w:val="20"/>
          <w:color w:val="auto"/>
        </w:rPr>
      </w:pPr>
      <w:r>
        <w:rPr>
          <w:rFonts w:ascii="Times New Roman" w:cs="Times New Roman" w:eastAsia="Times New Roman" w:hAnsi="Times New Roman"/>
          <w:sz w:val="20"/>
          <w:szCs w:val="20"/>
          <w:color w:val="auto"/>
        </w:rPr>
        <w:t>Medidas morfométricas del corazón</w:t>
      </w:r>
    </w:p>
    <w:p>
      <w:pPr>
        <w:spacing w:after="0" w:line="10" w:lineRule="exact"/>
        <w:rPr>
          <w:sz w:val="20"/>
          <w:szCs w:val="20"/>
          <w:color w:val="auto"/>
        </w:rPr>
      </w:pPr>
    </w:p>
    <w:p>
      <w:pPr>
        <w:ind w:left="2480"/>
        <w:spacing w:after="0"/>
        <w:rPr>
          <w:sz w:val="20"/>
          <w:szCs w:val="20"/>
          <w:color w:val="auto"/>
        </w:rPr>
      </w:pPr>
      <w:r>
        <w:rPr>
          <w:rFonts w:ascii="Times New Roman" w:cs="Times New Roman" w:eastAsia="Times New Roman" w:hAnsi="Times New Roman"/>
          <w:sz w:val="20"/>
          <w:szCs w:val="20"/>
          <w:color w:val="auto"/>
        </w:rPr>
        <w:t xml:space="preserve">de </w:t>
      </w:r>
      <w:r>
        <w:rPr>
          <w:rFonts w:ascii="Times New Roman" w:cs="Times New Roman" w:eastAsia="Times New Roman" w:hAnsi="Times New Roman"/>
          <w:sz w:val="20"/>
          <w:szCs w:val="20"/>
          <w:i w:val="1"/>
          <w:iCs w:val="1"/>
          <w:color w:val="auto"/>
        </w:rPr>
        <w:t>S.</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4"/>
          <w:szCs w:val="14"/>
          <w:i w:val="1"/>
          <w:iCs w:val="1"/>
          <w:color w:val="auto"/>
        </w:rPr>
        <w:t>aeneus</w:t>
      </w:r>
      <w:r>
        <w:rPr>
          <w:rFonts w:ascii="Times New Roman" w:cs="Times New Roman" w:eastAsia="Times New Roman" w:hAnsi="Times New Roman"/>
          <w:sz w:val="20"/>
          <w:szCs w:val="20"/>
          <w:color w:val="auto"/>
        </w:rPr>
        <w:t xml:space="preserve"> y </w:t>
      </w:r>
      <w:r>
        <w:rPr>
          <w:rFonts w:ascii="Times New Roman" w:cs="Times New Roman" w:eastAsia="Times New Roman" w:hAnsi="Times New Roman"/>
          <w:sz w:val="20"/>
          <w:szCs w:val="20"/>
          <w:i w:val="1"/>
          <w:iCs w:val="1"/>
          <w:color w:val="auto"/>
        </w:rPr>
        <w:t>S.</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4"/>
          <w:szCs w:val="14"/>
          <w:i w:val="1"/>
          <w:iCs w:val="1"/>
          <w:color w:val="auto"/>
        </w:rPr>
        <w:t>bicanthalis</w:t>
      </w:r>
    </w:p>
    <w:p>
      <w:pPr>
        <w:spacing w:after="0" w:line="184" w:lineRule="exact"/>
        <w:rPr>
          <w:sz w:val="20"/>
          <w:szCs w:val="20"/>
          <w:color w:val="auto"/>
        </w:rPr>
      </w:pPr>
    </w:p>
    <w:tbl>
      <w:tblPr>
        <w:tblLayout w:type="fixed"/>
        <w:tblInd w:w="1210" w:type="dxa"/>
        <w:tblCellMar>
          <w:top w:w="0" w:type="dxa"/>
          <w:left w:w="0" w:type="dxa"/>
          <w:bottom w:w="0" w:type="dxa"/>
          <w:right w:w="0" w:type="dxa"/>
        </w:tblCellMar>
      </w:tblPr>
      <w:tr>
        <w:trPr>
          <w:trHeight w:val="288"/>
        </w:trPr>
        <w:tc>
          <w:tcPr>
            <w:tcW w:w="680" w:type="dxa"/>
            <w:vAlign w:val="bottom"/>
            <w:tcBorders>
              <w:top w:val="single" w:sz="8" w:color="auto"/>
              <w:left w:val="single" w:sz="8" w:color="auto"/>
              <w:right w:val="single" w:sz="8" w:color="auto"/>
            </w:tcBorders>
          </w:tcPr>
          <w:p>
            <w:pPr>
              <w:ind w:left="160"/>
              <w:spacing w:after="0"/>
              <w:rPr>
                <w:sz w:val="20"/>
                <w:szCs w:val="20"/>
                <w:color w:val="auto"/>
              </w:rPr>
            </w:pPr>
            <w:r>
              <w:rPr>
                <w:rFonts w:ascii="Times New Roman" w:cs="Times New Roman" w:eastAsia="Times New Roman" w:hAnsi="Times New Roman"/>
                <w:sz w:val="16"/>
                <w:szCs w:val="16"/>
                <w:i w:val="1"/>
                <w:iCs w:val="1"/>
                <w:color w:val="auto"/>
              </w:rPr>
              <w:t>Núm.</w:t>
            </w:r>
          </w:p>
        </w:tc>
        <w:tc>
          <w:tcPr>
            <w:tcW w:w="980" w:type="dxa"/>
            <w:vAlign w:val="bottom"/>
            <w:tcBorders>
              <w:top w:val="single" w:sz="8" w:color="auto"/>
              <w:right w:val="single" w:sz="8" w:color="auto"/>
            </w:tcBorders>
          </w:tcPr>
          <w:p>
            <w:pPr>
              <w:ind w:left="120"/>
              <w:spacing w:after="0"/>
              <w:rPr>
                <w:sz w:val="20"/>
                <w:szCs w:val="20"/>
                <w:color w:val="auto"/>
              </w:rPr>
            </w:pPr>
            <w:r>
              <w:rPr>
                <w:rFonts w:ascii="Times New Roman" w:cs="Times New Roman" w:eastAsia="Times New Roman" w:hAnsi="Times New Roman"/>
                <w:sz w:val="16"/>
                <w:szCs w:val="16"/>
                <w:i w:val="1"/>
                <w:iCs w:val="1"/>
                <w:color w:val="auto"/>
              </w:rPr>
              <w:t>Abreviatura</w:t>
            </w:r>
          </w:p>
        </w:tc>
        <w:tc>
          <w:tcPr>
            <w:tcW w:w="3140" w:type="dxa"/>
            <w:vAlign w:val="bottom"/>
            <w:tcBorders>
              <w:top w:val="single" w:sz="8" w:color="auto"/>
              <w:right w:val="single" w:sz="8" w:color="auto"/>
            </w:tcBorders>
          </w:tcPr>
          <w:p>
            <w:pPr>
              <w:ind w:left="960"/>
              <w:spacing w:after="0"/>
              <w:rPr>
                <w:sz w:val="20"/>
                <w:szCs w:val="20"/>
                <w:color w:val="auto"/>
              </w:rPr>
            </w:pPr>
            <w:r>
              <w:rPr>
                <w:rFonts w:ascii="Times New Roman" w:cs="Times New Roman" w:eastAsia="Times New Roman" w:hAnsi="Times New Roman"/>
                <w:sz w:val="16"/>
                <w:szCs w:val="16"/>
                <w:i w:val="1"/>
                <w:iCs w:val="1"/>
                <w:color w:val="auto"/>
              </w:rPr>
              <w:t>Medidas del corazón</w:t>
            </w:r>
          </w:p>
        </w:tc>
      </w:tr>
      <w:tr>
        <w:trPr>
          <w:trHeight w:val="54"/>
        </w:trPr>
        <w:tc>
          <w:tcPr>
            <w:tcW w:w="680" w:type="dxa"/>
            <w:vAlign w:val="bottom"/>
            <w:tcBorders>
              <w:left w:val="single" w:sz="8" w:color="auto"/>
              <w:bottom w:val="single" w:sz="8" w:color="auto"/>
              <w:right w:val="single" w:sz="8" w:color="auto"/>
            </w:tcBorders>
          </w:tcPr>
          <w:p>
            <w:pPr>
              <w:spacing w:after="0"/>
              <w:rPr>
                <w:sz w:val="4"/>
                <w:szCs w:val="4"/>
                <w:color w:val="auto"/>
              </w:rPr>
            </w:pPr>
          </w:p>
        </w:tc>
        <w:tc>
          <w:tcPr>
            <w:tcW w:w="980" w:type="dxa"/>
            <w:vAlign w:val="bottom"/>
            <w:tcBorders>
              <w:bottom w:val="single" w:sz="8" w:color="auto"/>
              <w:right w:val="single" w:sz="8" w:color="auto"/>
            </w:tcBorders>
          </w:tcPr>
          <w:p>
            <w:pPr>
              <w:spacing w:after="0"/>
              <w:rPr>
                <w:sz w:val="4"/>
                <w:szCs w:val="4"/>
                <w:color w:val="auto"/>
              </w:rPr>
            </w:pPr>
          </w:p>
        </w:tc>
        <w:tc>
          <w:tcPr>
            <w:tcW w:w="3140" w:type="dxa"/>
            <w:vAlign w:val="bottom"/>
            <w:tcBorders>
              <w:bottom w:val="single" w:sz="8" w:color="auto"/>
              <w:right w:val="single" w:sz="8" w:color="auto"/>
            </w:tcBorders>
          </w:tcPr>
          <w:p>
            <w:pPr>
              <w:spacing w:after="0"/>
              <w:rPr>
                <w:sz w:val="4"/>
                <w:szCs w:val="4"/>
                <w:color w:val="auto"/>
              </w:rPr>
            </w:pPr>
          </w:p>
        </w:tc>
      </w:tr>
      <w:tr>
        <w:trPr>
          <w:trHeight w:val="270"/>
        </w:trPr>
        <w:tc>
          <w:tcPr>
            <w:tcW w:w="68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w:t>
            </w:r>
          </w:p>
        </w:tc>
        <w:tc>
          <w:tcPr>
            <w:tcW w:w="98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anad</w:t>
            </w:r>
          </w:p>
        </w:tc>
        <w:tc>
          <w:tcPr>
            <w:tcW w:w="314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Ancho de la aurícula derecha</w:t>
            </w:r>
          </w:p>
        </w:tc>
      </w:tr>
      <w:tr>
        <w:trPr>
          <w:trHeight w:val="52"/>
        </w:trPr>
        <w:tc>
          <w:tcPr>
            <w:tcW w:w="680" w:type="dxa"/>
            <w:vAlign w:val="bottom"/>
            <w:tcBorders>
              <w:left w:val="single" w:sz="8" w:color="auto"/>
              <w:bottom w:val="single" w:sz="8" w:color="auto"/>
              <w:right w:val="single" w:sz="8" w:color="auto"/>
            </w:tcBorders>
          </w:tcPr>
          <w:p>
            <w:pPr>
              <w:spacing w:after="0"/>
              <w:rPr>
                <w:sz w:val="4"/>
                <w:szCs w:val="4"/>
                <w:color w:val="auto"/>
              </w:rPr>
            </w:pPr>
          </w:p>
        </w:tc>
        <w:tc>
          <w:tcPr>
            <w:tcW w:w="980" w:type="dxa"/>
            <w:vAlign w:val="bottom"/>
            <w:tcBorders>
              <w:bottom w:val="single" w:sz="8" w:color="auto"/>
              <w:right w:val="single" w:sz="8" w:color="auto"/>
            </w:tcBorders>
          </w:tcPr>
          <w:p>
            <w:pPr>
              <w:spacing w:after="0"/>
              <w:rPr>
                <w:sz w:val="4"/>
                <w:szCs w:val="4"/>
                <w:color w:val="auto"/>
              </w:rPr>
            </w:pPr>
          </w:p>
        </w:tc>
        <w:tc>
          <w:tcPr>
            <w:tcW w:w="3140" w:type="dxa"/>
            <w:vAlign w:val="bottom"/>
            <w:tcBorders>
              <w:bottom w:val="single" w:sz="8" w:color="auto"/>
              <w:right w:val="single" w:sz="8" w:color="auto"/>
            </w:tcBorders>
          </w:tcPr>
          <w:p>
            <w:pPr>
              <w:spacing w:after="0"/>
              <w:rPr>
                <w:sz w:val="4"/>
                <w:szCs w:val="4"/>
                <w:color w:val="auto"/>
              </w:rPr>
            </w:pPr>
          </w:p>
        </w:tc>
      </w:tr>
      <w:tr>
        <w:trPr>
          <w:trHeight w:val="270"/>
        </w:trPr>
        <w:tc>
          <w:tcPr>
            <w:tcW w:w="68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2</w:t>
            </w:r>
          </w:p>
        </w:tc>
        <w:tc>
          <w:tcPr>
            <w:tcW w:w="98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alad</w:t>
            </w:r>
          </w:p>
        </w:tc>
        <w:tc>
          <w:tcPr>
            <w:tcW w:w="314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Alto de la aurícula derecha</w:t>
            </w:r>
          </w:p>
        </w:tc>
      </w:tr>
      <w:tr>
        <w:trPr>
          <w:trHeight w:val="52"/>
        </w:trPr>
        <w:tc>
          <w:tcPr>
            <w:tcW w:w="680" w:type="dxa"/>
            <w:vAlign w:val="bottom"/>
            <w:tcBorders>
              <w:left w:val="single" w:sz="8" w:color="auto"/>
              <w:bottom w:val="single" w:sz="8" w:color="auto"/>
              <w:right w:val="single" w:sz="8" w:color="auto"/>
            </w:tcBorders>
          </w:tcPr>
          <w:p>
            <w:pPr>
              <w:spacing w:after="0"/>
              <w:rPr>
                <w:sz w:val="4"/>
                <w:szCs w:val="4"/>
                <w:color w:val="auto"/>
              </w:rPr>
            </w:pPr>
          </w:p>
        </w:tc>
        <w:tc>
          <w:tcPr>
            <w:tcW w:w="980" w:type="dxa"/>
            <w:vAlign w:val="bottom"/>
            <w:tcBorders>
              <w:bottom w:val="single" w:sz="8" w:color="auto"/>
              <w:right w:val="single" w:sz="8" w:color="auto"/>
            </w:tcBorders>
          </w:tcPr>
          <w:p>
            <w:pPr>
              <w:spacing w:after="0"/>
              <w:rPr>
                <w:sz w:val="4"/>
                <w:szCs w:val="4"/>
                <w:color w:val="auto"/>
              </w:rPr>
            </w:pPr>
          </w:p>
        </w:tc>
        <w:tc>
          <w:tcPr>
            <w:tcW w:w="3140" w:type="dxa"/>
            <w:vAlign w:val="bottom"/>
            <w:tcBorders>
              <w:bottom w:val="single" w:sz="8" w:color="auto"/>
              <w:right w:val="single" w:sz="8" w:color="auto"/>
            </w:tcBorders>
          </w:tcPr>
          <w:p>
            <w:pPr>
              <w:spacing w:after="0"/>
              <w:rPr>
                <w:sz w:val="4"/>
                <w:szCs w:val="4"/>
                <w:color w:val="auto"/>
              </w:rPr>
            </w:pPr>
          </w:p>
        </w:tc>
      </w:tr>
      <w:tr>
        <w:trPr>
          <w:trHeight w:val="270"/>
        </w:trPr>
        <w:tc>
          <w:tcPr>
            <w:tcW w:w="68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3</w:t>
            </w:r>
          </w:p>
        </w:tc>
        <w:tc>
          <w:tcPr>
            <w:tcW w:w="98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anai</w:t>
            </w:r>
          </w:p>
        </w:tc>
        <w:tc>
          <w:tcPr>
            <w:tcW w:w="314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Ancho de la aurícula izquierda</w:t>
            </w:r>
          </w:p>
        </w:tc>
      </w:tr>
      <w:tr>
        <w:trPr>
          <w:trHeight w:val="52"/>
        </w:trPr>
        <w:tc>
          <w:tcPr>
            <w:tcW w:w="680" w:type="dxa"/>
            <w:vAlign w:val="bottom"/>
            <w:tcBorders>
              <w:left w:val="single" w:sz="8" w:color="auto"/>
              <w:bottom w:val="single" w:sz="8" w:color="auto"/>
              <w:right w:val="single" w:sz="8" w:color="auto"/>
            </w:tcBorders>
          </w:tcPr>
          <w:p>
            <w:pPr>
              <w:spacing w:after="0"/>
              <w:rPr>
                <w:sz w:val="4"/>
                <w:szCs w:val="4"/>
                <w:color w:val="auto"/>
              </w:rPr>
            </w:pPr>
          </w:p>
        </w:tc>
        <w:tc>
          <w:tcPr>
            <w:tcW w:w="980" w:type="dxa"/>
            <w:vAlign w:val="bottom"/>
            <w:tcBorders>
              <w:bottom w:val="single" w:sz="8" w:color="auto"/>
              <w:right w:val="single" w:sz="8" w:color="auto"/>
            </w:tcBorders>
          </w:tcPr>
          <w:p>
            <w:pPr>
              <w:spacing w:after="0"/>
              <w:rPr>
                <w:sz w:val="4"/>
                <w:szCs w:val="4"/>
                <w:color w:val="auto"/>
              </w:rPr>
            </w:pPr>
          </w:p>
        </w:tc>
        <w:tc>
          <w:tcPr>
            <w:tcW w:w="3140" w:type="dxa"/>
            <w:vAlign w:val="bottom"/>
            <w:tcBorders>
              <w:bottom w:val="single" w:sz="8" w:color="auto"/>
              <w:right w:val="single" w:sz="8" w:color="auto"/>
            </w:tcBorders>
          </w:tcPr>
          <w:p>
            <w:pPr>
              <w:spacing w:after="0"/>
              <w:rPr>
                <w:sz w:val="4"/>
                <w:szCs w:val="4"/>
                <w:color w:val="auto"/>
              </w:rPr>
            </w:pPr>
          </w:p>
        </w:tc>
      </w:tr>
      <w:tr>
        <w:trPr>
          <w:trHeight w:val="270"/>
        </w:trPr>
        <w:tc>
          <w:tcPr>
            <w:tcW w:w="68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4</w:t>
            </w:r>
          </w:p>
        </w:tc>
        <w:tc>
          <w:tcPr>
            <w:tcW w:w="98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alai</w:t>
            </w:r>
          </w:p>
        </w:tc>
        <w:tc>
          <w:tcPr>
            <w:tcW w:w="314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Alto de la aurícula izquierda</w:t>
            </w:r>
          </w:p>
        </w:tc>
      </w:tr>
      <w:tr>
        <w:trPr>
          <w:trHeight w:val="52"/>
        </w:trPr>
        <w:tc>
          <w:tcPr>
            <w:tcW w:w="680" w:type="dxa"/>
            <w:vAlign w:val="bottom"/>
            <w:tcBorders>
              <w:left w:val="single" w:sz="8" w:color="auto"/>
              <w:bottom w:val="single" w:sz="8" w:color="auto"/>
              <w:right w:val="single" w:sz="8" w:color="auto"/>
            </w:tcBorders>
          </w:tcPr>
          <w:p>
            <w:pPr>
              <w:spacing w:after="0"/>
              <w:rPr>
                <w:sz w:val="4"/>
                <w:szCs w:val="4"/>
                <w:color w:val="auto"/>
              </w:rPr>
            </w:pPr>
          </w:p>
        </w:tc>
        <w:tc>
          <w:tcPr>
            <w:tcW w:w="980" w:type="dxa"/>
            <w:vAlign w:val="bottom"/>
            <w:tcBorders>
              <w:bottom w:val="single" w:sz="8" w:color="auto"/>
              <w:right w:val="single" w:sz="8" w:color="auto"/>
            </w:tcBorders>
          </w:tcPr>
          <w:p>
            <w:pPr>
              <w:spacing w:after="0"/>
              <w:rPr>
                <w:sz w:val="4"/>
                <w:szCs w:val="4"/>
                <w:color w:val="auto"/>
              </w:rPr>
            </w:pPr>
          </w:p>
        </w:tc>
        <w:tc>
          <w:tcPr>
            <w:tcW w:w="3140" w:type="dxa"/>
            <w:vAlign w:val="bottom"/>
            <w:tcBorders>
              <w:bottom w:val="single" w:sz="8" w:color="auto"/>
              <w:right w:val="single" w:sz="8" w:color="auto"/>
            </w:tcBorders>
          </w:tcPr>
          <w:p>
            <w:pPr>
              <w:spacing w:after="0"/>
              <w:rPr>
                <w:sz w:val="4"/>
                <w:szCs w:val="4"/>
                <w:color w:val="auto"/>
              </w:rPr>
            </w:pPr>
          </w:p>
        </w:tc>
      </w:tr>
      <w:tr>
        <w:trPr>
          <w:trHeight w:val="270"/>
        </w:trPr>
        <w:tc>
          <w:tcPr>
            <w:tcW w:w="68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5</w:t>
            </w:r>
          </w:p>
        </w:tc>
        <w:tc>
          <w:tcPr>
            <w:tcW w:w="98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av</w:t>
            </w:r>
          </w:p>
        </w:tc>
        <w:tc>
          <w:tcPr>
            <w:tcW w:w="314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Ancho del ventrículo</w:t>
            </w:r>
          </w:p>
        </w:tc>
      </w:tr>
      <w:tr>
        <w:trPr>
          <w:trHeight w:val="52"/>
        </w:trPr>
        <w:tc>
          <w:tcPr>
            <w:tcW w:w="680" w:type="dxa"/>
            <w:vAlign w:val="bottom"/>
            <w:tcBorders>
              <w:left w:val="single" w:sz="8" w:color="auto"/>
              <w:bottom w:val="single" w:sz="8" w:color="auto"/>
              <w:right w:val="single" w:sz="8" w:color="auto"/>
            </w:tcBorders>
          </w:tcPr>
          <w:p>
            <w:pPr>
              <w:spacing w:after="0"/>
              <w:rPr>
                <w:sz w:val="4"/>
                <w:szCs w:val="4"/>
                <w:color w:val="auto"/>
              </w:rPr>
            </w:pPr>
          </w:p>
        </w:tc>
        <w:tc>
          <w:tcPr>
            <w:tcW w:w="980" w:type="dxa"/>
            <w:vAlign w:val="bottom"/>
            <w:tcBorders>
              <w:bottom w:val="single" w:sz="8" w:color="auto"/>
              <w:right w:val="single" w:sz="8" w:color="auto"/>
            </w:tcBorders>
          </w:tcPr>
          <w:p>
            <w:pPr>
              <w:spacing w:after="0"/>
              <w:rPr>
                <w:sz w:val="4"/>
                <w:szCs w:val="4"/>
                <w:color w:val="auto"/>
              </w:rPr>
            </w:pPr>
          </w:p>
        </w:tc>
        <w:tc>
          <w:tcPr>
            <w:tcW w:w="3140" w:type="dxa"/>
            <w:vAlign w:val="bottom"/>
            <w:tcBorders>
              <w:bottom w:val="single" w:sz="8" w:color="auto"/>
              <w:right w:val="single" w:sz="8" w:color="auto"/>
            </w:tcBorders>
          </w:tcPr>
          <w:p>
            <w:pPr>
              <w:spacing w:after="0"/>
              <w:rPr>
                <w:sz w:val="4"/>
                <w:szCs w:val="4"/>
                <w:color w:val="auto"/>
              </w:rPr>
            </w:pPr>
          </w:p>
        </w:tc>
      </w:tr>
      <w:tr>
        <w:trPr>
          <w:trHeight w:val="270"/>
        </w:trPr>
        <w:tc>
          <w:tcPr>
            <w:tcW w:w="68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6</w:t>
            </w:r>
          </w:p>
        </w:tc>
        <w:tc>
          <w:tcPr>
            <w:tcW w:w="98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alv</w:t>
            </w:r>
          </w:p>
        </w:tc>
        <w:tc>
          <w:tcPr>
            <w:tcW w:w="314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Alto del ventrículo</w:t>
            </w:r>
          </w:p>
        </w:tc>
      </w:tr>
      <w:tr>
        <w:trPr>
          <w:trHeight w:val="52"/>
        </w:trPr>
        <w:tc>
          <w:tcPr>
            <w:tcW w:w="680" w:type="dxa"/>
            <w:vAlign w:val="bottom"/>
            <w:tcBorders>
              <w:left w:val="single" w:sz="8" w:color="auto"/>
              <w:bottom w:val="single" w:sz="8" w:color="auto"/>
              <w:right w:val="single" w:sz="8" w:color="auto"/>
            </w:tcBorders>
          </w:tcPr>
          <w:p>
            <w:pPr>
              <w:spacing w:after="0"/>
              <w:rPr>
                <w:sz w:val="4"/>
                <w:szCs w:val="4"/>
                <w:color w:val="auto"/>
              </w:rPr>
            </w:pPr>
          </w:p>
        </w:tc>
        <w:tc>
          <w:tcPr>
            <w:tcW w:w="980" w:type="dxa"/>
            <w:vAlign w:val="bottom"/>
            <w:tcBorders>
              <w:bottom w:val="single" w:sz="8" w:color="auto"/>
              <w:right w:val="single" w:sz="8" w:color="auto"/>
            </w:tcBorders>
          </w:tcPr>
          <w:p>
            <w:pPr>
              <w:spacing w:after="0"/>
              <w:rPr>
                <w:sz w:val="4"/>
                <w:szCs w:val="4"/>
                <w:color w:val="auto"/>
              </w:rPr>
            </w:pPr>
          </w:p>
        </w:tc>
        <w:tc>
          <w:tcPr>
            <w:tcW w:w="3140" w:type="dxa"/>
            <w:vAlign w:val="bottom"/>
            <w:tcBorders>
              <w:bottom w:val="single" w:sz="8" w:color="auto"/>
              <w:right w:val="single" w:sz="8" w:color="auto"/>
            </w:tcBorders>
          </w:tcPr>
          <w:p>
            <w:pPr>
              <w:spacing w:after="0"/>
              <w:rPr>
                <w:sz w:val="4"/>
                <w:szCs w:val="4"/>
                <w:color w:val="auto"/>
              </w:rPr>
            </w:pPr>
          </w:p>
        </w:tc>
      </w:tr>
      <w:tr>
        <w:trPr>
          <w:trHeight w:val="270"/>
        </w:trPr>
        <w:tc>
          <w:tcPr>
            <w:tcW w:w="68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7</w:t>
            </w:r>
          </w:p>
        </w:tc>
        <w:tc>
          <w:tcPr>
            <w:tcW w:w="98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anald</w:t>
            </w:r>
          </w:p>
        </w:tc>
        <w:tc>
          <w:tcPr>
            <w:tcW w:w="314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Ancho de la aurícula en vista lateral derecha</w:t>
            </w:r>
          </w:p>
        </w:tc>
      </w:tr>
      <w:tr>
        <w:trPr>
          <w:trHeight w:val="52"/>
        </w:trPr>
        <w:tc>
          <w:tcPr>
            <w:tcW w:w="680" w:type="dxa"/>
            <w:vAlign w:val="bottom"/>
            <w:tcBorders>
              <w:left w:val="single" w:sz="8" w:color="auto"/>
              <w:bottom w:val="single" w:sz="8" w:color="auto"/>
              <w:right w:val="single" w:sz="8" w:color="auto"/>
            </w:tcBorders>
          </w:tcPr>
          <w:p>
            <w:pPr>
              <w:spacing w:after="0"/>
              <w:rPr>
                <w:sz w:val="4"/>
                <w:szCs w:val="4"/>
                <w:color w:val="auto"/>
              </w:rPr>
            </w:pPr>
          </w:p>
        </w:tc>
        <w:tc>
          <w:tcPr>
            <w:tcW w:w="980" w:type="dxa"/>
            <w:vAlign w:val="bottom"/>
            <w:tcBorders>
              <w:bottom w:val="single" w:sz="8" w:color="auto"/>
              <w:right w:val="single" w:sz="8" w:color="auto"/>
            </w:tcBorders>
          </w:tcPr>
          <w:p>
            <w:pPr>
              <w:spacing w:after="0"/>
              <w:rPr>
                <w:sz w:val="4"/>
                <w:szCs w:val="4"/>
                <w:color w:val="auto"/>
              </w:rPr>
            </w:pPr>
          </w:p>
        </w:tc>
        <w:tc>
          <w:tcPr>
            <w:tcW w:w="3140" w:type="dxa"/>
            <w:vAlign w:val="bottom"/>
            <w:tcBorders>
              <w:bottom w:val="single" w:sz="8" w:color="auto"/>
              <w:right w:val="single" w:sz="8" w:color="auto"/>
            </w:tcBorders>
          </w:tcPr>
          <w:p>
            <w:pPr>
              <w:spacing w:after="0"/>
              <w:rPr>
                <w:sz w:val="4"/>
                <w:szCs w:val="4"/>
                <w:color w:val="auto"/>
              </w:rPr>
            </w:pPr>
          </w:p>
        </w:tc>
      </w:tr>
      <w:tr>
        <w:trPr>
          <w:trHeight w:val="270"/>
        </w:trPr>
        <w:tc>
          <w:tcPr>
            <w:tcW w:w="68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8</w:t>
            </w:r>
          </w:p>
        </w:tc>
        <w:tc>
          <w:tcPr>
            <w:tcW w:w="98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anvld</w:t>
            </w:r>
          </w:p>
        </w:tc>
        <w:tc>
          <w:tcPr>
            <w:tcW w:w="314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Ancho del ventrículo en vista lateral derecha</w:t>
            </w:r>
          </w:p>
        </w:tc>
      </w:tr>
      <w:tr>
        <w:trPr>
          <w:trHeight w:val="52"/>
        </w:trPr>
        <w:tc>
          <w:tcPr>
            <w:tcW w:w="680" w:type="dxa"/>
            <w:vAlign w:val="bottom"/>
            <w:tcBorders>
              <w:left w:val="single" w:sz="8" w:color="auto"/>
              <w:bottom w:val="single" w:sz="8" w:color="auto"/>
              <w:right w:val="single" w:sz="8" w:color="auto"/>
            </w:tcBorders>
          </w:tcPr>
          <w:p>
            <w:pPr>
              <w:spacing w:after="0"/>
              <w:rPr>
                <w:sz w:val="4"/>
                <w:szCs w:val="4"/>
                <w:color w:val="auto"/>
              </w:rPr>
            </w:pPr>
          </w:p>
        </w:tc>
        <w:tc>
          <w:tcPr>
            <w:tcW w:w="980" w:type="dxa"/>
            <w:vAlign w:val="bottom"/>
            <w:tcBorders>
              <w:bottom w:val="single" w:sz="8" w:color="auto"/>
              <w:right w:val="single" w:sz="8" w:color="auto"/>
            </w:tcBorders>
          </w:tcPr>
          <w:p>
            <w:pPr>
              <w:spacing w:after="0"/>
              <w:rPr>
                <w:sz w:val="4"/>
                <w:szCs w:val="4"/>
                <w:color w:val="auto"/>
              </w:rPr>
            </w:pPr>
          </w:p>
        </w:tc>
        <w:tc>
          <w:tcPr>
            <w:tcW w:w="3140" w:type="dxa"/>
            <w:vAlign w:val="bottom"/>
            <w:tcBorders>
              <w:bottom w:val="single" w:sz="8" w:color="auto"/>
              <w:right w:val="single" w:sz="8" w:color="auto"/>
            </w:tcBorders>
          </w:tcPr>
          <w:p>
            <w:pPr>
              <w:spacing w:after="0"/>
              <w:rPr>
                <w:sz w:val="4"/>
                <w:szCs w:val="4"/>
                <w:color w:val="auto"/>
              </w:rPr>
            </w:pPr>
          </w:p>
        </w:tc>
      </w:tr>
      <w:tr>
        <w:trPr>
          <w:trHeight w:val="270"/>
        </w:trPr>
        <w:tc>
          <w:tcPr>
            <w:tcW w:w="68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9</w:t>
            </w:r>
          </w:p>
        </w:tc>
        <w:tc>
          <w:tcPr>
            <w:tcW w:w="98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anali</w:t>
            </w:r>
          </w:p>
        </w:tc>
        <w:tc>
          <w:tcPr>
            <w:tcW w:w="314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Ancho de la aurícula en vista lateral izquierda</w:t>
            </w:r>
          </w:p>
        </w:tc>
      </w:tr>
      <w:tr>
        <w:trPr>
          <w:trHeight w:val="52"/>
        </w:trPr>
        <w:tc>
          <w:tcPr>
            <w:tcW w:w="680" w:type="dxa"/>
            <w:vAlign w:val="bottom"/>
            <w:tcBorders>
              <w:left w:val="single" w:sz="8" w:color="auto"/>
              <w:bottom w:val="single" w:sz="8" w:color="auto"/>
              <w:right w:val="single" w:sz="8" w:color="auto"/>
            </w:tcBorders>
          </w:tcPr>
          <w:p>
            <w:pPr>
              <w:spacing w:after="0"/>
              <w:rPr>
                <w:sz w:val="4"/>
                <w:szCs w:val="4"/>
                <w:color w:val="auto"/>
              </w:rPr>
            </w:pPr>
          </w:p>
        </w:tc>
        <w:tc>
          <w:tcPr>
            <w:tcW w:w="980" w:type="dxa"/>
            <w:vAlign w:val="bottom"/>
            <w:tcBorders>
              <w:bottom w:val="single" w:sz="8" w:color="auto"/>
              <w:right w:val="single" w:sz="8" w:color="auto"/>
            </w:tcBorders>
          </w:tcPr>
          <w:p>
            <w:pPr>
              <w:spacing w:after="0"/>
              <w:rPr>
                <w:sz w:val="4"/>
                <w:szCs w:val="4"/>
                <w:color w:val="auto"/>
              </w:rPr>
            </w:pPr>
          </w:p>
        </w:tc>
        <w:tc>
          <w:tcPr>
            <w:tcW w:w="3140" w:type="dxa"/>
            <w:vAlign w:val="bottom"/>
            <w:tcBorders>
              <w:bottom w:val="single" w:sz="8" w:color="auto"/>
              <w:right w:val="single" w:sz="8" w:color="auto"/>
            </w:tcBorders>
          </w:tcPr>
          <w:p>
            <w:pPr>
              <w:spacing w:after="0"/>
              <w:rPr>
                <w:sz w:val="4"/>
                <w:szCs w:val="4"/>
                <w:color w:val="auto"/>
              </w:rPr>
            </w:pPr>
          </w:p>
        </w:tc>
      </w:tr>
      <w:tr>
        <w:trPr>
          <w:trHeight w:val="270"/>
        </w:trPr>
        <w:tc>
          <w:tcPr>
            <w:tcW w:w="68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10</w:t>
            </w:r>
          </w:p>
        </w:tc>
        <w:tc>
          <w:tcPr>
            <w:tcW w:w="98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anvli</w:t>
            </w:r>
          </w:p>
        </w:tc>
        <w:tc>
          <w:tcPr>
            <w:tcW w:w="314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Ancho del ventrículo en vista lateral izquierda</w:t>
            </w:r>
          </w:p>
        </w:tc>
      </w:tr>
      <w:tr>
        <w:trPr>
          <w:trHeight w:val="52"/>
        </w:trPr>
        <w:tc>
          <w:tcPr>
            <w:tcW w:w="680" w:type="dxa"/>
            <w:vAlign w:val="bottom"/>
            <w:tcBorders>
              <w:left w:val="single" w:sz="8" w:color="auto"/>
              <w:bottom w:val="single" w:sz="8" w:color="auto"/>
              <w:right w:val="single" w:sz="8" w:color="auto"/>
            </w:tcBorders>
          </w:tcPr>
          <w:p>
            <w:pPr>
              <w:spacing w:after="0"/>
              <w:rPr>
                <w:sz w:val="4"/>
                <w:szCs w:val="4"/>
                <w:color w:val="auto"/>
              </w:rPr>
            </w:pPr>
          </w:p>
        </w:tc>
        <w:tc>
          <w:tcPr>
            <w:tcW w:w="980" w:type="dxa"/>
            <w:vAlign w:val="bottom"/>
            <w:tcBorders>
              <w:bottom w:val="single" w:sz="8" w:color="auto"/>
              <w:right w:val="single" w:sz="8" w:color="auto"/>
            </w:tcBorders>
          </w:tcPr>
          <w:p>
            <w:pPr>
              <w:spacing w:after="0"/>
              <w:rPr>
                <w:sz w:val="4"/>
                <w:szCs w:val="4"/>
                <w:color w:val="auto"/>
              </w:rPr>
            </w:pPr>
          </w:p>
        </w:tc>
        <w:tc>
          <w:tcPr>
            <w:tcW w:w="3140" w:type="dxa"/>
            <w:vAlign w:val="bottom"/>
            <w:tcBorders>
              <w:bottom w:val="single" w:sz="8" w:color="auto"/>
              <w:right w:val="single" w:sz="8" w:color="auto"/>
            </w:tcBorders>
          </w:tcPr>
          <w:p>
            <w:pPr>
              <w:spacing w:after="0"/>
              <w:rPr>
                <w:sz w:val="4"/>
                <w:szCs w:val="4"/>
                <w:color w:val="auto"/>
              </w:rPr>
            </w:pPr>
          </w:p>
        </w:tc>
      </w:tr>
      <w:tr>
        <w:trPr>
          <w:trHeight w:val="356"/>
        </w:trPr>
        <w:tc>
          <w:tcPr>
            <w:tcW w:w="1660" w:type="dxa"/>
            <w:vAlign w:val="bottom"/>
            <w:gridSpan w:val="2"/>
          </w:tcPr>
          <w:p>
            <w:pPr>
              <w:spacing w:after="0"/>
              <w:rPr>
                <w:sz w:val="20"/>
                <w:szCs w:val="20"/>
                <w:color w:val="auto"/>
              </w:rPr>
            </w:pPr>
            <w:r>
              <w:rPr>
                <w:rFonts w:ascii="Times New Roman" w:cs="Times New Roman" w:eastAsia="Times New Roman" w:hAnsi="Times New Roman"/>
                <w:sz w:val="16"/>
                <w:szCs w:val="16"/>
                <w:color w:val="auto"/>
              </w:rPr>
              <w:t>Fuente: Ruiz, 2010.</w:t>
            </w:r>
          </w:p>
        </w:tc>
        <w:tc>
          <w:tcPr>
            <w:tcW w:w="3140" w:type="dxa"/>
            <w:vAlign w:val="bottom"/>
          </w:tcPr>
          <w:p>
            <w:pPr>
              <w:spacing w:after="0"/>
              <w:rPr>
                <w:sz w:val="24"/>
                <w:szCs w:val="24"/>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318" w:lineRule="exact"/>
        <w:rPr>
          <w:sz w:val="20"/>
          <w:szCs w:val="20"/>
          <w:color w:val="auto"/>
        </w:rPr>
      </w:pPr>
    </w:p>
    <w:p>
      <w:pPr>
        <w:ind w:left="1500"/>
        <w:spacing w:after="0"/>
        <w:tabs>
          <w:tab w:leader="none" w:pos="5180" w:val="left"/>
        </w:tabs>
        <w:rPr>
          <w:sz w:val="20"/>
          <w:szCs w:val="20"/>
          <w:color w:val="auto"/>
        </w:rPr>
      </w:pPr>
      <w:r>
        <w:rPr>
          <w:rFonts w:ascii="Times New Roman" w:cs="Times New Roman" w:eastAsia="Times New Roman" w:hAnsi="Times New Roman"/>
          <w:sz w:val="18"/>
          <w:szCs w:val="18"/>
          <w:i w:val="1"/>
          <w:iCs w:val="1"/>
          <w:color w:val="auto"/>
        </w:rPr>
        <w:t>Figura 1</w:t>
      </w:r>
      <w:r>
        <w:rPr>
          <w:sz w:val="20"/>
          <w:szCs w:val="20"/>
          <w:color w:val="auto"/>
        </w:rPr>
        <w:tab/>
      </w:r>
      <w:r>
        <w:rPr>
          <w:rFonts w:ascii="Times New Roman" w:cs="Times New Roman" w:eastAsia="Times New Roman" w:hAnsi="Times New Roman"/>
          <w:sz w:val="16"/>
          <w:szCs w:val="16"/>
          <w:i w:val="1"/>
          <w:iCs w:val="1"/>
          <w:color w:val="auto"/>
        </w:rPr>
        <w:t>Figura 2</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-10795</wp:posOffset>
            </wp:positionH>
            <wp:positionV relativeFrom="paragraph">
              <wp:posOffset>103505</wp:posOffset>
            </wp:positionV>
            <wp:extent cx="4579620" cy="1960880"/>
            <wp:wrapNone/>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52">
                      <a:extLst>
                        <a:ext uri="{28A0092B-C50C-407E-A947-70E740481C1C}"/>
                      </a:extLst>
                    </a:blip>
                    <a:srcRect/>
                    <a:stretch>
                      <a:fillRect/>
                    </a:stretch>
                  </pic:blipFill>
                  <pic:spPr bwMode="auto">
                    <a:xfrm>
                      <a:off x="0" y="0"/>
                      <a:ext cx="4579620" cy="196088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1" w:lineRule="exact"/>
        <w:rPr>
          <w:sz w:val="20"/>
          <w:szCs w:val="20"/>
          <w:color w:val="auto"/>
        </w:rPr>
      </w:pPr>
    </w:p>
    <w:p>
      <w:pPr>
        <w:spacing w:after="0"/>
        <w:tabs>
          <w:tab w:leader="none" w:pos="3780" w:val="left"/>
        </w:tabs>
        <w:rPr>
          <w:sz w:val="20"/>
          <w:szCs w:val="20"/>
          <w:color w:val="auto"/>
        </w:rPr>
      </w:pPr>
      <w:r>
        <w:rPr>
          <w:rFonts w:ascii="Times New Roman" w:cs="Times New Roman" w:eastAsia="Times New Roman" w:hAnsi="Times New Roman"/>
          <w:sz w:val="16"/>
          <w:szCs w:val="16"/>
          <w:color w:val="auto"/>
        </w:rPr>
        <w:t xml:space="preserve">Vista frontal del corazón de </w:t>
      </w:r>
      <w:r>
        <w:rPr>
          <w:rFonts w:ascii="Times New Roman" w:cs="Times New Roman" w:eastAsia="Times New Roman" w:hAnsi="Times New Roman"/>
          <w:sz w:val="16"/>
          <w:szCs w:val="16"/>
          <w:i w:val="1"/>
          <w:iCs w:val="1"/>
          <w:color w:val="auto"/>
        </w:rPr>
        <w:t>S. bicanthalis</w:t>
      </w:r>
      <w:r>
        <w:rPr>
          <w:rFonts w:ascii="Times New Roman" w:cs="Times New Roman" w:eastAsia="Times New Roman" w:hAnsi="Times New Roman"/>
          <w:sz w:val="16"/>
          <w:szCs w:val="16"/>
          <w:color w:val="auto"/>
        </w:rPr>
        <w:t>.</w:t>
      </w:r>
      <w:r>
        <w:rPr>
          <w:sz w:val="20"/>
          <w:szCs w:val="20"/>
          <w:color w:val="auto"/>
        </w:rPr>
        <w:tab/>
      </w:r>
      <w:r>
        <w:rPr>
          <w:rFonts w:ascii="Times New Roman" w:cs="Times New Roman" w:eastAsia="Times New Roman" w:hAnsi="Times New Roman"/>
          <w:sz w:val="14"/>
          <w:szCs w:val="14"/>
          <w:color w:val="auto"/>
        </w:rPr>
        <w:t xml:space="preserve">Vista lateral derecha del corazón de </w:t>
      </w:r>
      <w:r>
        <w:rPr>
          <w:rFonts w:ascii="Times New Roman" w:cs="Times New Roman" w:eastAsia="Times New Roman" w:hAnsi="Times New Roman"/>
          <w:sz w:val="14"/>
          <w:szCs w:val="14"/>
          <w:i w:val="1"/>
          <w:iCs w:val="1"/>
          <w:color w:val="auto"/>
        </w:rPr>
        <w:t>S. bicanthalis</w:t>
      </w:r>
      <w:r>
        <w:rPr>
          <w:rFonts w:ascii="Times New Roman" w:cs="Times New Roman" w:eastAsia="Times New Roman" w:hAnsi="Times New Roman"/>
          <w:sz w:val="14"/>
          <w:szCs w:val="14"/>
          <w:color w:val="auto"/>
        </w:rPr>
        <w:t>.</w:t>
      </w:r>
    </w:p>
    <w:p>
      <w:pPr>
        <w:spacing w:after="0" w:line="115" w:lineRule="exact"/>
        <w:rPr>
          <w:sz w:val="20"/>
          <w:szCs w:val="20"/>
          <w:color w:val="auto"/>
        </w:rPr>
      </w:pPr>
    </w:p>
    <w:p>
      <w:pPr>
        <w:ind w:left="2980"/>
        <w:spacing w:after="0"/>
        <w:rPr>
          <w:sz w:val="20"/>
          <w:szCs w:val="20"/>
          <w:color w:val="auto"/>
        </w:rPr>
      </w:pPr>
      <w:r>
        <w:rPr>
          <w:rFonts w:ascii="Times New Roman" w:cs="Times New Roman" w:eastAsia="Times New Roman" w:hAnsi="Times New Roman"/>
          <w:sz w:val="16"/>
          <w:szCs w:val="16"/>
          <w:color w:val="auto"/>
        </w:rPr>
        <w:t>Fuente: Ruiz, 2010.</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36"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112" w:name="page113"/>
    <w:bookmarkEnd w:id="112"/>
    <w:p>
      <w:pPr>
        <w:spacing w:after="0"/>
        <w:tabs>
          <w:tab w:leader="none" w:pos="2100" w:val="left"/>
          <w:tab w:leader="none" w:pos="2960" w:val="left"/>
          <w:tab w:leader="none" w:pos="4120" w:val="left"/>
        </w:tabs>
        <w:rPr>
          <w:sz w:val="20"/>
          <w:szCs w:val="20"/>
          <w:color w:val="auto"/>
        </w:rPr>
      </w:pPr>
      <w:r>
        <w:rPr>
          <w:rFonts w:ascii="Arial Narrow" w:cs="Arial Narrow" w:eastAsia="Arial Narrow" w:hAnsi="Arial Narrow"/>
          <w:sz w:val="16"/>
          <w:szCs w:val="16"/>
          <w:color w:val="auto"/>
        </w:rPr>
        <w:t>112</w:t>
      </w:r>
      <w:r>
        <w:rPr>
          <w:sz w:val="20"/>
          <w:szCs w:val="20"/>
          <w:color w:val="auto"/>
        </w:rPr>
        <w:tab/>
      </w:r>
      <w:r>
        <w:rPr>
          <w:rFonts w:ascii="Arial Narrow" w:cs="Arial Narrow" w:eastAsia="Arial Narrow" w:hAnsi="Arial Narrow"/>
          <w:sz w:val="11"/>
          <w:szCs w:val="11"/>
          <w:color w:val="auto"/>
        </w:rPr>
        <w:t>ruiz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valencia</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1858645</wp:posOffset>
                </wp:positionH>
                <wp:positionV relativeFrom="paragraph">
                  <wp:posOffset>-76835</wp:posOffset>
                </wp:positionV>
                <wp:extent cx="0" cy="88900"/>
                <wp:wrapNone/>
                <wp:docPr id="263" name="Shape 26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63" o:spid="_x0000_s128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6.35pt,-6.0499pt" to="146.3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2602230</wp:posOffset>
                </wp:positionH>
                <wp:positionV relativeFrom="paragraph">
                  <wp:posOffset>-76835</wp:posOffset>
                </wp:positionV>
                <wp:extent cx="0" cy="88900"/>
                <wp:wrapNone/>
                <wp:docPr id="264" name="Shape 26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64" o:spid="_x0000_s128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4.9pt,-6.0499pt" to="204.9pt,0.95pt" o:allowincell="f" strokecolor="#000000" strokeweight="0.4pt"/>
            </w:pict>
          </mc:Fallback>
        </mc:AlternateContent>
      </w:r>
    </w:p>
    <w:p>
      <w:pPr>
        <w:spacing w:after="0" w:line="34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Análisis estadístico</w:t>
      </w:r>
    </w:p>
    <w:p>
      <w:pPr>
        <w:spacing w:after="0" w:line="38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La información obtenida se organizó en una matriz de datos y, mediante el paquete estadístico StatGraphics Plus 5.0, se analizó por medio de estadística multivariada, acp y estadística univariada, utilizando el Anova y la regresión lineal, con un nivel de significancia menor o igual a 0.05 (Zar, 1999).</w:t>
      </w:r>
    </w:p>
    <w:p>
      <w:pPr>
        <w:spacing w:after="0" w:line="2" w:lineRule="exact"/>
        <w:rPr>
          <w:sz w:val="20"/>
          <w:szCs w:val="20"/>
          <w:color w:val="auto"/>
        </w:rPr>
      </w:pPr>
    </w:p>
    <w:p>
      <w:pPr>
        <w:jc w:val="both"/>
        <w:ind w:firstLine="360"/>
        <w:spacing w:after="0" w:line="333" w:lineRule="auto"/>
        <w:rPr>
          <w:sz w:val="20"/>
          <w:szCs w:val="20"/>
          <w:color w:val="auto"/>
        </w:rPr>
      </w:pPr>
      <w:r>
        <w:rPr>
          <w:rFonts w:ascii="Times New Roman" w:cs="Times New Roman" w:eastAsia="Times New Roman" w:hAnsi="Times New Roman"/>
          <w:sz w:val="20"/>
          <w:szCs w:val="20"/>
          <w:color w:val="auto"/>
        </w:rPr>
        <w:t xml:space="preserve">Los análisis de regresión entre las medidas morfológicas y las del corazón contra la lhc sirvieron para calcular los residuos de cada correlación y utilizarlos en análisis posteriores; esto con la finalidad de eliminar el efecto del tamaño de los organismos y su influencia en la variable de trabajo (Husak, 2006; Zar, 1999). Los datos se emplearon a su vez para estructurar los acp y observar la posible diferenciación de grupos entre localidades y sexos, además de identificar las variables que separan cada grupo (McGarigal </w:t>
      </w:r>
      <w:r>
        <w:rPr>
          <w:rFonts w:ascii="Times New Roman" w:cs="Times New Roman" w:eastAsia="Times New Roman" w:hAnsi="Times New Roman"/>
          <w:sz w:val="20"/>
          <w:szCs w:val="20"/>
          <w:i w:val="1"/>
          <w:iCs w:val="1"/>
          <w:color w:val="auto"/>
        </w:rPr>
        <w:t>et al.,</w:t>
      </w:r>
      <w:r>
        <w:rPr>
          <w:rFonts w:ascii="Times New Roman" w:cs="Times New Roman" w:eastAsia="Times New Roman" w:hAnsi="Times New Roman"/>
          <w:sz w:val="20"/>
          <w:szCs w:val="20"/>
          <w:color w:val="auto"/>
        </w:rPr>
        <w:t xml:space="preserve"> 2002). Del acp, se utilizó el CP1, que explica el mayor porcentaje de varianza, para realizar el Anova con la variable conformada por el conjunto sexo-altitud y de esta manera evaluar si existen diferencias significativas del CP1 con respecto al sexo y la altitud. Cuando esta prueba detectó diferencias significativas, se realizó la prueba de Bonferroni para la corrección de comparaciones múltiples y así evitar errores de tipo I o alfa (cuando se rechaza la hipótesis nula si es verdadera).</w:t>
      </w:r>
    </w:p>
    <w:p>
      <w:pPr>
        <w:spacing w:after="0" w:line="11" w:lineRule="exact"/>
        <w:rPr>
          <w:sz w:val="20"/>
          <w:szCs w:val="20"/>
          <w:color w:val="auto"/>
        </w:rPr>
      </w:pPr>
    </w:p>
    <w:p>
      <w:pPr>
        <w:jc w:val="both"/>
        <w:ind w:firstLine="360"/>
        <w:spacing w:after="0" w:line="306" w:lineRule="auto"/>
        <w:rPr>
          <w:sz w:val="20"/>
          <w:szCs w:val="20"/>
          <w:color w:val="auto"/>
        </w:rPr>
      </w:pPr>
      <w:r>
        <w:rPr>
          <w:rFonts w:ascii="Times New Roman" w:cs="Times New Roman" w:eastAsia="Times New Roman" w:hAnsi="Times New Roman"/>
          <w:sz w:val="22"/>
          <w:szCs w:val="22"/>
          <w:color w:val="auto"/>
        </w:rPr>
        <w:t>Sumado a lo anterior, se realizaron pruebas de Ancova para conocer el efecto de la altitud sobre el CP1 de la morfometría corporal, del corazón y conjunta, pero eliminando el efecto del sexo, éste sólo como covariable. Con el propósito de comparar la morfometría corporal y la morfometría del corazón para una especie ovípara y otra vivípara en relación con la altitud, se hicieron dos pruebas de t-Student tomando el CP1 de morfología y corazón conjunto con respecto a la variable altitud. Finalmente, se llevó a cabo una correlación entre el CP1 de la morfometría corporal y la morfometría del corazón con el objetivo de estimar la posible relación entre estas variables y saber a cuál modelo se ajustaba.</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1"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65" name="Shape 26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65" o:spid="_x0000_s129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66" name="Shape 26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66" o:spid="_x0000_s129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67" name="Shape 26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67" o:spid="_x0000_s129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13" w:name="page114"/>
    <w:bookmarkEnd w:id="113"/>
    <w:p>
      <w:pPr>
        <w:ind w:left="1180"/>
        <w:spacing w:after="0"/>
        <w:tabs>
          <w:tab w:leader="dot" w:pos="6960" w:val="left"/>
        </w:tabs>
        <w:rPr>
          <w:sz w:val="20"/>
          <w:szCs w:val="20"/>
          <w:color w:val="auto"/>
        </w:rPr>
      </w:pPr>
      <w:r>
        <w:rPr>
          <w:rFonts w:ascii="Arial Narrow" w:cs="Arial Narrow" w:eastAsia="Arial Narrow" w:hAnsi="Arial Narrow"/>
          <w:sz w:val="11"/>
          <w:szCs w:val="11"/>
          <w:color w:val="auto"/>
        </w:rPr>
        <w:t>morfometría externa del corazón de dos especies hermanas del grupo scalaris</w:t>
      </w:r>
      <w:r>
        <w:rPr>
          <w:sz w:val="20"/>
          <w:szCs w:val="20"/>
          <w:color w:val="auto"/>
        </w:rPr>
        <w:tab/>
      </w:r>
      <w:r>
        <w:rPr>
          <w:rFonts w:ascii="Arial Narrow" w:cs="Arial Narrow" w:eastAsia="Arial Narrow" w:hAnsi="Arial Narrow"/>
          <w:sz w:val="16"/>
          <w:szCs w:val="16"/>
          <w:color w:val="auto"/>
        </w:rPr>
        <w:t>113</w:t>
      </w:r>
    </w:p>
    <w:p>
      <w:pPr>
        <w:spacing w:after="0" w:line="200" w:lineRule="exact"/>
        <w:rPr>
          <w:sz w:val="20"/>
          <w:szCs w:val="20"/>
          <w:color w:val="auto"/>
        </w:rPr>
      </w:pPr>
    </w:p>
    <w:p>
      <w:pPr>
        <w:spacing w:after="0" w:line="349"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Resultados</w:t>
      </w:r>
    </w:p>
    <w:p>
      <w:pPr>
        <w:spacing w:after="0" w:line="367" w:lineRule="exact"/>
        <w:rPr>
          <w:sz w:val="20"/>
          <w:szCs w:val="20"/>
          <w:color w:val="auto"/>
        </w:rPr>
      </w:pPr>
    </w:p>
    <w:p>
      <w:pPr>
        <w:jc w:val="both"/>
        <w:spacing w:after="0" w:line="373" w:lineRule="auto"/>
        <w:rPr>
          <w:sz w:val="20"/>
          <w:szCs w:val="20"/>
          <w:color w:val="auto"/>
        </w:rPr>
      </w:pPr>
      <w:r>
        <w:rPr>
          <w:rFonts w:ascii="Times New Roman" w:cs="Times New Roman" w:eastAsia="Times New Roman" w:hAnsi="Times New Roman"/>
          <w:sz w:val="19"/>
          <w:szCs w:val="19"/>
          <w:color w:val="auto"/>
        </w:rPr>
        <w:t>Ninguno de los análisis que se presentan a continuación mostró la existencia de diferencias significativas entre sexos para ninguna de las variables ni dentro de ninguna población, por lo que se juntaron los valores de machos y hembras para realizar la comparación únicamente según la altitud y no dividir el tamaño de muestra de cada población.</w:t>
      </w:r>
    </w:p>
    <w:p>
      <w:pPr>
        <w:spacing w:after="0" w:line="200" w:lineRule="exact"/>
        <w:rPr>
          <w:sz w:val="20"/>
          <w:szCs w:val="20"/>
          <w:color w:val="auto"/>
        </w:rPr>
      </w:pPr>
    </w:p>
    <w:p>
      <w:pPr>
        <w:spacing w:after="0" w:line="302"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Morfometría morfológica</w:t>
      </w:r>
    </w:p>
    <w:p>
      <w:pPr>
        <w:spacing w:after="0" w:line="367" w:lineRule="exact"/>
        <w:rPr>
          <w:sz w:val="20"/>
          <w:szCs w:val="20"/>
          <w:color w:val="auto"/>
        </w:rPr>
      </w:pPr>
    </w:p>
    <w:p>
      <w:pPr>
        <w:jc w:val="both"/>
        <w:spacing w:after="0" w:line="330" w:lineRule="auto"/>
        <w:rPr>
          <w:sz w:val="20"/>
          <w:szCs w:val="20"/>
          <w:color w:val="auto"/>
        </w:rPr>
      </w:pPr>
      <w:r>
        <w:rPr>
          <w:rFonts w:ascii="Times New Roman" w:cs="Times New Roman" w:eastAsia="Times New Roman" w:hAnsi="Times New Roman"/>
          <w:sz w:val="21"/>
          <w:szCs w:val="21"/>
          <w:color w:val="auto"/>
        </w:rPr>
        <w:t>El acp para 18 medidas morfológicas corporales sugiere que los dos primeros componentes explican 38.66% de la variabilidad total de los datos. La figura 3 representa el acp de morfología, donde se puede observar la separación de dos grupos (denotación 1 y 2). El CP1 explica 26.29% de la varianza (mayor porcentaje).</w:t>
      </w:r>
    </w:p>
    <w:p>
      <w:pPr>
        <w:spacing w:after="0" w:line="272" w:lineRule="exact"/>
        <w:rPr>
          <w:sz w:val="20"/>
          <w:szCs w:val="20"/>
          <w:color w:val="auto"/>
        </w:rPr>
      </w:pPr>
    </w:p>
    <w:tbl>
      <w:tblPr>
        <w:tblLayout w:type="fixed"/>
        <w:tblInd w:w="1090" w:type="dxa"/>
        <w:tblCellMar>
          <w:top w:w="0" w:type="dxa"/>
          <w:left w:w="0" w:type="dxa"/>
          <w:bottom w:w="0" w:type="dxa"/>
          <w:right w:w="0" w:type="dxa"/>
        </w:tblCellMar>
      </w:tblPr>
      <w:tr>
        <w:trPr>
          <w:trHeight w:val="225"/>
        </w:trPr>
        <w:tc>
          <w:tcPr>
            <w:tcW w:w="820" w:type="dxa"/>
            <w:vAlign w:val="bottom"/>
          </w:tcPr>
          <w:p>
            <w:pPr>
              <w:spacing w:after="0"/>
              <w:rPr>
                <w:sz w:val="19"/>
                <w:szCs w:val="19"/>
                <w:color w:val="auto"/>
              </w:rPr>
            </w:pPr>
          </w:p>
        </w:tc>
        <w:tc>
          <w:tcPr>
            <w:tcW w:w="1000" w:type="dxa"/>
            <w:vAlign w:val="bottom"/>
          </w:tcPr>
          <w:p>
            <w:pPr>
              <w:spacing w:after="0"/>
              <w:rPr>
                <w:sz w:val="19"/>
                <w:szCs w:val="19"/>
                <w:color w:val="auto"/>
              </w:rPr>
            </w:pPr>
          </w:p>
        </w:tc>
        <w:tc>
          <w:tcPr>
            <w:tcW w:w="1060" w:type="dxa"/>
            <w:vAlign w:val="bottom"/>
          </w:tcPr>
          <w:p>
            <w:pPr>
              <w:ind w:left="420"/>
              <w:spacing w:after="0"/>
              <w:rPr>
                <w:sz w:val="20"/>
                <w:szCs w:val="20"/>
                <w:color w:val="auto"/>
              </w:rPr>
            </w:pPr>
            <w:r>
              <w:rPr>
                <w:rFonts w:ascii="Times New Roman" w:cs="Times New Roman" w:eastAsia="Times New Roman" w:hAnsi="Times New Roman"/>
                <w:sz w:val="18"/>
                <w:szCs w:val="18"/>
                <w:i w:val="1"/>
                <w:iCs w:val="1"/>
                <w:color w:val="auto"/>
                <w:w w:val="97"/>
              </w:rPr>
              <w:t>Figura 3</w:t>
            </w:r>
          </w:p>
        </w:tc>
        <w:tc>
          <w:tcPr>
            <w:tcW w:w="620" w:type="dxa"/>
            <w:vAlign w:val="bottom"/>
          </w:tcPr>
          <w:p>
            <w:pPr>
              <w:spacing w:after="0"/>
              <w:rPr>
                <w:sz w:val="19"/>
                <w:szCs w:val="19"/>
                <w:color w:val="auto"/>
              </w:rPr>
            </w:pPr>
          </w:p>
        </w:tc>
        <w:tc>
          <w:tcPr>
            <w:tcW w:w="154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108"/>
        </w:trPr>
        <w:tc>
          <w:tcPr>
            <w:tcW w:w="820" w:type="dxa"/>
            <w:vAlign w:val="bottom"/>
            <w:tcBorders>
              <w:bottom w:val="single" w:sz="8" w:color="auto"/>
            </w:tcBorders>
          </w:tcPr>
          <w:p>
            <w:pPr>
              <w:spacing w:after="0"/>
              <w:rPr>
                <w:sz w:val="9"/>
                <w:szCs w:val="9"/>
                <w:color w:val="auto"/>
              </w:rPr>
            </w:pPr>
          </w:p>
        </w:tc>
        <w:tc>
          <w:tcPr>
            <w:tcW w:w="1000" w:type="dxa"/>
            <w:vAlign w:val="bottom"/>
            <w:tcBorders>
              <w:bottom w:val="single" w:sz="8" w:color="auto"/>
            </w:tcBorders>
          </w:tcPr>
          <w:p>
            <w:pPr>
              <w:spacing w:after="0"/>
              <w:rPr>
                <w:sz w:val="9"/>
                <w:szCs w:val="9"/>
                <w:color w:val="auto"/>
              </w:rPr>
            </w:pPr>
          </w:p>
        </w:tc>
        <w:tc>
          <w:tcPr>
            <w:tcW w:w="1060" w:type="dxa"/>
            <w:vAlign w:val="bottom"/>
            <w:tcBorders>
              <w:bottom w:val="single" w:sz="8" w:color="auto"/>
            </w:tcBorders>
          </w:tcPr>
          <w:p>
            <w:pPr>
              <w:spacing w:after="0"/>
              <w:rPr>
                <w:sz w:val="9"/>
                <w:szCs w:val="9"/>
                <w:color w:val="auto"/>
              </w:rPr>
            </w:pPr>
          </w:p>
        </w:tc>
        <w:tc>
          <w:tcPr>
            <w:tcW w:w="620" w:type="dxa"/>
            <w:vAlign w:val="bottom"/>
            <w:tcBorders>
              <w:bottom w:val="single" w:sz="8" w:color="auto"/>
            </w:tcBorders>
          </w:tcPr>
          <w:p>
            <w:pPr>
              <w:spacing w:after="0"/>
              <w:rPr>
                <w:sz w:val="9"/>
                <w:szCs w:val="9"/>
                <w:color w:val="auto"/>
              </w:rPr>
            </w:pPr>
          </w:p>
        </w:tc>
        <w:tc>
          <w:tcPr>
            <w:tcW w:w="1540" w:type="dxa"/>
            <w:vAlign w:val="bottom"/>
            <w:tcBorders>
              <w:bottom w:val="single" w:sz="8" w:color="auto"/>
            </w:tcBorders>
          </w:tcPr>
          <w:p>
            <w:pPr>
              <w:spacing w:after="0"/>
              <w:rPr>
                <w:sz w:val="9"/>
                <w:szCs w:val="9"/>
                <w:color w:val="auto"/>
              </w:rPr>
            </w:pPr>
          </w:p>
        </w:tc>
        <w:tc>
          <w:tcPr>
            <w:tcW w:w="0" w:type="dxa"/>
            <w:vAlign w:val="bottom"/>
          </w:tcPr>
          <w:p>
            <w:pPr>
              <w:spacing w:after="0"/>
              <w:rPr>
                <w:sz w:val="1"/>
                <w:szCs w:val="1"/>
                <w:color w:val="auto"/>
              </w:rPr>
            </w:pPr>
          </w:p>
        </w:tc>
      </w:tr>
      <w:tr>
        <w:trPr>
          <w:trHeight w:val="864"/>
        </w:trPr>
        <w:tc>
          <w:tcPr>
            <w:tcW w:w="820" w:type="dxa"/>
            <w:vAlign w:val="bottom"/>
            <w:tcBorders>
              <w:left w:val="single" w:sz="8" w:color="auto"/>
            </w:tcBorders>
          </w:tcPr>
          <w:p>
            <w:pPr>
              <w:jc w:val="center"/>
              <w:spacing w:after="0"/>
              <w:rPr>
                <w:sz w:val="20"/>
                <w:szCs w:val="20"/>
                <w:color w:val="auto"/>
              </w:rPr>
            </w:pPr>
            <w:r>
              <w:rPr>
                <w:rFonts w:ascii="Times New Roman" w:cs="Times New Roman" w:eastAsia="Times New Roman" w:hAnsi="Times New Roman"/>
                <w:sz w:val="10"/>
                <w:szCs w:val="10"/>
                <w:b w:val="1"/>
                <w:bCs w:val="1"/>
                <w:color w:val="auto"/>
              </w:rPr>
              <w:t>ancr</w:t>
            </w:r>
          </w:p>
        </w:tc>
        <w:tc>
          <w:tcPr>
            <w:tcW w:w="1000" w:type="dxa"/>
            <w:vAlign w:val="bottom"/>
          </w:tcPr>
          <w:p>
            <w:pPr>
              <w:spacing w:after="0"/>
              <w:rPr>
                <w:sz w:val="24"/>
                <w:szCs w:val="24"/>
                <w:color w:val="auto"/>
              </w:rPr>
            </w:pPr>
          </w:p>
        </w:tc>
        <w:tc>
          <w:tcPr>
            <w:tcW w:w="106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154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160"/>
        </w:trPr>
        <w:tc>
          <w:tcPr>
            <w:tcW w:w="820" w:type="dxa"/>
            <w:vAlign w:val="bottom"/>
            <w:tcBorders>
              <w:left w:val="single" w:sz="8" w:color="auto"/>
            </w:tcBorders>
          </w:tcPr>
          <w:p>
            <w:pPr>
              <w:jc w:val="center"/>
              <w:spacing w:after="0"/>
              <w:rPr>
                <w:sz w:val="20"/>
                <w:szCs w:val="20"/>
                <w:color w:val="auto"/>
              </w:rPr>
            </w:pPr>
            <w:r>
              <w:rPr>
                <w:rFonts w:ascii="Times New Roman" w:cs="Times New Roman" w:eastAsia="Times New Roman" w:hAnsi="Times New Roman"/>
                <w:sz w:val="10"/>
                <w:szCs w:val="10"/>
                <w:b w:val="1"/>
                <w:bCs w:val="1"/>
                <w:color w:val="auto"/>
              </w:rPr>
              <w:t>alcr</w:t>
            </w:r>
          </w:p>
        </w:tc>
        <w:tc>
          <w:tcPr>
            <w:tcW w:w="1000" w:type="dxa"/>
            <w:vAlign w:val="bottom"/>
          </w:tcPr>
          <w:p>
            <w:pPr>
              <w:spacing w:after="0"/>
              <w:rPr>
                <w:sz w:val="13"/>
                <w:szCs w:val="13"/>
                <w:color w:val="auto"/>
              </w:rPr>
            </w:pPr>
          </w:p>
        </w:tc>
        <w:tc>
          <w:tcPr>
            <w:tcW w:w="1060" w:type="dxa"/>
            <w:vAlign w:val="bottom"/>
          </w:tcPr>
          <w:p>
            <w:pPr>
              <w:spacing w:after="0"/>
              <w:rPr>
                <w:sz w:val="13"/>
                <w:szCs w:val="13"/>
                <w:color w:val="auto"/>
              </w:rPr>
            </w:pPr>
          </w:p>
        </w:tc>
        <w:tc>
          <w:tcPr>
            <w:tcW w:w="620" w:type="dxa"/>
            <w:vAlign w:val="bottom"/>
          </w:tcPr>
          <w:p>
            <w:pPr>
              <w:spacing w:after="0"/>
              <w:rPr>
                <w:sz w:val="13"/>
                <w:szCs w:val="13"/>
                <w:color w:val="auto"/>
              </w:rPr>
            </w:pPr>
          </w:p>
        </w:tc>
        <w:tc>
          <w:tcPr>
            <w:tcW w:w="1540" w:type="dxa"/>
            <w:vAlign w:val="bottom"/>
            <w:tcBorders>
              <w:right w:val="single" w:sz="8" w:color="auto"/>
            </w:tcBorders>
          </w:tcPr>
          <w:p>
            <w:pPr>
              <w:spacing w:after="0"/>
              <w:rPr>
                <w:sz w:val="13"/>
                <w:szCs w:val="13"/>
                <w:color w:val="auto"/>
              </w:rPr>
            </w:pPr>
          </w:p>
        </w:tc>
        <w:tc>
          <w:tcPr>
            <w:tcW w:w="0" w:type="dxa"/>
            <w:vAlign w:val="bottom"/>
          </w:tcPr>
          <w:p>
            <w:pPr>
              <w:spacing w:after="0"/>
              <w:rPr>
                <w:sz w:val="1"/>
                <w:szCs w:val="1"/>
                <w:color w:val="auto"/>
              </w:rPr>
            </w:pPr>
          </w:p>
        </w:tc>
      </w:tr>
      <w:tr>
        <w:trPr>
          <w:trHeight w:val="2146"/>
        </w:trPr>
        <w:tc>
          <w:tcPr>
            <w:tcW w:w="820" w:type="dxa"/>
            <w:vAlign w:val="bottom"/>
            <w:tcBorders>
              <w:left w:val="single" w:sz="8" w:color="auto"/>
            </w:tcBorders>
          </w:tcPr>
          <w:p>
            <w:pPr>
              <w:jc w:val="center"/>
              <w:spacing w:after="0"/>
              <w:rPr>
                <w:sz w:val="20"/>
                <w:szCs w:val="20"/>
                <w:color w:val="auto"/>
              </w:rPr>
            </w:pPr>
            <w:r>
              <w:rPr>
                <w:rFonts w:ascii="Times New Roman" w:cs="Times New Roman" w:eastAsia="Times New Roman" w:hAnsi="Times New Roman"/>
                <w:sz w:val="10"/>
                <w:szCs w:val="10"/>
                <w:b w:val="1"/>
                <w:bCs w:val="1"/>
                <w:color w:val="auto"/>
              </w:rPr>
              <w:t>cod</w:t>
            </w: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10"/>
                <w:szCs w:val="10"/>
                <w:b w:val="1"/>
                <w:bCs w:val="1"/>
                <w:color w:val="auto"/>
              </w:rPr>
              <w:t>muñ</w:t>
            </w:r>
          </w:p>
        </w:tc>
        <w:tc>
          <w:tcPr>
            <w:tcW w:w="1000" w:type="dxa"/>
            <w:vAlign w:val="bottom"/>
          </w:tcPr>
          <w:p>
            <w:pPr>
              <w:ind w:left="140"/>
              <w:spacing w:after="0"/>
              <w:rPr>
                <w:sz w:val="20"/>
                <w:szCs w:val="20"/>
                <w:color w:val="auto"/>
              </w:rPr>
            </w:pPr>
            <w:r>
              <w:rPr>
                <w:rFonts w:ascii="Times New Roman" w:cs="Times New Roman" w:eastAsia="Times New Roman" w:hAnsi="Times New Roman"/>
                <w:sz w:val="10"/>
                <w:szCs w:val="10"/>
                <w:b w:val="1"/>
                <w:bCs w:val="1"/>
                <w:color w:val="auto"/>
              </w:rPr>
              <w:t>larcr</w:t>
            </w:r>
          </w:p>
        </w:tc>
        <w:tc>
          <w:tcPr>
            <w:tcW w:w="106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154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168"/>
        </w:trPr>
        <w:tc>
          <w:tcPr>
            <w:tcW w:w="820" w:type="dxa"/>
            <w:vAlign w:val="bottom"/>
            <w:tcBorders>
              <w:left w:val="single" w:sz="8" w:color="auto"/>
            </w:tcBorders>
          </w:tcPr>
          <w:p>
            <w:pPr>
              <w:jc w:val="center"/>
              <w:spacing w:after="0"/>
              <w:rPr>
                <w:sz w:val="20"/>
                <w:szCs w:val="20"/>
                <w:color w:val="auto"/>
              </w:rPr>
            </w:pPr>
            <w:r>
              <w:rPr>
                <w:rFonts w:ascii="Times New Roman" w:cs="Times New Roman" w:eastAsia="Times New Roman" w:hAnsi="Times New Roman"/>
                <w:sz w:val="10"/>
                <w:szCs w:val="10"/>
                <w:b w:val="1"/>
                <w:bCs w:val="1"/>
                <w:color w:val="auto"/>
              </w:rPr>
              <w:t>rod</w:t>
            </w: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10"/>
                <w:szCs w:val="10"/>
                <w:b w:val="1"/>
                <w:bCs w:val="1"/>
                <w:color w:val="auto"/>
              </w:rPr>
              <w:t>tob</w:t>
            </w:r>
          </w:p>
        </w:tc>
        <w:tc>
          <w:tcPr>
            <w:tcW w:w="1000" w:type="dxa"/>
            <w:vAlign w:val="bottom"/>
            <w:vMerge w:val="restart"/>
          </w:tcPr>
          <w:p>
            <w:pPr>
              <w:ind w:left="140"/>
              <w:spacing w:after="0"/>
              <w:rPr>
                <w:sz w:val="20"/>
                <w:szCs w:val="20"/>
                <w:color w:val="auto"/>
              </w:rPr>
            </w:pPr>
            <w:r>
              <w:rPr>
                <w:rFonts w:ascii="Times New Roman" w:cs="Times New Roman" w:eastAsia="Times New Roman" w:hAnsi="Times New Roman"/>
                <w:sz w:val="10"/>
                <w:szCs w:val="10"/>
                <w:b w:val="1"/>
                <w:bCs w:val="1"/>
                <w:color w:val="auto"/>
              </w:rPr>
              <w:t>rod</w:t>
            </w: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10"/>
                <w:szCs w:val="10"/>
                <w:b w:val="1"/>
                <w:bCs w:val="1"/>
                <w:color w:val="auto"/>
              </w:rPr>
              <w:t>tob</w:t>
            </w:r>
          </w:p>
        </w:tc>
        <w:tc>
          <w:tcPr>
            <w:tcW w:w="1060" w:type="dxa"/>
            <w:vAlign w:val="bottom"/>
          </w:tcPr>
          <w:p>
            <w:pPr>
              <w:spacing w:after="0"/>
              <w:rPr>
                <w:sz w:val="14"/>
                <w:szCs w:val="14"/>
                <w:color w:val="auto"/>
              </w:rPr>
            </w:pPr>
          </w:p>
        </w:tc>
        <w:tc>
          <w:tcPr>
            <w:tcW w:w="620" w:type="dxa"/>
            <w:vAlign w:val="bottom"/>
          </w:tcPr>
          <w:p>
            <w:pPr>
              <w:spacing w:after="0"/>
              <w:rPr>
                <w:sz w:val="14"/>
                <w:szCs w:val="14"/>
                <w:color w:val="auto"/>
              </w:rPr>
            </w:pPr>
          </w:p>
        </w:tc>
        <w:tc>
          <w:tcPr>
            <w:tcW w:w="1540" w:type="dxa"/>
            <w:vAlign w:val="bottom"/>
            <w:tcBorders>
              <w:right w:val="single" w:sz="8" w:color="auto"/>
            </w:tcBorders>
            <w:vMerge w:val="restart"/>
          </w:tcPr>
          <w:p>
            <w:pPr>
              <w:jc w:val="center"/>
              <w:ind w:right="366"/>
              <w:spacing w:after="0"/>
              <w:rPr>
                <w:sz w:val="20"/>
                <w:szCs w:val="20"/>
                <w:color w:val="auto"/>
              </w:rPr>
            </w:pPr>
            <w:r>
              <w:rPr>
                <w:rFonts w:ascii="Times New Roman" w:cs="Times New Roman" w:eastAsia="Times New Roman" w:hAnsi="Times New Roman"/>
                <w:sz w:val="10"/>
                <w:szCs w:val="10"/>
                <w:b w:val="1"/>
                <w:bCs w:val="1"/>
                <w:color w:val="auto"/>
              </w:rPr>
              <w:t>ann</w:t>
            </w: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10"/>
                <w:szCs w:val="10"/>
                <w:b w:val="1"/>
                <w:bCs w:val="1"/>
                <w:color w:val="auto"/>
              </w:rPr>
              <w:t xml:space="preserve"> lonn</w:t>
            </w: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10"/>
                <w:szCs w:val="10"/>
                <w:b w:val="1"/>
                <w:bCs w:val="1"/>
                <w:color w:val="auto"/>
              </w:rPr>
              <w:t xml:space="preserve"> din</w:t>
            </w:r>
          </w:p>
        </w:tc>
        <w:tc>
          <w:tcPr>
            <w:tcW w:w="0" w:type="dxa"/>
            <w:vAlign w:val="bottom"/>
          </w:tcPr>
          <w:p>
            <w:pPr>
              <w:spacing w:after="0"/>
              <w:rPr>
                <w:sz w:val="1"/>
                <w:szCs w:val="1"/>
                <w:color w:val="auto"/>
              </w:rPr>
            </w:pPr>
          </w:p>
        </w:tc>
      </w:tr>
      <w:tr>
        <w:trPr>
          <w:trHeight w:val="77"/>
        </w:trPr>
        <w:tc>
          <w:tcPr>
            <w:tcW w:w="820" w:type="dxa"/>
            <w:vAlign w:val="bottom"/>
            <w:tcBorders>
              <w:left w:val="single" w:sz="8" w:color="auto"/>
            </w:tcBorders>
          </w:tcPr>
          <w:p>
            <w:pPr>
              <w:spacing w:after="0"/>
              <w:rPr>
                <w:sz w:val="6"/>
                <w:szCs w:val="6"/>
                <w:color w:val="auto"/>
              </w:rPr>
            </w:pPr>
          </w:p>
        </w:tc>
        <w:tc>
          <w:tcPr>
            <w:tcW w:w="1000" w:type="dxa"/>
            <w:vAlign w:val="bottom"/>
            <w:vMerge w:val="continue"/>
          </w:tcPr>
          <w:p>
            <w:pPr>
              <w:spacing w:after="0"/>
              <w:rPr>
                <w:sz w:val="6"/>
                <w:szCs w:val="6"/>
                <w:color w:val="auto"/>
              </w:rPr>
            </w:pPr>
          </w:p>
        </w:tc>
        <w:tc>
          <w:tcPr>
            <w:tcW w:w="1060" w:type="dxa"/>
            <w:vAlign w:val="bottom"/>
          </w:tcPr>
          <w:p>
            <w:pPr>
              <w:spacing w:after="0"/>
              <w:rPr>
                <w:sz w:val="6"/>
                <w:szCs w:val="6"/>
                <w:color w:val="auto"/>
              </w:rPr>
            </w:pPr>
          </w:p>
        </w:tc>
        <w:tc>
          <w:tcPr>
            <w:tcW w:w="620" w:type="dxa"/>
            <w:vAlign w:val="bottom"/>
          </w:tcPr>
          <w:p>
            <w:pPr>
              <w:spacing w:after="0"/>
              <w:rPr>
                <w:sz w:val="6"/>
                <w:szCs w:val="6"/>
                <w:color w:val="auto"/>
              </w:rPr>
            </w:pPr>
          </w:p>
        </w:tc>
        <w:tc>
          <w:tcPr>
            <w:tcW w:w="1540" w:type="dxa"/>
            <w:vAlign w:val="bottom"/>
            <w:tcBorders>
              <w:right w:val="single" w:sz="8" w:color="auto"/>
            </w:tcBorders>
            <w:vMerge w:val="continue"/>
          </w:tcPr>
          <w:p>
            <w:pPr>
              <w:spacing w:after="0"/>
              <w:rPr>
                <w:sz w:val="6"/>
                <w:szCs w:val="6"/>
                <w:color w:val="auto"/>
              </w:rPr>
            </w:pPr>
          </w:p>
        </w:tc>
        <w:tc>
          <w:tcPr>
            <w:tcW w:w="0" w:type="dxa"/>
            <w:vAlign w:val="bottom"/>
          </w:tcPr>
          <w:p>
            <w:pPr>
              <w:spacing w:after="0"/>
              <w:rPr>
                <w:sz w:val="1"/>
                <w:szCs w:val="1"/>
                <w:color w:val="auto"/>
              </w:rPr>
            </w:pPr>
          </w:p>
        </w:tc>
      </w:tr>
      <w:tr>
        <w:trPr>
          <w:trHeight w:val="220"/>
        </w:trPr>
        <w:tc>
          <w:tcPr>
            <w:tcW w:w="820" w:type="dxa"/>
            <w:vAlign w:val="bottom"/>
            <w:tcBorders>
              <w:left w:val="single" w:sz="8" w:color="auto"/>
            </w:tcBorders>
          </w:tcPr>
          <w:p>
            <w:pPr>
              <w:spacing w:after="0"/>
              <w:rPr>
                <w:sz w:val="19"/>
                <w:szCs w:val="19"/>
                <w:color w:val="auto"/>
              </w:rPr>
            </w:pPr>
          </w:p>
        </w:tc>
        <w:tc>
          <w:tcPr>
            <w:tcW w:w="1000" w:type="dxa"/>
            <w:vAlign w:val="bottom"/>
          </w:tcPr>
          <w:p>
            <w:pPr>
              <w:ind w:left="140"/>
              <w:spacing w:after="0"/>
              <w:rPr>
                <w:sz w:val="20"/>
                <w:szCs w:val="20"/>
                <w:color w:val="auto"/>
              </w:rPr>
            </w:pPr>
            <w:r>
              <w:rPr>
                <w:rFonts w:ascii="Times New Roman" w:cs="Times New Roman" w:eastAsia="Times New Roman" w:hAnsi="Times New Roman"/>
                <w:sz w:val="10"/>
                <w:szCs w:val="10"/>
                <w:b w:val="1"/>
                <w:bCs w:val="1"/>
                <w:color w:val="auto"/>
              </w:rPr>
              <w:t>hom</w:t>
            </w: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10"/>
                <w:szCs w:val="10"/>
                <w:b w:val="1"/>
                <w:bCs w:val="1"/>
                <w:color w:val="auto"/>
              </w:rPr>
              <w:t>codo</w:t>
            </w:r>
          </w:p>
        </w:tc>
        <w:tc>
          <w:tcPr>
            <w:tcW w:w="1060" w:type="dxa"/>
            <w:vAlign w:val="bottom"/>
          </w:tcPr>
          <w:p>
            <w:pPr>
              <w:spacing w:after="0"/>
              <w:rPr>
                <w:sz w:val="19"/>
                <w:szCs w:val="19"/>
                <w:color w:val="auto"/>
              </w:rPr>
            </w:pPr>
          </w:p>
        </w:tc>
        <w:tc>
          <w:tcPr>
            <w:tcW w:w="620" w:type="dxa"/>
            <w:vAlign w:val="bottom"/>
          </w:tcPr>
          <w:p>
            <w:pPr>
              <w:spacing w:after="0"/>
              <w:rPr>
                <w:sz w:val="19"/>
                <w:szCs w:val="19"/>
                <w:color w:val="auto"/>
              </w:rPr>
            </w:pPr>
          </w:p>
        </w:tc>
        <w:tc>
          <w:tcPr>
            <w:tcW w:w="1540" w:type="dxa"/>
            <w:vAlign w:val="bottom"/>
            <w:tcBorders>
              <w:right w:val="single" w:sz="8" w:color="auto"/>
            </w:tcBorders>
          </w:tcPr>
          <w:p>
            <w:pPr>
              <w:spacing w:after="0"/>
              <w:rPr>
                <w:sz w:val="19"/>
                <w:szCs w:val="19"/>
                <w:color w:val="auto"/>
              </w:rPr>
            </w:pPr>
          </w:p>
        </w:tc>
        <w:tc>
          <w:tcPr>
            <w:tcW w:w="0" w:type="dxa"/>
            <w:vAlign w:val="bottom"/>
          </w:tcPr>
          <w:p>
            <w:pPr>
              <w:spacing w:after="0"/>
              <w:rPr>
                <w:sz w:val="1"/>
                <w:szCs w:val="1"/>
                <w:color w:val="auto"/>
              </w:rPr>
            </w:pPr>
          </w:p>
        </w:tc>
      </w:tr>
      <w:tr>
        <w:trPr>
          <w:trHeight w:val="315"/>
        </w:trPr>
        <w:tc>
          <w:tcPr>
            <w:tcW w:w="820" w:type="dxa"/>
            <w:vAlign w:val="bottom"/>
            <w:tcBorders>
              <w:left w:val="single" w:sz="8" w:color="auto"/>
            </w:tcBorders>
          </w:tcPr>
          <w:p>
            <w:pPr>
              <w:spacing w:after="0"/>
              <w:rPr>
                <w:sz w:val="24"/>
                <w:szCs w:val="24"/>
                <w:color w:val="auto"/>
              </w:rPr>
            </w:pPr>
          </w:p>
        </w:tc>
        <w:tc>
          <w:tcPr>
            <w:tcW w:w="1000" w:type="dxa"/>
            <w:vAlign w:val="bottom"/>
          </w:tcPr>
          <w:p>
            <w:pPr>
              <w:ind w:left="380"/>
              <w:spacing w:after="0"/>
              <w:rPr>
                <w:sz w:val="20"/>
                <w:szCs w:val="20"/>
                <w:color w:val="auto"/>
              </w:rPr>
            </w:pPr>
            <w:r>
              <w:rPr>
                <w:rFonts w:ascii="Times New Roman" w:cs="Times New Roman" w:eastAsia="Times New Roman" w:hAnsi="Times New Roman"/>
                <w:sz w:val="12"/>
                <w:szCs w:val="12"/>
                <w:color w:val="auto"/>
              </w:rPr>
              <w:t>2645 m</w:t>
            </w:r>
          </w:p>
        </w:tc>
        <w:tc>
          <w:tcPr>
            <w:tcW w:w="1060" w:type="dxa"/>
            <w:vAlign w:val="bottom"/>
          </w:tcPr>
          <w:p>
            <w:pPr>
              <w:ind w:left="280"/>
              <w:spacing w:after="0"/>
              <w:rPr>
                <w:sz w:val="20"/>
                <w:szCs w:val="20"/>
                <w:color w:val="auto"/>
              </w:rPr>
            </w:pPr>
            <w:r>
              <w:rPr>
                <w:rFonts w:ascii="Times New Roman" w:cs="Times New Roman" w:eastAsia="Times New Roman" w:hAnsi="Times New Roman"/>
                <w:sz w:val="12"/>
                <w:szCs w:val="12"/>
                <w:color w:val="auto"/>
              </w:rPr>
              <w:t>2857 m</w:t>
            </w:r>
          </w:p>
        </w:tc>
        <w:tc>
          <w:tcPr>
            <w:tcW w:w="620" w:type="dxa"/>
            <w:vAlign w:val="bottom"/>
          </w:tcPr>
          <w:p>
            <w:pPr>
              <w:ind w:left="100"/>
              <w:spacing w:after="0"/>
              <w:rPr>
                <w:sz w:val="20"/>
                <w:szCs w:val="20"/>
                <w:color w:val="auto"/>
              </w:rPr>
            </w:pPr>
            <w:r>
              <w:rPr>
                <w:rFonts w:ascii="Times New Roman" w:cs="Times New Roman" w:eastAsia="Times New Roman" w:hAnsi="Times New Roman"/>
                <w:sz w:val="12"/>
                <w:szCs w:val="12"/>
                <w:color w:val="auto"/>
              </w:rPr>
              <w:t>3245 m</w:t>
            </w:r>
          </w:p>
        </w:tc>
        <w:tc>
          <w:tcPr>
            <w:tcW w:w="1540" w:type="dxa"/>
            <w:vAlign w:val="bottom"/>
            <w:tcBorders>
              <w:right w:val="single" w:sz="8" w:color="auto"/>
            </w:tcBorders>
          </w:tcPr>
          <w:p>
            <w:pPr>
              <w:jc w:val="center"/>
              <w:ind w:right="366"/>
              <w:spacing w:after="0"/>
              <w:rPr>
                <w:sz w:val="20"/>
                <w:szCs w:val="20"/>
                <w:color w:val="auto"/>
              </w:rPr>
            </w:pPr>
            <w:r>
              <w:rPr>
                <w:rFonts w:ascii="Times New Roman" w:cs="Times New Roman" w:eastAsia="Times New Roman" w:hAnsi="Times New Roman"/>
                <w:sz w:val="12"/>
                <w:szCs w:val="12"/>
                <w:color w:val="auto"/>
                <w:w w:val="98"/>
              </w:rPr>
              <w:t>4200 m</w:t>
            </w:r>
          </w:p>
        </w:tc>
        <w:tc>
          <w:tcPr>
            <w:tcW w:w="0" w:type="dxa"/>
            <w:vAlign w:val="bottom"/>
          </w:tcPr>
          <w:p>
            <w:pPr>
              <w:spacing w:after="0"/>
              <w:rPr>
                <w:sz w:val="1"/>
                <w:szCs w:val="1"/>
                <w:color w:val="auto"/>
              </w:rPr>
            </w:pPr>
          </w:p>
        </w:tc>
      </w:tr>
      <w:tr>
        <w:trPr>
          <w:trHeight w:val="95"/>
        </w:trPr>
        <w:tc>
          <w:tcPr>
            <w:tcW w:w="820" w:type="dxa"/>
            <w:vAlign w:val="bottom"/>
            <w:tcBorders>
              <w:left w:val="single" w:sz="8" w:color="auto"/>
              <w:bottom w:val="single" w:sz="8" w:color="auto"/>
            </w:tcBorders>
          </w:tcPr>
          <w:p>
            <w:pPr>
              <w:spacing w:after="0"/>
              <w:rPr>
                <w:sz w:val="8"/>
                <w:szCs w:val="8"/>
                <w:color w:val="auto"/>
              </w:rPr>
            </w:pPr>
          </w:p>
        </w:tc>
        <w:tc>
          <w:tcPr>
            <w:tcW w:w="1000" w:type="dxa"/>
            <w:vAlign w:val="bottom"/>
            <w:tcBorders>
              <w:bottom w:val="single" w:sz="8" w:color="auto"/>
            </w:tcBorders>
          </w:tcPr>
          <w:p>
            <w:pPr>
              <w:spacing w:after="0"/>
              <w:rPr>
                <w:sz w:val="8"/>
                <w:szCs w:val="8"/>
                <w:color w:val="auto"/>
              </w:rPr>
            </w:pPr>
          </w:p>
        </w:tc>
        <w:tc>
          <w:tcPr>
            <w:tcW w:w="1060" w:type="dxa"/>
            <w:vAlign w:val="bottom"/>
            <w:tcBorders>
              <w:bottom w:val="single" w:sz="8" w:color="auto"/>
            </w:tcBorders>
          </w:tcPr>
          <w:p>
            <w:pPr>
              <w:spacing w:after="0"/>
              <w:rPr>
                <w:sz w:val="8"/>
                <w:szCs w:val="8"/>
                <w:color w:val="auto"/>
              </w:rPr>
            </w:pPr>
          </w:p>
        </w:tc>
        <w:tc>
          <w:tcPr>
            <w:tcW w:w="620" w:type="dxa"/>
            <w:vAlign w:val="bottom"/>
            <w:tcBorders>
              <w:bottom w:val="single" w:sz="8" w:color="auto"/>
            </w:tcBorders>
          </w:tcPr>
          <w:p>
            <w:pPr>
              <w:spacing w:after="0"/>
              <w:rPr>
                <w:sz w:val="8"/>
                <w:szCs w:val="8"/>
                <w:color w:val="auto"/>
              </w:rPr>
            </w:pPr>
          </w:p>
        </w:tc>
        <w:tc>
          <w:tcPr>
            <w:tcW w:w="1540" w:type="dxa"/>
            <w:vAlign w:val="bottom"/>
            <w:tcBorders>
              <w:bottom w:val="single" w:sz="8" w:color="auto"/>
              <w:right w:val="single" w:sz="8" w:color="auto"/>
            </w:tcBorders>
          </w:tcPr>
          <w:p>
            <w:pPr>
              <w:spacing w:after="0"/>
              <w:rPr>
                <w:sz w:val="8"/>
                <w:szCs w:val="8"/>
                <w:color w:val="auto"/>
              </w:rPr>
            </w:pPr>
          </w:p>
        </w:tc>
        <w:tc>
          <w:tcPr>
            <w:tcW w:w="0" w:type="dxa"/>
            <w:vAlign w:val="bottom"/>
          </w:tcPr>
          <w:p>
            <w:pPr>
              <w:spacing w:after="0"/>
              <w:rPr>
                <w:sz w:val="1"/>
                <w:szCs w:val="1"/>
                <w:color w:val="auto"/>
              </w:rPr>
            </w:pPr>
          </w:p>
        </w:tc>
      </w:tr>
    </w:tbl>
    <w:p>
      <w:pPr>
        <w:spacing w:after="0" w:line="142"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739140</wp:posOffset>
            </wp:positionH>
            <wp:positionV relativeFrom="paragraph">
              <wp:posOffset>-2516505</wp:posOffset>
            </wp:positionV>
            <wp:extent cx="3095625" cy="2513965"/>
            <wp:wrapNone/>
            <wp:docPr id="268" name="Pict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53">
                      <a:extLst>
                        <a:ext uri="{28A0092B-C50C-407E-A947-70E740481C1C}"/>
                      </a:extLst>
                    </a:blip>
                    <a:srcRect/>
                    <a:stretch>
                      <a:fillRect/>
                    </a:stretch>
                  </pic:blipFill>
                  <pic:spPr bwMode="auto">
                    <a:xfrm>
                      <a:off x="0" y="0"/>
                      <a:ext cx="3095625" cy="2513965"/>
                    </a:xfrm>
                    <a:prstGeom prst="rect">
                      <a:avLst/>
                    </a:prstGeom>
                    <a:noFill/>
                  </pic:spPr>
                </pic:pic>
              </a:graphicData>
            </a:graphic>
          </wp:anchor>
        </w:drawing>
      </w:r>
    </w:p>
    <w:p>
      <w:pPr>
        <w:jc w:val="both"/>
        <w:ind w:left="1080" w:right="1080"/>
        <w:spacing w:after="0" w:line="327" w:lineRule="auto"/>
        <w:rPr>
          <w:sz w:val="20"/>
          <w:szCs w:val="20"/>
          <w:color w:val="auto"/>
        </w:rPr>
      </w:pPr>
      <w:r>
        <w:rPr>
          <w:rFonts w:ascii="Times New Roman" w:cs="Times New Roman" w:eastAsia="Times New Roman" w:hAnsi="Times New Roman"/>
          <w:sz w:val="15"/>
          <w:szCs w:val="15"/>
          <w:color w:val="auto"/>
        </w:rPr>
        <w:t>acp de la morfometría corporal de cuatro poblaciones de lagartijas que habitan en un gradiente altitudinal. Resaltanel porcentaje de varianza explicada, así como las variables de mayor peso para cada componente (m: altitud) (Fuente: Ruiz, 2010).</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349"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114" w:name="page115"/>
    <w:bookmarkEnd w:id="114"/>
    <w:tbl>
      <w:tblPr>
        <w:tblLayout w:type="fixed"/>
        <w:tblInd w:w="0" w:type="dxa"/>
        <w:tblCellMar>
          <w:top w:w="0" w:type="dxa"/>
          <w:left w:w="0" w:type="dxa"/>
          <w:bottom w:w="0" w:type="dxa"/>
          <w:right w:w="0" w:type="dxa"/>
        </w:tblCellMar>
      </w:tblPr>
      <w:tr>
        <w:trPr>
          <w:trHeight w:val="62"/>
        </w:trPr>
        <w:tc>
          <w:tcPr>
            <w:tcW w:w="1160" w:type="dxa"/>
            <w:vAlign w:val="bottom"/>
            <w:vMerge w:val="restart"/>
          </w:tcPr>
          <w:p>
            <w:pPr>
              <w:jc w:val="right"/>
              <w:ind w:right="880"/>
              <w:spacing w:after="0"/>
              <w:rPr>
                <w:sz w:val="20"/>
                <w:szCs w:val="20"/>
                <w:color w:val="auto"/>
              </w:rPr>
            </w:pPr>
            <w:r>
              <w:rPr>
                <w:rFonts w:ascii="Arial Narrow" w:cs="Arial Narrow" w:eastAsia="Arial Narrow" w:hAnsi="Arial Narrow"/>
                <w:sz w:val="16"/>
                <w:szCs w:val="16"/>
                <w:color w:val="auto"/>
                <w:w w:val="82"/>
              </w:rPr>
              <w:t>114</w:t>
            </w:r>
          </w:p>
        </w:tc>
        <w:tc>
          <w:tcPr>
            <w:tcW w:w="1760" w:type="dxa"/>
            <w:vAlign w:val="bottom"/>
            <w:vMerge w:val="restart"/>
          </w:tcPr>
          <w:p>
            <w:pPr>
              <w:ind w:left="960"/>
              <w:spacing w:after="0"/>
              <w:rPr>
                <w:sz w:val="20"/>
                <w:szCs w:val="20"/>
                <w:color w:val="auto"/>
              </w:rPr>
            </w:pPr>
            <w:r>
              <w:rPr>
                <w:rFonts w:ascii="Arial Narrow" w:cs="Arial Narrow" w:eastAsia="Arial Narrow" w:hAnsi="Arial Narrow"/>
                <w:sz w:val="11"/>
                <w:szCs w:val="11"/>
                <w:color w:val="auto"/>
              </w:rPr>
              <w:t>ruiz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valencia</w:t>
            </w:r>
          </w:p>
        </w:tc>
        <w:tc>
          <w:tcPr>
            <w:tcW w:w="20" w:type="dxa"/>
            <w:vAlign w:val="bottom"/>
          </w:tcPr>
          <w:p>
            <w:pPr>
              <w:spacing w:after="0"/>
              <w:rPr>
                <w:sz w:val="5"/>
                <w:szCs w:val="5"/>
                <w:color w:val="auto"/>
              </w:rPr>
            </w:pPr>
          </w:p>
        </w:tc>
        <w:tc>
          <w:tcPr>
            <w:tcW w:w="1160" w:type="dxa"/>
            <w:vAlign w:val="bottom"/>
            <w:vMerge w:val="restart"/>
          </w:tcPr>
          <w:p>
            <w:pPr>
              <w:ind w:left="40"/>
              <w:spacing w:after="0"/>
              <w:rPr>
                <w:sz w:val="20"/>
                <w:szCs w:val="20"/>
                <w:color w:val="auto"/>
              </w:rPr>
            </w:pP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p>
        </w:tc>
        <w:tc>
          <w:tcPr>
            <w:tcW w:w="20" w:type="dxa"/>
            <w:vAlign w:val="bottom"/>
          </w:tcPr>
          <w:p>
            <w:pPr>
              <w:spacing w:after="0"/>
              <w:rPr>
                <w:sz w:val="5"/>
                <w:szCs w:val="5"/>
                <w:color w:val="auto"/>
              </w:rPr>
            </w:pPr>
          </w:p>
        </w:tc>
        <w:tc>
          <w:tcPr>
            <w:tcW w:w="960" w:type="dxa"/>
            <w:vAlign w:val="bottom"/>
            <w:vMerge w:val="restart"/>
          </w:tcPr>
          <w:p>
            <w:pPr>
              <w:ind w:left="20"/>
              <w:spacing w:after="0"/>
              <w:rPr>
                <w:sz w:val="20"/>
                <w:szCs w:val="20"/>
                <w:color w:val="auto"/>
              </w:rPr>
            </w:pP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tc>
        <w:tc>
          <w:tcPr>
            <w:tcW w:w="0" w:type="dxa"/>
            <w:vAlign w:val="bottom"/>
          </w:tcPr>
          <w:p>
            <w:pPr>
              <w:spacing w:after="0"/>
              <w:rPr>
                <w:sz w:val="1"/>
                <w:szCs w:val="1"/>
                <w:color w:val="auto"/>
              </w:rPr>
            </w:pPr>
          </w:p>
        </w:tc>
      </w:tr>
      <w:tr>
        <w:trPr>
          <w:trHeight w:val="140"/>
        </w:trPr>
        <w:tc>
          <w:tcPr>
            <w:tcW w:w="1160" w:type="dxa"/>
            <w:vAlign w:val="bottom"/>
            <w:vMerge w:val="continue"/>
          </w:tcPr>
          <w:p>
            <w:pPr>
              <w:spacing w:after="0"/>
              <w:rPr>
                <w:sz w:val="12"/>
                <w:szCs w:val="12"/>
                <w:color w:val="auto"/>
              </w:rPr>
            </w:pPr>
          </w:p>
        </w:tc>
        <w:tc>
          <w:tcPr>
            <w:tcW w:w="176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116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960" w:type="dxa"/>
            <w:vAlign w:val="bottom"/>
            <w:vMerge w:val="continue"/>
          </w:tcPr>
          <w:p>
            <w:pPr>
              <w:spacing w:after="0"/>
              <w:rPr>
                <w:sz w:val="12"/>
                <w:szCs w:val="12"/>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338" w:lineRule="exact"/>
        <w:rPr>
          <w:sz w:val="20"/>
          <w:szCs w:val="20"/>
          <w:color w:val="auto"/>
        </w:rPr>
      </w:pPr>
    </w:p>
    <w:p>
      <w:pPr>
        <w:ind w:left="3280"/>
        <w:spacing w:after="0"/>
        <w:rPr>
          <w:sz w:val="20"/>
          <w:szCs w:val="20"/>
          <w:color w:val="auto"/>
        </w:rPr>
      </w:pPr>
      <w:r>
        <w:rPr>
          <w:rFonts w:ascii="Times New Roman" w:cs="Times New Roman" w:eastAsia="Times New Roman" w:hAnsi="Times New Roman"/>
          <w:sz w:val="18"/>
          <w:szCs w:val="18"/>
          <w:i w:val="1"/>
          <w:iCs w:val="1"/>
          <w:color w:val="auto"/>
        </w:rPr>
        <w:t>Cuadro 3</w:t>
      </w:r>
    </w:p>
    <w:p>
      <w:pPr>
        <w:spacing w:after="0" w:line="15" w:lineRule="exact"/>
        <w:rPr>
          <w:sz w:val="20"/>
          <w:szCs w:val="20"/>
          <w:color w:val="auto"/>
        </w:rPr>
      </w:pPr>
    </w:p>
    <w:p>
      <w:pPr>
        <w:ind w:left="1180"/>
        <w:spacing w:after="0"/>
        <w:rPr>
          <w:sz w:val="20"/>
          <w:szCs w:val="20"/>
          <w:color w:val="auto"/>
        </w:rPr>
      </w:pPr>
      <w:r>
        <w:rPr>
          <w:rFonts w:ascii="Times New Roman" w:cs="Times New Roman" w:eastAsia="Times New Roman" w:hAnsi="Times New Roman"/>
          <w:sz w:val="20"/>
          <w:szCs w:val="20"/>
          <w:color w:val="auto"/>
        </w:rPr>
        <w:t>Peso de las variables para los dos primeros componentes</w:t>
      </w:r>
    </w:p>
    <w:p>
      <w:pPr>
        <w:spacing w:after="0" w:line="82" w:lineRule="exact"/>
        <w:rPr>
          <w:sz w:val="20"/>
          <w:szCs w:val="20"/>
          <w:color w:val="auto"/>
        </w:rPr>
      </w:pPr>
    </w:p>
    <w:tbl>
      <w:tblPr>
        <w:tblLayout w:type="fixed"/>
        <w:tblInd w:w="10" w:type="dxa"/>
        <w:tblCellMar>
          <w:top w:w="0" w:type="dxa"/>
          <w:left w:w="0" w:type="dxa"/>
          <w:bottom w:w="0" w:type="dxa"/>
          <w:right w:w="0" w:type="dxa"/>
        </w:tblCellMar>
      </w:tblPr>
      <w:tr>
        <w:trPr>
          <w:trHeight w:val="305"/>
        </w:trPr>
        <w:tc>
          <w:tcPr>
            <w:tcW w:w="2420" w:type="dxa"/>
            <w:vAlign w:val="bottom"/>
            <w:tcBorders>
              <w:top w:val="single" w:sz="8" w:color="auto"/>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4"/>
              </w:rPr>
              <w:t>Medida</w:t>
            </w:r>
          </w:p>
        </w:tc>
        <w:tc>
          <w:tcPr>
            <w:tcW w:w="2380" w:type="dxa"/>
            <w:vAlign w:val="bottom"/>
            <w:tcBorders>
              <w:top w:val="single" w:sz="8" w:color="auto"/>
              <w:right w:val="single" w:sz="8" w:color="auto"/>
            </w:tcBorders>
          </w:tcPr>
          <w:p>
            <w:pPr>
              <w:ind w:left="740"/>
              <w:spacing w:after="0"/>
              <w:rPr>
                <w:sz w:val="20"/>
                <w:szCs w:val="20"/>
                <w:color w:val="auto"/>
              </w:rPr>
            </w:pPr>
            <w:r>
              <w:rPr>
                <w:rFonts w:ascii="Times New Roman" w:cs="Times New Roman" w:eastAsia="Times New Roman" w:hAnsi="Times New Roman"/>
                <w:sz w:val="16"/>
                <w:szCs w:val="16"/>
                <w:i w:val="1"/>
                <w:iCs w:val="1"/>
                <w:color w:val="auto"/>
              </w:rPr>
              <w:t>Componente 1</w:t>
            </w:r>
          </w:p>
        </w:tc>
        <w:tc>
          <w:tcPr>
            <w:tcW w:w="2400" w:type="dxa"/>
            <w:vAlign w:val="bottom"/>
            <w:tcBorders>
              <w:top w:val="single" w:sz="8" w:color="auto"/>
              <w:right w:val="single" w:sz="8" w:color="auto"/>
            </w:tcBorders>
          </w:tcPr>
          <w:p>
            <w:pPr>
              <w:ind w:left="760"/>
              <w:spacing w:after="0"/>
              <w:rPr>
                <w:sz w:val="20"/>
                <w:szCs w:val="20"/>
                <w:color w:val="auto"/>
              </w:rPr>
            </w:pPr>
            <w:r>
              <w:rPr>
                <w:rFonts w:ascii="Times New Roman" w:cs="Times New Roman" w:eastAsia="Times New Roman" w:hAnsi="Times New Roman"/>
                <w:sz w:val="16"/>
                <w:szCs w:val="16"/>
                <w:i w:val="1"/>
                <w:iCs w:val="1"/>
                <w:color w:val="auto"/>
              </w:rPr>
              <w:t>Componente 2</w:t>
            </w:r>
          </w:p>
        </w:tc>
      </w:tr>
      <w:tr>
        <w:trPr>
          <w:trHeight w:val="71"/>
        </w:trPr>
        <w:tc>
          <w:tcPr>
            <w:tcW w:w="2420" w:type="dxa"/>
            <w:vAlign w:val="bottom"/>
            <w:tcBorders>
              <w:left w:val="single" w:sz="8" w:color="auto"/>
              <w:bottom w:val="single" w:sz="8" w:color="auto"/>
              <w:right w:val="single" w:sz="8" w:color="auto"/>
            </w:tcBorders>
          </w:tcPr>
          <w:p>
            <w:pPr>
              <w:spacing w:after="0"/>
              <w:rPr>
                <w:sz w:val="6"/>
                <w:szCs w:val="6"/>
                <w:color w:val="auto"/>
              </w:rPr>
            </w:pPr>
          </w:p>
        </w:tc>
        <w:tc>
          <w:tcPr>
            <w:tcW w:w="2380" w:type="dxa"/>
            <w:vAlign w:val="bottom"/>
            <w:tcBorders>
              <w:bottom w:val="single" w:sz="8" w:color="auto"/>
              <w:right w:val="single" w:sz="8" w:color="auto"/>
            </w:tcBorders>
          </w:tcPr>
          <w:p>
            <w:pPr>
              <w:spacing w:after="0"/>
              <w:rPr>
                <w:sz w:val="6"/>
                <w:szCs w:val="6"/>
                <w:color w:val="auto"/>
              </w:rPr>
            </w:pPr>
          </w:p>
        </w:tc>
        <w:tc>
          <w:tcPr>
            <w:tcW w:w="2400" w:type="dxa"/>
            <w:vAlign w:val="bottom"/>
            <w:tcBorders>
              <w:bottom w:val="single" w:sz="8" w:color="auto"/>
              <w:right w:val="single" w:sz="8" w:color="auto"/>
            </w:tcBorders>
          </w:tcPr>
          <w:p>
            <w:pPr>
              <w:spacing w:after="0"/>
              <w:rPr>
                <w:sz w:val="6"/>
                <w:szCs w:val="6"/>
                <w:color w:val="auto"/>
              </w:rPr>
            </w:pPr>
          </w:p>
        </w:tc>
      </w:tr>
      <w:tr>
        <w:trPr>
          <w:trHeight w:val="270"/>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lc</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0.0886064</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0.827068</w:t>
            </w:r>
          </w:p>
        </w:tc>
      </w:tr>
      <w:tr>
        <w:trPr>
          <w:trHeight w:val="86"/>
        </w:trPr>
        <w:tc>
          <w:tcPr>
            <w:tcW w:w="2420" w:type="dxa"/>
            <w:vAlign w:val="bottom"/>
            <w:tcBorders>
              <w:left w:val="single" w:sz="8" w:color="auto"/>
              <w:bottom w:val="single" w:sz="8" w:color="auto"/>
              <w:right w:val="single" w:sz="8" w:color="auto"/>
            </w:tcBorders>
          </w:tcPr>
          <w:p>
            <w:pPr>
              <w:spacing w:after="0"/>
              <w:rPr>
                <w:sz w:val="7"/>
                <w:szCs w:val="7"/>
                <w:color w:val="auto"/>
              </w:rPr>
            </w:pPr>
          </w:p>
        </w:tc>
        <w:tc>
          <w:tcPr>
            <w:tcW w:w="2380" w:type="dxa"/>
            <w:vAlign w:val="bottom"/>
            <w:tcBorders>
              <w:bottom w:val="single" w:sz="8" w:color="auto"/>
              <w:right w:val="single" w:sz="8" w:color="auto"/>
            </w:tcBorders>
          </w:tcPr>
          <w:p>
            <w:pPr>
              <w:spacing w:after="0"/>
              <w:rPr>
                <w:sz w:val="7"/>
                <w:szCs w:val="7"/>
                <w:color w:val="auto"/>
              </w:rPr>
            </w:pPr>
          </w:p>
        </w:tc>
        <w:tc>
          <w:tcPr>
            <w:tcW w:w="2400" w:type="dxa"/>
            <w:vAlign w:val="bottom"/>
            <w:tcBorders>
              <w:bottom w:val="single" w:sz="8" w:color="auto"/>
              <w:right w:val="single" w:sz="8" w:color="auto"/>
            </w:tcBorders>
          </w:tcPr>
          <w:p>
            <w:pPr>
              <w:spacing w:after="0"/>
              <w:rPr>
                <w:sz w:val="7"/>
                <w:szCs w:val="7"/>
                <w:color w:val="auto"/>
              </w:rPr>
            </w:pPr>
          </w:p>
        </w:tc>
      </w:tr>
      <w:tr>
        <w:trPr>
          <w:trHeight w:val="270"/>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li</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0.0699605</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0.306424</w:t>
            </w:r>
          </w:p>
        </w:tc>
      </w:tr>
      <w:tr>
        <w:trPr>
          <w:trHeight w:val="86"/>
        </w:trPr>
        <w:tc>
          <w:tcPr>
            <w:tcW w:w="2420" w:type="dxa"/>
            <w:vAlign w:val="bottom"/>
            <w:tcBorders>
              <w:left w:val="single" w:sz="8" w:color="auto"/>
              <w:bottom w:val="single" w:sz="8" w:color="auto"/>
              <w:right w:val="single" w:sz="8" w:color="auto"/>
            </w:tcBorders>
          </w:tcPr>
          <w:p>
            <w:pPr>
              <w:spacing w:after="0"/>
              <w:rPr>
                <w:sz w:val="7"/>
                <w:szCs w:val="7"/>
                <w:color w:val="auto"/>
              </w:rPr>
            </w:pPr>
          </w:p>
        </w:tc>
        <w:tc>
          <w:tcPr>
            <w:tcW w:w="2380" w:type="dxa"/>
            <w:vAlign w:val="bottom"/>
            <w:tcBorders>
              <w:bottom w:val="single" w:sz="8" w:color="auto"/>
              <w:right w:val="single" w:sz="8" w:color="auto"/>
            </w:tcBorders>
          </w:tcPr>
          <w:p>
            <w:pPr>
              <w:spacing w:after="0"/>
              <w:rPr>
                <w:sz w:val="7"/>
                <w:szCs w:val="7"/>
                <w:color w:val="auto"/>
              </w:rPr>
            </w:pPr>
          </w:p>
        </w:tc>
        <w:tc>
          <w:tcPr>
            <w:tcW w:w="2400" w:type="dxa"/>
            <w:vAlign w:val="bottom"/>
            <w:tcBorders>
              <w:bottom w:val="single" w:sz="8" w:color="auto"/>
              <w:right w:val="single" w:sz="8" w:color="auto"/>
            </w:tcBorders>
          </w:tcPr>
          <w:p>
            <w:pPr>
              <w:spacing w:after="0"/>
              <w:rPr>
                <w:sz w:val="7"/>
                <w:szCs w:val="7"/>
                <w:color w:val="auto"/>
              </w:rPr>
            </w:pPr>
          </w:p>
        </w:tc>
      </w:tr>
      <w:tr>
        <w:trPr>
          <w:trHeight w:val="270"/>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ann</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0.376898</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-0.0598908</w:t>
            </w:r>
          </w:p>
        </w:tc>
      </w:tr>
      <w:tr>
        <w:trPr>
          <w:trHeight w:val="86"/>
        </w:trPr>
        <w:tc>
          <w:tcPr>
            <w:tcW w:w="2420" w:type="dxa"/>
            <w:vAlign w:val="bottom"/>
            <w:tcBorders>
              <w:left w:val="single" w:sz="8" w:color="auto"/>
              <w:bottom w:val="single" w:sz="8" w:color="auto"/>
              <w:right w:val="single" w:sz="8" w:color="auto"/>
            </w:tcBorders>
          </w:tcPr>
          <w:p>
            <w:pPr>
              <w:spacing w:after="0"/>
              <w:rPr>
                <w:sz w:val="7"/>
                <w:szCs w:val="7"/>
                <w:color w:val="auto"/>
              </w:rPr>
            </w:pPr>
          </w:p>
        </w:tc>
        <w:tc>
          <w:tcPr>
            <w:tcW w:w="2380" w:type="dxa"/>
            <w:vAlign w:val="bottom"/>
            <w:tcBorders>
              <w:bottom w:val="single" w:sz="8" w:color="auto"/>
              <w:right w:val="single" w:sz="8" w:color="auto"/>
            </w:tcBorders>
          </w:tcPr>
          <w:p>
            <w:pPr>
              <w:spacing w:after="0"/>
              <w:rPr>
                <w:sz w:val="7"/>
                <w:szCs w:val="7"/>
                <w:color w:val="auto"/>
              </w:rPr>
            </w:pPr>
          </w:p>
        </w:tc>
        <w:tc>
          <w:tcPr>
            <w:tcW w:w="2400" w:type="dxa"/>
            <w:vAlign w:val="bottom"/>
            <w:tcBorders>
              <w:bottom w:val="single" w:sz="8" w:color="auto"/>
              <w:right w:val="single" w:sz="8" w:color="auto"/>
            </w:tcBorders>
          </w:tcPr>
          <w:p>
            <w:pPr>
              <w:spacing w:after="0"/>
              <w:rPr>
                <w:sz w:val="7"/>
                <w:szCs w:val="7"/>
                <w:color w:val="auto"/>
              </w:rPr>
            </w:pPr>
          </w:p>
        </w:tc>
      </w:tr>
      <w:tr>
        <w:trPr>
          <w:trHeight w:val="270"/>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lonn</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0.381799</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-0.165536</w:t>
            </w:r>
          </w:p>
        </w:tc>
      </w:tr>
      <w:tr>
        <w:trPr>
          <w:trHeight w:val="86"/>
        </w:trPr>
        <w:tc>
          <w:tcPr>
            <w:tcW w:w="2420" w:type="dxa"/>
            <w:vAlign w:val="bottom"/>
            <w:tcBorders>
              <w:left w:val="single" w:sz="8" w:color="auto"/>
              <w:bottom w:val="single" w:sz="8" w:color="auto"/>
              <w:right w:val="single" w:sz="8" w:color="auto"/>
            </w:tcBorders>
          </w:tcPr>
          <w:p>
            <w:pPr>
              <w:spacing w:after="0"/>
              <w:rPr>
                <w:sz w:val="7"/>
                <w:szCs w:val="7"/>
                <w:color w:val="auto"/>
              </w:rPr>
            </w:pPr>
          </w:p>
        </w:tc>
        <w:tc>
          <w:tcPr>
            <w:tcW w:w="2380" w:type="dxa"/>
            <w:vAlign w:val="bottom"/>
            <w:tcBorders>
              <w:bottom w:val="single" w:sz="8" w:color="auto"/>
              <w:right w:val="single" w:sz="8" w:color="auto"/>
            </w:tcBorders>
          </w:tcPr>
          <w:p>
            <w:pPr>
              <w:spacing w:after="0"/>
              <w:rPr>
                <w:sz w:val="7"/>
                <w:szCs w:val="7"/>
                <w:color w:val="auto"/>
              </w:rPr>
            </w:pPr>
          </w:p>
        </w:tc>
        <w:tc>
          <w:tcPr>
            <w:tcW w:w="2400" w:type="dxa"/>
            <w:vAlign w:val="bottom"/>
            <w:tcBorders>
              <w:bottom w:val="single" w:sz="8" w:color="auto"/>
              <w:right w:val="single" w:sz="8" w:color="auto"/>
            </w:tcBorders>
          </w:tcPr>
          <w:p>
            <w:pPr>
              <w:spacing w:after="0"/>
              <w:rPr>
                <w:sz w:val="7"/>
                <w:szCs w:val="7"/>
                <w:color w:val="auto"/>
              </w:rPr>
            </w:pPr>
          </w:p>
        </w:tc>
      </w:tr>
      <w:tr>
        <w:trPr>
          <w:trHeight w:val="270"/>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din</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0.381799</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-0.165536</w:t>
            </w:r>
          </w:p>
        </w:tc>
      </w:tr>
      <w:tr>
        <w:trPr>
          <w:trHeight w:val="86"/>
        </w:trPr>
        <w:tc>
          <w:tcPr>
            <w:tcW w:w="2420" w:type="dxa"/>
            <w:vAlign w:val="bottom"/>
            <w:tcBorders>
              <w:left w:val="single" w:sz="8" w:color="auto"/>
              <w:bottom w:val="single" w:sz="8" w:color="auto"/>
              <w:right w:val="single" w:sz="8" w:color="auto"/>
            </w:tcBorders>
          </w:tcPr>
          <w:p>
            <w:pPr>
              <w:spacing w:after="0"/>
              <w:rPr>
                <w:sz w:val="7"/>
                <w:szCs w:val="7"/>
                <w:color w:val="auto"/>
              </w:rPr>
            </w:pPr>
          </w:p>
        </w:tc>
        <w:tc>
          <w:tcPr>
            <w:tcW w:w="2380" w:type="dxa"/>
            <w:vAlign w:val="bottom"/>
            <w:tcBorders>
              <w:bottom w:val="single" w:sz="8" w:color="auto"/>
              <w:right w:val="single" w:sz="8" w:color="auto"/>
            </w:tcBorders>
          </w:tcPr>
          <w:p>
            <w:pPr>
              <w:spacing w:after="0"/>
              <w:rPr>
                <w:sz w:val="7"/>
                <w:szCs w:val="7"/>
                <w:color w:val="auto"/>
              </w:rPr>
            </w:pPr>
          </w:p>
        </w:tc>
        <w:tc>
          <w:tcPr>
            <w:tcW w:w="2400" w:type="dxa"/>
            <w:vAlign w:val="bottom"/>
            <w:tcBorders>
              <w:bottom w:val="single" w:sz="8" w:color="auto"/>
              <w:right w:val="single" w:sz="8" w:color="auto"/>
            </w:tcBorders>
          </w:tcPr>
          <w:p>
            <w:pPr>
              <w:spacing w:after="0"/>
              <w:rPr>
                <w:sz w:val="7"/>
                <w:szCs w:val="7"/>
                <w:color w:val="auto"/>
              </w:rPr>
            </w:pPr>
          </w:p>
        </w:tc>
      </w:tr>
      <w:tr>
        <w:trPr>
          <w:trHeight w:val="270"/>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ancr</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0.109469</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0.448959</w:t>
            </w:r>
          </w:p>
        </w:tc>
      </w:tr>
      <w:tr>
        <w:trPr>
          <w:trHeight w:val="86"/>
        </w:trPr>
        <w:tc>
          <w:tcPr>
            <w:tcW w:w="2420" w:type="dxa"/>
            <w:vAlign w:val="bottom"/>
            <w:tcBorders>
              <w:left w:val="single" w:sz="8" w:color="auto"/>
              <w:bottom w:val="single" w:sz="8" w:color="auto"/>
              <w:right w:val="single" w:sz="8" w:color="auto"/>
            </w:tcBorders>
          </w:tcPr>
          <w:p>
            <w:pPr>
              <w:spacing w:after="0"/>
              <w:rPr>
                <w:sz w:val="7"/>
                <w:szCs w:val="7"/>
                <w:color w:val="auto"/>
              </w:rPr>
            </w:pPr>
          </w:p>
        </w:tc>
        <w:tc>
          <w:tcPr>
            <w:tcW w:w="2380" w:type="dxa"/>
            <w:vAlign w:val="bottom"/>
            <w:tcBorders>
              <w:bottom w:val="single" w:sz="8" w:color="auto"/>
              <w:right w:val="single" w:sz="8" w:color="auto"/>
            </w:tcBorders>
          </w:tcPr>
          <w:p>
            <w:pPr>
              <w:spacing w:after="0"/>
              <w:rPr>
                <w:sz w:val="7"/>
                <w:szCs w:val="7"/>
                <w:color w:val="auto"/>
              </w:rPr>
            </w:pPr>
          </w:p>
        </w:tc>
        <w:tc>
          <w:tcPr>
            <w:tcW w:w="2400" w:type="dxa"/>
            <w:vAlign w:val="bottom"/>
            <w:tcBorders>
              <w:bottom w:val="single" w:sz="8" w:color="auto"/>
              <w:right w:val="single" w:sz="8" w:color="auto"/>
            </w:tcBorders>
          </w:tcPr>
          <w:p>
            <w:pPr>
              <w:spacing w:after="0"/>
              <w:rPr>
                <w:sz w:val="7"/>
                <w:szCs w:val="7"/>
                <w:color w:val="auto"/>
              </w:rPr>
            </w:pPr>
          </w:p>
        </w:tc>
      </w:tr>
      <w:tr>
        <w:trPr>
          <w:trHeight w:val="270"/>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alcr</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0.182981</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0.517723</w:t>
            </w:r>
          </w:p>
        </w:tc>
      </w:tr>
      <w:tr>
        <w:trPr>
          <w:trHeight w:val="86"/>
        </w:trPr>
        <w:tc>
          <w:tcPr>
            <w:tcW w:w="2420" w:type="dxa"/>
            <w:vAlign w:val="bottom"/>
            <w:tcBorders>
              <w:left w:val="single" w:sz="8" w:color="auto"/>
              <w:bottom w:val="single" w:sz="8" w:color="auto"/>
              <w:right w:val="single" w:sz="8" w:color="auto"/>
            </w:tcBorders>
          </w:tcPr>
          <w:p>
            <w:pPr>
              <w:spacing w:after="0"/>
              <w:rPr>
                <w:sz w:val="7"/>
                <w:szCs w:val="7"/>
                <w:color w:val="auto"/>
              </w:rPr>
            </w:pPr>
          </w:p>
        </w:tc>
        <w:tc>
          <w:tcPr>
            <w:tcW w:w="2380" w:type="dxa"/>
            <w:vAlign w:val="bottom"/>
            <w:tcBorders>
              <w:bottom w:val="single" w:sz="8" w:color="auto"/>
              <w:right w:val="single" w:sz="8" w:color="auto"/>
            </w:tcBorders>
          </w:tcPr>
          <w:p>
            <w:pPr>
              <w:spacing w:after="0"/>
              <w:rPr>
                <w:sz w:val="7"/>
                <w:szCs w:val="7"/>
                <w:color w:val="auto"/>
              </w:rPr>
            </w:pPr>
          </w:p>
        </w:tc>
        <w:tc>
          <w:tcPr>
            <w:tcW w:w="2400" w:type="dxa"/>
            <w:vAlign w:val="bottom"/>
            <w:tcBorders>
              <w:bottom w:val="single" w:sz="8" w:color="auto"/>
              <w:right w:val="single" w:sz="8" w:color="auto"/>
            </w:tcBorders>
          </w:tcPr>
          <w:p>
            <w:pPr>
              <w:spacing w:after="0"/>
              <w:rPr>
                <w:sz w:val="7"/>
                <w:szCs w:val="7"/>
                <w:color w:val="auto"/>
              </w:rPr>
            </w:pPr>
          </w:p>
        </w:tc>
      </w:tr>
      <w:tr>
        <w:trPr>
          <w:trHeight w:val="270"/>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larcr</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0.0418715</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0.130252</w:t>
            </w:r>
          </w:p>
        </w:tc>
      </w:tr>
      <w:tr>
        <w:trPr>
          <w:trHeight w:val="86"/>
        </w:trPr>
        <w:tc>
          <w:tcPr>
            <w:tcW w:w="2420" w:type="dxa"/>
            <w:vAlign w:val="bottom"/>
            <w:tcBorders>
              <w:left w:val="single" w:sz="8" w:color="auto"/>
              <w:bottom w:val="single" w:sz="8" w:color="auto"/>
              <w:right w:val="single" w:sz="8" w:color="auto"/>
            </w:tcBorders>
          </w:tcPr>
          <w:p>
            <w:pPr>
              <w:spacing w:after="0"/>
              <w:rPr>
                <w:sz w:val="7"/>
                <w:szCs w:val="7"/>
                <w:color w:val="auto"/>
              </w:rPr>
            </w:pPr>
          </w:p>
        </w:tc>
        <w:tc>
          <w:tcPr>
            <w:tcW w:w="2380" w:type="dxa"/>
            <w:vAlign w:val="bottom"/>
            <w:tcBorders>
              <w:bottom w:val="single" w:sz="8" w:color="auto"/>
              <w:right w:val="single" w:sz="8" w:color="auto"/>
            </w:tcBorders>
          </w:tcPr>
          <w:p>
            <w:pPr>
              <w:spacing w:after="0"/>
              <w:rPr>
                <w:sz w:val="7"/>
                <w:szCs w:val="7"/>
                <w:color w:val="auto"/>
              </w:rPr>
            </w:pPr>
          </w:p>
        </w:tc>
        <w:tc>
          <w:tcPr>
            <w:tcW w:w="2400" w:type="dxa"/>
            <w:vAlign w:val="bottom"/>
            <w:tcBorders>
              <w:bottom w:val="single" w:sz="8" w:color="auto"/>
              <w:right w:val="single" w:sz="8" w:color="auto"/>
            </w:tcBorders>
          </w:tcPr>
          <w:p>
            <w:pPr>
              <w:spacing w:after="0"/>
              <w:rPr>
                <w:sz w:val="7"/>
                <w:szCs w:val="7"/>
                <w:color w:val="auto"/>
              </w:rPr>
            </w:pPr>
          </w:p>
        </w:tc>
      </w:tr>
      <w:tr>
        <w:trPr>
          <w:trHeight w:val="270"/>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hom-cod</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0.0664032</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-0.195169</w:t>
            </w:r>
          </w:p>
        </w:tc>
      </w:tr>
      <w:tr>
        <w:trPr>
          <w:trHeight w:val="86"/>
        </w:trPr>
        <w:tc>
          <w:tcPr>
            <w:tcW w:w="2420" w:type="dxa"/>
            <w:vAlign w:val="bottom"/>
            <w:tcBorders>
              <w:left w:val="single" w:sz="8" w:color="auto"/>
              <w:bottom w:val="single" w:sz="8" w:color="auto"/>
              <w:right w:val="single" w:sz="8" w:color="auto"/>
            </w:tcBorders>
          </w:tcPr>
          <w:p>
            <w:pPr>
              <w:spacing w:after="0"/>
              <w:rPr>
                <w:sz w:val="7"/>
                <w:szCs w:val="7"/>
                <w:color w:val="auto"/>
              </w:rPr>
            </w:pPr>
          </w:p>
        </w:tc>
        <w:tc>
          <w:tcPr>
            <w:tcW w:w="2380" w:type="dxa"/>
            <w:vAlign w:val="bottom"/>
            <w:tcBorders>
              <w:bottom w:val="single" w:sz="8" w:color="auto"/>
              <w:right w:val="single" w:sz="8" w:color="auto"/>
            </w:tcBorders>
          </w:tcPr>
          <w:p>
            <w:pPr>
              <w:spacing w:after="0"/>
              <w:rPr>
                <w:sz w:val="7"/>
                <w:szCs w:val="7"/>
                <w:color w:val="auto"/>
              </w:rPr>
            </w:pPr>
          </w:p>
        </w:tc>
        <w:tc>
          <w:tcPr>
            <w:tcW w:w="2400" w:type="dxa"/>
            <w:vAlign w:val="bottom"/>
            <w:tcBorders>
              <w:bottom w:val="single" w:sz="8" w:color="auto"/>
              <w:right w:val="single" w:sz="8" w:color="auto"/>
            </w:tcBorders>
          </w:tcPr>
          <w:p>
            <w:pPr>
              <w:spacing w:after="0"/>
              <w:rPr>
                <w:sz w:val="7"/>
                <w:szCs w:val="7"/>
                <w:color w:val="auto"/>
              </w:rPr>
            </w:pPr>
          </w:p>
        </w:tc>
      </w:tr>
      <w:tr>
        <w:trPr>
          <w:trHeight w:val="291"/>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cod-muñ</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0.248279</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8"/>
                <w:szCs w:val="18"/>
                <w:b w:val="1"/>
                <w:bCs w:val="1"/>
                <w:color w:val="auto"/>
              </w:rPr>
              <w:t>-0.300376</w:t>
            </w:r>
          </w:p>
        </w:tc>
      </w:tr>
      <w:tr>
        <w:trPr>
          <w:trHeight w:val="66"/>
        </w:trPr>
        <w:tc>
          <w:tcPr>
            <w:tcW w:w="2420" w:type="dxa"/>
            <w:vAlign w:val="bottom"/>
            <w:tcBorders>
              <w:left w:val="single" w:sz="8" w:color="auto"/>
              <w:bottom w:val="single" w:sz="8" w:color="auto"/>
              <w:right w:val="single" w:sz="8" w:color="auto"/>
            </w:tcBorders>
          </w:tcPr>
          <w:p>
            <w:pPr>
              <w:spacing w:after="0"/>
              <w:rPr>
                <w:sz w:val="5"/>
                <w:szCs w:val="5"/>
                <w:color w:val="auto"/>
              </w:rPr>
            </w:pPr>
          </w:p>
        </w:tc>
        <w:tc>
          <w:tcPr>
            <w:tcW w:w="2380" w:type="dxa"/>
            <w:vAlign w:val="bottom"/>
            <w:tcBorders>
              <w:bottom w:val="single" w:sz="8" w:color="auto"/>
              <w:right w:val="single" w:sz="8" w:color="auto"/>
            </w:tcBorders>
          </w:tcPr>
          <w:p>
            <w:pPr>
              <w:spacing w:after="0"/>
              <w:rPr>
                <w:sz w:val="5"/>
                <w:szCs w:val="5"/>
                <w:color w:val="auto"/>
              </w:rPr>
            </w:pPr>
          </w:p>
        </w:tc>
        <w:tc>
          <w:tcPr>
            <w:tcW w:w="2400" w:type="dxa"/>
            <w:vAlign w:val="bottom"/>
            <w:tcBorders>
              <w:bottom w:val="single" w:sz="8" w:color="auto"/>
              <w:right w:val="single" w:sz="8" w:color="auto"/>
            </w:tcBorders>
          </w:tcPr>
          <w:p>
            <w:pPr>
              <w:spacing w:after="0"/>
              <w:rPr>
                <w:sz w:val="5"/>
                <w:szCs w:val="5"/>
                <w:color w:val="auto"/>
              </w:rPr>
            </w:pPr>
          </w:p>
        </w:tc>
      </w:tr>
      <w:tr>
        <w:trPr>
          <w:trHeight w:val="291"/>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lmuñ-fa</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0.271468</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0.181754</w:t>
            </w:r>
          </w:p>
        </w:tc>
      </w:tr>
      <w:tr>
        <w:trPr>
          <w:trHeight w:val="66"/>
        </w:trPr>
        <w:tc>
          <w:tcPr>
            <w:tcW w:w="2420" w:type="dxa"/>
            <w:vAlign w:val="bottom"/>
            <w:tcBorders>
              <w:left w:val="single" w:sz="8" w:color="auto"/>
              <w:bottom w:val="single" w:sz="8" w:color="auto"/>
              <w:right w:val="single" w:sz="8" w:color="auto"/>
            </w:tcBorders>
          </w:tcPr>
          <w:p>
            <w:pPr>
              <w:spacing w:after="0"/>
              <w:rPr>
                <w:sz w:val="5"/>
                <w:szCs w:val="5"/>
                <w:color w:val="auto"/>
              </w:rPr>
            </w:pPr>
          </w:p>
        </w:tc>
        <w:tc>
          <w:tcPr>
            <w:tcW w:w="2380" w:type="dxa"/>
            <w:vAlign w:val="bottom"/>
            <w:tcBorders>
              <w:bottom w:val="single" w:sz="8" w:color="auto"/>
              <w:right w:val="single" w:sz="8" w:color="auto"/>
            </w:tcBorders>
          </w:tcPr>
          <w:p>
            <w:pPr>
              <w:spacing w:after="0"/>
              <w:rPr>
                <w:sz w:val="5"/>
                <w:szCs w:val="5"/>
                <w:color w:val="auto"/>
              </w:rPr>
            </w:pPr>
          </w:p>
        </w:tc>
        <w:tc>
          <w:tcPr>
            <w:tcW w:w="2400" w:type="dxa"/>
            <w:vAlign w:val="bottom"/>
            <w:tcBorders>
              <w:bottom w:val="single" w:sz="8" w:color="auto"/>
              <w:right w:val="single" w:sz="8" w:color="auto"/>
            </w:tcBorders>
          </w:tcPr>
          <w:p>
            <w:pPr>
              <w:spacing w:after="0"/>
              <w:rPr>
                <w:sz w:val="5"/>
                <w:szCs w:val="5"/>
                <w:color w:val="auto"/>
              </w:rPr>
            </w:pPr>
          </w:p>
        </w:tc>
      </w:tr>
      <w:tr>
        <w:trPr>
          <w:trHeight w:val="291"/>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anmuñ-fa</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0.35978</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0.0388816</w:t>
            </w:r>
          </w:p>
        </w:tc>
      </w:tr>
      <w:tr>
        <w:trPr>
          <w:trHeight w:val="66"/>
        </w:trPr>
        <w:tc>
          <w:tcPr>
            <w:tcW w:w="2420" w:type="dxa"/>
            <w:vAlign w:val="bottom"/>
            <w:tcBorders>
              <w:left w:val="single" w:sz="8" w:color="auto"/>
              <w:bottom w:val="single" w:sz="8" w:color="auto"/>
              <w:right w:val="single" w:sz="8" w:color="auto"/>
            </w:tcBorders>
          </w:tcPr>
          <w:p>
            <w:pPr>
              <w:spacing w:after="0"/>
              <w:rPr>
                <w:sz w:val="5"/>
                <w:szCs w:val="5"/>
                <w:color w:val="auto"/>
              </w:rPr>
            </w:pPr>
          </w:p>
        </w:tc>
        <w:tc>
          <w:tcPr>
            <w:tcW w:w="2380" w:type="dxa"/>
            <w:vAlign w:val="bottom"/>
            <w:tcBorders>
              <w:bottom w:val="single" w:sz="8" w:color="auto"/>
              <w:right w:val="single" w:sz="8" w:color="auto"/>
            </w:tcBorders>
          </w:tcPr>
          <w:p>
            <w:pPr>
              <w:spacing w:after="0"/>
              <w:rPr>
                <w:sz w:val="5"/>
                <w:szCs w:val="5"/>
                <w:color w:val="auto"/>
              </w:rPr>
            </w:pPr>
          </w:p>
        </w:tc>
        <w:tc>
          <w:tcPr>
            <w:tcW w:w="2400" w:type="dxa"/>
            <w:vAlign w:val="bottom"/>
            <w:tcBorders>
              <w:bottom w:val="single" w:sz="8" w:color="auto"/>
              <w:right w:val="single" w:sz="8" w:color="auto"/>
            </w:tcBorders>
          </w:tcPr>
          <w:p>
            <w:pPr>
              <w:spacing w:after="0"/>
              <w:rPr>
                <w:sz w:val="5"/>
                <w:szCs w:val="5"/>
                <w:color w:val="auto"/>
              </w:rPr>
            </w:pPr>
          </w:p>
        </w:tc>
      </w:tr>
      <w:tr>
        <w:trPr>
          <w:trHeight w:val="291"/>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doma</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0.332094</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0.109834</w:t>
            </w:r>
          </w:p>
        </w:tc>
      </w:tr>
      <w:tr>
        <w:trPr>
          <w:trHeight w:val="66"/>
        </w:trPr>
        <w:tc>
          <w:tcPr>
            <w:tcW w:w="2420" w:type="dxa"/>
            <w:vAlign w:val="bottom"/>
            <w:tcBorders>
              <w:left w:val="single" w:sz="8" w:color="auto"/>
              <w:bottom w:val="single" w:sz="8" w:color="auto"/>
              <w:right w:val="single" w:sz="8" w:color="auto"/>
            </w:tcBorders>
          </w:tcPr>
          <w:p>
            <w:pPr>
              <w:spacing w:after="0"/>
              <w:rPr>
                <w:sz w:val="5"/>
                <w:szCs w:val="5"/>
                <w:color w:val="auto"/>
              </w:rPr>
            </w:pPr>
          </w:p>
        </w:tc>
        <w:tc>
          <w:tcPr>
            <w:tcW w:w="2380" w:type="dxa"/>
            <w:vAlign w:val="bottom"/>
            <w:tcBorders>
              <w:bottom w:val="single" w:sz="8" w:color="auto"/>
              <w:right w:val="single" w:sz="8" w:color="auto"/>
            </w:tcBorders>
          </w:tcPr>
          <w:p>
            <w:pPr>
              <w:spacing w:after="0"/>
              <w:rPr>
                <w:sz w:val="5"/>
                <w:szCs w:val="5"/>
                <w:color w:val="auto"/>
              </w:rPr>
            </w:pPr>
          </w:p>
        </w:tc>
        <w:tc>
          <w:tcPr>
            <w:tcW w:w="2400" w:type="dxa"/>
            <w:vAlign w:val="bottom"/>
            <w:tcBorders>
              <w:bottom w:val="single" w:sz="8" w:color="auto"/>
              <w:right w:val="single" w:sz="8" w:color="auto"/>
            </w:tcBorders>
          </w:tcPr>
          <w:p>
            <w:pPr>
              <w:spacing w:after="0"/>
              <w:rPr>
                <w:sz w:val="5"/>
                <w:szCs w:val="5"/>
                <w:color w:val="auto"/>
              </w:rPr>
            </w:pPr>
          </w:p>
        </w:tc>
      </w:tr>
      <w:tr>
        <w:trPr>
          <w:trHeight w:val="291"/>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cad-rod</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0.246864</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0.170081</w:t>
            </w:r>
          </w:p>
        </w:tc>
      </w:tr>
      <w:tr>
        <w:trPr>
          <w:trHeight w:val="66"/>
        </w:trPr>
        <w:tc>
          <w:tcPr>
            <w:tcW w:w="2420" w:type="dxa"/>
            <w:vAlign w:val="bottom"/>
            <w:tcBorders>
              <w:left w:val="single" w:sz="8" w:color="auto"/>
              <w:bottom w:val="single" w:sz="8" w:color="auto"/>
              <w:right w:val="single" w:sz="8" w:color="auto"/>
            </w:tcBorders>
          </w:tcPr>
          <w:p>
            <w:pPr>
              <w:spacing w:after="0"/>
              <w:rPr>
                <w:sz w:val="5"/>
                <w:szCs w:val="5"/>
                <w:color w:val="auto"/>
              </w:rPr>
            </w:pPr>
          </w:p>
        </w:tc>
        <w:tc>
          <w:tcPr>
            <w:tcW w:w="2380" w:type="dxa"/>
            <w:vAlign w:val="bottom"/>
            <w:tcBorders>
              <w:bottom w:val="single" w:sz="8" w:color="auto"/>
              <w:right w:val="single" w:sz="8" w:color="auto"/>
            </w:tcBorders>
          </w:tcPr>
          <w:p>
            <w:pPr>
              <w:spacing w:after="0"/>
              <w:rPr>
                <w:sz w:val="5"/>
                <w:szCs w:val="5"/>
                <w:color w:val="auto"/>
              </w:rPr>
            </w:pPr>
          </w:p>
        </w:tc>
        <w:tc>
          <w:tcPr>
            <w:tcW w:w="2400" w:type="dxa"/>
            <w:vAlign w:val="bottom"/>
            <w:tcBorders>
              <w:bottom w:val="single" w:sz="8" w:color="auto"/>
              <w:right w:val="single" w:sz="8" w:color="auto"/>
            </w:tcBorders>
          </w:tcPr>
          <w:p>
            <w:pPr>
              <w:spacing w:after="0"/>
              <w:rPr>
                <w:sz w:val="5"/>
                <w:szCs w:val="5"/>
                <w:color w:val="auto"/>
              </w:rPr>
            </w:pPr>
          </w:p>
        </w:tc>
      </w:tr>
      <w:tr>
        <w:trPr>
          <w:trHeight w:val="291"/>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rod-tob</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8"/>
                <w:szCs w:val="18"/>
                <w:b w:val="1"/>
                <w:bCs w:val="1"/>
                <w:color w:val="auto"/>
              </w:rPr>
              <w:t>0.0556852</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8"/>
                <w:szCs w:val="18"/>
                <w:b w:val="1"/>
                <w:bCs w:val="1"/>
                <w:color w:val="auto"/>
              </w:rPr>
              <w:t>-0.227638</w:t>
            </w:r>
          </w:p>
        </w:tc>
      </w:tr>
      <w:tr>
        <w:trPr>
          <w:trHeight w:val="66"/>
        </w:trPr>
        <w:tc>
          <w:tcPr>
            <w:tcW w:w="2420" w:type="dxa"/>
            <w:vAlign w:val="bottom"/>
            <w:tcBorders>
              <w:left w:val="single" w:sz="8" w:color="auto"/>
              <w:bottom w:val="single" w:sz="8" w:color="auto"/>
              <w:right w:val="single" w:sz="8" w:color="auto"/>
            </w:tcBorders>
          </w:tcPr>
          <w:p>
            <w:pPr>
              <w:spacing w:after="0"/>
              <w:rPr>
                <w:sz w:val="5"/>
                <w:szCs w:val="5"/>
                <w:color w:val="auto"/>
              </w:rPr>
            </w:pPr>
          </w:p>
        </w:tc>
        <w:tc>
          <w:tcPr>
            <w:tcW w:w="2380" w:type="dxa"/>
            <w:vAlign w:val="bottom"/>
            <w:tcBorders>
              <w:bottom w:val="single" w:sz="8" w:color="auto"/>
              <w:right w:val="single" w:sz="8" w:color="auto"/>
            </w:tcBorders>
          </w:tcPr>
          <w:p>
            <w:pPr>
              <w:spacing w:after="0"/>
              <w:rPr>
                <w:sz w:val="5"/>
                <w:szCs w:val="5"/>
                <w:color w:val="auto"/>
              </w:rPr>
            </w:pPr>
          </w:p>
        </w:tc>
        <w:tc>
          <w:tcPr>
            <w:tcW w:w="2400" w:type="dxa"/>
            <w:vAlign w:val="bottom"/>
            <w:tcBorders>
              <w:bottom w:val="single" w:sz="8" w:color="auto"/>
              <w:right w:val="single" w:sz="8" w:color="auto"/>
            </w:tcBorders>
          </w:tcPr>
          <w:p>
            <w:pPr>
              <w:spacing w:after="0"/>
              <w:rPr>
                <w:sz w:val="5"/>
                <w:szCs w:val="5"/>
                <w:color w:val="auto"/>
              </w:rPr>
            </w:pPr>
          </w:p>
        </w:tc>
      </w:tr>
      <w:tr>
        <w:trPr>
          <w:trHeight w:val="291"/>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tob-ddo</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0.128919</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0.16301</w:t>
            </w:r>
          </w:p>
        </w:tc>
      </w:tr>
      <w:tr>
        <w:trPr>
          <w:trHeight w:val="66"/>
        </w:trPr>
        <w:tc>
          <w:tcPr>
            <w:tcW w:w="2420" w:type="dxa"/>
            <w:vAlign w:val="bottom"/>
            <w:tcBorders>
              <w:left w:val="single" w:sz="8" w:color="auto"/>
              <w:bottom w:val="single" w:sz="8" w:color="auto"/>
              <w:right w:val="single" w:sz="8" w:color="auto"/>
            </w:tcBorders>
          </w:tcPr>
          <w:p>
            <w:pPr>
              <w:spacing w:after="0"/>
              <w:rPr>
                <w:sz w:val="5"/>
                <w:szCs w:val="5"/>
                <w:color w:val="auto"/>
              </w:rPr>
            </w:pPr>
          </w:p>
        </w:tc>
        <w:tc>
          <w:tcPr>
            <w:tcW w:w="2380" w:type="dxa"/>
            <w:vAlign w:val="bottom"/>
            <w:tcBorders>
              <w:bottom w:val="single" w:sz="8" w:color="auto"/>
              <w:right w:val="single" w:sz="8" w:color="auto"/>
            </w:tcBorders>
          </w:tcPr>
          <w:p>
            <w:pPr>
              <w:spacing w:after="0"/>
              <w:rPr>
                <w:sz w:val="5"/>
                <w:szCs w:val="5"/>
                <w:color w:val="auto"/>
              </w:rPr>
            </w:pPr>
          </w:p>
        </w:tc>
        <w:tc>
          <w:tcPr>
            <w:tcW w:w="2400" w:type="dxa"/>
            <w:vAlign w:val="bottom"/>
            <w:tcBorders>
              <w:bottom w:val="single" w:sz="8" w:color="auto"/>
              <w:right w:val="single" w:sz="8" w:color="auto"/>
            </w:tcBorders>
          </w:tcPr>
          <w:p>
            <w:pPr>
              <w:spacing w:after="0"/>
              <w:rPr>
                <w:sz w:val="5"/>
                <w:szCs w:val="5"/>
                <w:color w:val="auto"/>
              </w:rPr>
            </w:pPr>
          </w:p>
        </w:tc>
      </w:tr>
      <w:tr>
        <w:trPr>
          <w:trHeight w:val="291"/>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dopa</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0.159619</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8"/>
                <w:szCs w:val="18"/>
                <w:color w:val="auto"/>
              </w:rPr>
              <w:t>0.268726</w:t>
            </w:r>
          </w:p>
        </w:tc>
      </w:tr>
      <w:tr>
        <w:trPr>
          <w:trHeight w:val="66"/>
        </w:trPr>
        <w:tc>
          <w:tcPr>
            <w:tcW w:w="2420" w:type="dxa"/>
            <w:vAlign w:val="bottom"/>
            <w:tcBorders>
              <w:left w:val="single" w:sz="8" w:color="auto"/>
              <w:bottom w:val="single" w:sz="8" w:color="auto"/>
              <w:right w:val="single" w:sz="8" w:color="auto"/>
            </w:tcBorders>
          </w:tcPr>
          <w:p>
            <w:pPr>
              <w:spacing w:after="0"/>
              <w:rPr>
                <w:sz w:val="5"/>
                <w:szCs w:val="5"/>
                <w:color w:val="auto"/>
              </w:rPr>
            </w:pPr>
          </w:p>
        </w:tc>
        <w:tc>
          <w:tcPr>
            <w:tcW w:w="2380" w:type="dxa"/>
            <w:vAlign w:val="bottom"/>
            <w:tcBorders>
              <w:bottom w:val="single" w:sz="8" w:color="auto"/>
              <w:right w:val="single" w:sz="8" w:color="auto"/>
            </w:tcBorders>
          </w:tcPr>
          <w:p>
            <w:pPr>
              <w:spacing w:after="0"/>
              <w:rPr>
                <w:sz w:val="5"/>
                <w:szCs w:val="5"/>
                <w:color w:val="auto"/>
              </w:rPr>
            </w:pPr>
          </w:p>
        </w:tc>
        <w:tc>
          <w:tcPr>
            <w:tcW w:w="2400" w:type="dxa"/>
            <w:vAlign w:val="bottom"/>
            <w:tcBorders>
              <w:bottom w:val="single" w:sz="8" w:color="auto"/>
              <w:right w:val="single" w:sz="8" w:color="auto"/>
            </w:tcBorders>
          </w:tcPr>
          <w:p>
            <w:pPr>
              <w:spacing w:after="0"/>
              <w:rPr>
                <w:sz w:val="5"/>
                <w:szCs w:val="5"/>
                <w:color w:val="auto"/>
              </w:rPr>
            </w:pPr>
          </w:p>
        </w:tc>
      </w:tr>
    </w:tbl>
    <w:p>
      <w:pPr>
        <w:spacing w:after="0" w:line="168" w:lineRule="exact"/>
        <w:rPr>
          <w:sz w:val="20"/>
          <w:szCs w:val="20"/>
          <w:color w:val="auto"/>
        </w:rPr>
      </w:pPr>
    </w:p>
    <w:p>
      <w:pPr>
        <w:jc w:val="both"/>
        <w:ind w:right="800"/>
        <w:spacing w:after="0" w:line="311" w:lineRule="auto"/>
        <w:rPr>
          <w:sz w:val="20"/>
          <w:szCs w:val="20"/>
          <w:color w:val="auto"/>
        </w:rPr>
      </w:pPr>
      <w:r>
        <w:rPr>
          <w:rFonts w:ascii="Times New Roman" w:cs="Times New Roman" w:eastAsia="Times New Roman" w:hAnsi="Times New Roman"/>
          <w:sz w:val="16"/>
          <w:szCs w:val="16"/>
          <w:color w:val="auto"/>
        </w:rPr>
        <w:t>Nota: los valores resaltados son los de mayor peso (cursivas: sentido positivo, negritas: sentido negativo). Fuente: Ruiz, 2010.</w:t>
      </w:r>
    </w:p>
    <w:p>
      <w:pPr>
        <w:spacing w:after="0" w:line="200" w:lineRule="exact"/>
        <w:rPr>
          <w:sz w:val="20"/>
          <w:szCs w:val="20"/>
          <w:color w:val="auto"/>
        </w:rPr>
      </w:pPr>
    </w:p>
    <w:p>
      <w:pPr>
        <w:spacing w:after="0" w:line="392" w:lineRule="exact"/>
        <w:rPr>
          <w:sz w:val="20"/>
          <w:szCs w:val="20"/>
          <w:color w:val="auto"/>
        </w:rPr>
      </w:pPr>
    </w:p>
    <w:p>
      <w:pPr>
        <w:jc w:val="both"/>
        <w:spacing w:after="0" w:line="340" w:lineRule="auto"/>
        <w:rPr>
          <w:sz w:val="20"/>
          <w:szCs w:val="20"/>
          <w:color w:val="auto"/>
        </w:rPr>
      </w:pPr>
      <w:r>
        <w:rPr>
          <w:rFonts w:ascii="Times New Roman" w:cs="Times New Roman" w:eastAsia="Times New Roman" w:hAnsi="Times New Roman"/>
          <w:sz w:val="21"/>
          <w:szCs w:val="21"/>
          <w:color w:val="auto"/>
        </w:rPr>
        <w:t xml:space="preserve">Esto fue corroborado mediante el Ancova (figura 4) con un valor de </w:t>
      </w: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4"/>
          <w:szCs w:val="24"/>
          <w:color w:val="auto"/>
          <w:vertAlign w:val="subscript"/>
        </w:rPr>
        <w:t>1.66</w:t>
      </w:r>
      <w:r>
        <w:rPr>
          <w:rFonts w:ascii="Times New Roman" w:cs="Times New Roman" w:eastAsia="Times New Roman" w:hAnsi="Times New Roman"/>
          <w:sz w:val="21"/>
          <w:szCs w:val="21"/>
          <w:color w:val="auto"/>
        </w:rPr>
        <w:t xml:space="preserve"> = 11.52 y </w:t>
      </w:r>
      <w:r>
        <w:rPr>
          <w:rFonts w:ascii="Times New Roman" w:cs="Times New Roman" w:eastAsia="Times New Roman" w:hAnsi="Times New Roman"/>
          <w:sz w:val="21"/>
          <w:szCs w:val="21"/>
          <w:i w:val="1"/>
          <w:iCs w:val="1"/>
          <w:color w:val="auto"/>
        </w:rPr>
        <w:t xml:space="preserve">p </w:t>
      </w:r>
      <w:r>
        <w:rPr>
          <w:rFonts w:ascii="Times New Roman" w:cs="Times New Roman" w:eastAsia="Times New Roman" w:hAnsi="Times New Roman"/>
          <w:sz w:val="21"/>
          <w:szCs w:val="21"/>
          <w:color w:val="auto"/>
        </w:rPr>
        <w:t>= 0.0001; sobre este componente, las variables ancho de las narinas (ann) y largo</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de las narinas (lonn), así como distancia internarinar (din), separan hacia valores positivos las poblaciones a 2 645, 3 245 y 4 200 msnm; mientras que en sentido</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03"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69" name="Shape 26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69" o:spid="_x0000_s129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70" name="Shape 27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70" o:spid="_x0000_s129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71" name="Shape 27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71" o:spid="_x0000_s129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15" w:name="page116"/>
    <w:bookmarkEnd w:id="115"/>
    <w:p>
      <w:pPr>
        <w:ind w:left="1180"/>
        <w:spacing w:after="0"/>
        <w:tabs>
          <w:tab w:leader="dot" w:pos="6960" w:val="left"/>
        </w:tabs>
        <w:rPr>
          <w:sz w:val="20"/>
          <w:szCs w:val="20"/>
          <w:color w:val="auto"/>
        </w:rPr>
      </w:pPr>
      <w:r>
        <w:rPr>
          <w:rFonts w:ascii="Arial Narrow" w:cs="Arial Narrow" w:eastAsia="Arial Narrow" w:hAnsi="Arial Narrow"/>
          <w:sz w:val="11"/>
          <w:szCs w:val="11"/>
          <w:color w:val="auto"/>
        </w:rPr>
        <w:t>morfometría externa del corazón de dos especies hermanas del grupo scalaris</w:t>
      </w:r>
      <w:r>
        <w:rPr>
          <w:sz w:val="20"/>
          <w:szCs w:val="20"/>
          <w:color w:val="auto"/>
        </w:rPr>
        <w:tab/>
      </w:r>
      <w:r>
        <w:rPr>
          <w:rFonts w:ascii="Arial Narrow" w:cs="Arial Narrow" w:eastAsia="Arial Narrow" w:hAnsi="Arial Narrow"/>
          <w:sz w:val="16"/>
          <w:szCs w:val="16"/>
          <w:color w:val="auto"/>
        </w:rPr>
        <w:t>115</w:t>
      </w:r>
    </w:p>
    <w:p>
      <w:pPr>
        <w:spacing w:after="0" w:line="200" w:lineRule="exact"/>
        <w:rPr>
          <w:sz w:val="20"/>
          <w:szCs w:val="20"/>
          <w:color w:val="auto"/>
        </w:rPr>
      </w:pPr>
    </w:p>
    <w:p>
      <w:pPr>
        <w:spacing w:after="0" w:line="351" w:lineRule="exact"/>
        <w:rPr>
          <w:sz w:val="20"/>
          <w:szCs w:val="20"/>
          <w:color w:val="auto"/>
        </w:rPr>
      </w:pPr>
    </w:p>
    <w:p>
      <w:pPr>
        <w:jc w:val="both"/>
        <w:spacing w:after="0" w:line="322" w:lineRule="auto"/>
        <w:rPr>
          <w:sz w:val="20"/>
          <w:szCs w:val="20"/>
          <w:color w:val="auto"/>
        </w:rPr>
      </w:pPr>
      <w:r>
        <w:rPr>
          <w:rFonts w:ascii="Times New Roman" w:cs="Times New Roman" w:eastAsia="Times New Roman" w:hAnsi="Times New Roman"/>
          <w:sz w:val="22"/>
          <w:szCs w:val="22"/>
          <w:color w:val="auto"/>
        </w:rPr>
        <w:t xml:space="preserve">negativo se separa la población de </w:t>
      </w:r>
      <w:r>
        <w:rPr>
          <w:rFonts w:ascii="Times New Roman" w:cs="Times New Roman" w:eastAsia="Times New Roman" w:hAnsi="Times New Roman"/>
          <w:sz w:val="22"/>
          <w:szCs w:val="22"/>
          <w:i w:val="1"/>
          <w:iCs w:val="1"/>
          <w:color w:val="auto"/>
        </w:rPr>
        <w:t>S. aeneus</w:t>
      </w:r>
      <w:r>
        <w:rPr>
          <w:rFonts w:ascii="Times New Roman" w:cs="Times New Roman" w:eastAsia="Times New Roman" w:hAnsi="Times New Roman"/>
          <w:sz w:val="22"/>
          <w:szCs w:val="22"/>
          <w:color w:val="auto"/>
        </w:rPr>
        <w:t xml:space="preserve"> ubicada a 2 847 msnm con las variables largo del cráneo (larcr), distancia rodilla-tobillo (rod-tob) y distancia hombro-codo (hom-cod) como las de mayor peso. En cuanto al CP2, que solamente explica 12.37% de la variabilidad, las medidas de mayor importancia en dirección positiva fueron el ancho del cráneo (ancr) y alto del cráneo (alcr); en tanto que la longitud de codo-muñeca (cod-muñ) y rodilla-tobillo (rod-tob) se ubicaron en dirección negativa, como en el cuadro 3 aparece.</w:t>
      </w:r>
    </w:p>
    <w:p>
      <w:pPr>
        <w:spacing w:after="0" w:line="4" w:lineRule="exact"/>
        <w:rPr>
          <w:sz w:val="20"/>
          <w:szCs w:val="20"/>
          <w:color w:val="auto"/>
        </w:rPr>
      </w:pPr>
    </w:p>
    <w:p>
      <w:pPr>
        <w:jc w:val="both"/>
        <w:ind w:firstLine="360"/>
        <w:spacing w:after="0" w:line="330" w:lineRule="auto"/>
        <w:rPr>
          <w:sz w:val="20"/>
          <w:szCs w:val="20"/>
          <w:color w:val="auto"/>
        </w:rPr>
      </w:pPr>
      <w:r>
        <w:rPr>
          <w:rFonts w:ascii="Times New Roman" w:cs="Times New Roman" w:eastAsia="Times New Roman" w:hAnsi="Times New Roman"/>
          <w:sz w:val="22"/>
          <w:szCs w:val="22"/>
          <w:color w:val="auto"/>
        </w:rPr>
        <w:t>En cuanto a los grupos, el primero está formado por los organismos que habitan a 2 857 msnm y el segundo se integra por las altitudes restantes (2 645, 3 245 y 4 200 m), debido a que no se encontraron diferencias significativas entre estas últimas (figura 4).</w:t>
      </w:r>
    </w:p>
    <w:p>
      <w:pPr>
        <w:spacing w:after="0" w:line="200" w:lineRule="exact"/>
        <w:rPr>
          <w:sz w:val="20"/>
          <w:szCs w:val="20"/>
          <w:color w:val="auto"/>
        </w:rPr>
      </w:pPr>
    </w:p>
    <w:p>
      <w:pPr>
        <w:spacing w:after="0" w:line="236" w:lineRule="exact"/>
        <w:rPr>
          <w:sz w:val="20"/>
          <w:szCs w:val="20"/>
          <w:color w:val="auto"/>
        </w:rPr>
      </w:pPr>
    </w:p>
    <w:p>
      <w:pPr>
        <w:ind w:left="3280"/>
        <w:spacing w:after="0"/>
        <w:rPr>
          <w:sz w:val="20"/>
          <w:szCs w:val="20"/>
          <w:color w:val="auto"/>
        </w:rPr>
      </w:pPr>
      <w:r>
        <w:rPr>
          <w:rFonts w:ascii="Times New Roman" w:cs="Times New Roman" w:eastAsia="Times New Roman" w:hAnsi="Times New Roman"/>
          <w:sz w:val="20"/>
          <w:szCs w:val="20"/>
          <w:i w:val="1"/>
          <w:iCs w:val="1"/>
          <w:color w:val="auto"/>
        </w:rPr>
        <w:t>Figura 4</w:t>
      </w:r>
    </w:p>
    <w:p>
      <w:pPr>
        <w:spacing w:after="0" w:line="31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-2540</wp:posOffset>
            </wp:positionH>
            <wp:positionV relativeFrom="paragraph">
              <wp:posOffset>81915</wp:posOffset>
            </wp:positionV>
            <wp:extent cx="4574540" cy="2988310"/>
            <wp:wrapNone/>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54">
                      <a:extLst>
                        <a:ext uri="{28A0092B-C50C-407E-A947-70E740481C1C}"/>
                      </a:extLst>
                    </a:blip>
                    <a:srcRect/>
                    <a:stretch>
                      <a:fillRect/>
                    </a:stretch>
                  </pic:blipFill>
                  <pic:spPr bwMode="auto">
                    <a:xfrm>
                      <a:off x="0" y="0"/>
                      <a:ext cx="4574540" cy="2988310"/>
                    </a:xfrm>
                    <a:prstGeom prst="rect">
                      <a:avLst/>
                    </a:prstGeom>
                    <a:noFill/>
                  </pic:spPr>
                </pic:pic>
              </a:graphicData>
            </a:graphic>
          </wp:anchor>
        </w:drawing>
      </w:r>
    </w:p>
    <w:p>
      <w:pPr>
        <w:ind w:left="400"/>
        <w:spacing w:after="0"/>
        <w:rPr>
          <w:sz w:val="20"/>
          <w:szCs w:val="20"/>
          <w:color w:val="auto"/>
        </w:rPr>
      </w:pPr>
      <w:r>
        <w:rPr>
          <w:rFonts w:ascii="Times New Roman" w:cs="Times New Roman" w:eastAsia="Times New Roman" w:hAnsi="Times New Roman"/>
          <w:sz w:val="16"/>
          <w:szCs w:val="16"/>
          <w:color w:val="auto"/>
        </w:rPr>
        <w:t>2.2</w:t>
      </w:r>
    </w:p>
    <w:p>
      <w:pPr>
        <w:spacing w:after="0" w:line="17" w:lineRule="exact"/>
        <w:rPr>
          <w:sz w:val="20"/>
          <w:szCs w:val="20"/>
          <w:color w:val="auto"/>
        </w:rPr>
      </w:pPr>
    </w:p>
    <w:tbl>
      <w:tblPr>
        <w:tblLayout w:type="fixed"/>
        <w:tblInd w:w="80" w:type="dxa"/>
        <w:tblCellMar>
          <w:top w:w="0" w:type="dxa"/>
          <w:left w:w="0" w:type="dxa"/>
          <w:bottom w:w="0" w:type="dxa"/>
          <w:right w:w="0" w:type="dxa"/>
        </w:tblCellMar>
      </w:tblPr>
      <w:tr>
        <w:trPr>
          <w:trHeight w:val="203"/>
        </w:trPr>
        <w:tc>
          <w:tcPr>
            <w:tcW w:w="200" w:type="dxa"/>
            <w:vAlign w:val="bottom"/>
          </w:tcPr>
          <w:p>
            <w:pPr>
              <w:spacing w:after="0"/>
              <w:rPr>
                <w:sz w:val="17"/>
                <w:szCs w:val="17"/>
                <w:color w:val="auto"/>
              </w:rPr>
            </w:pPr>
          </w:p>
        </w:tc>
        <w:tc>
          <w:tcPr>
            <w:tcW w:w="1220" w:type="dxa"/>
            <w:vAlign w:val="bottom"/>
          </w:tcPr>
          <w:p>
            <w:pPr>
              <w:spacing w:after="0"/>
              <w:rPr>
                <w:sz w:val="17"/>
                <w:szCs w:val="17"/>
                <w:color w:val="auto"/>
              </w:rPr>
            </w:pPr>
          </w:p>
        </w:tc>
        <w:tc>
          <w:tcPr>
            <w:tcW w:w="1540" w:type="dxa"/>
            <w:vAlign w:val="bottom"/>
          </w:tcPr>
          <w:p>
            <w:pPr>
              <w:jc w:val="right"/>
              <w:ind w:right="460"/>
              <w:spacing w:after="0"/>
              <w:rPr>
                <w:sz w:val="20"/>
                <w:szCs w:val="20"/>
                <w:color w:val="auto"/>
              </w:rPr>
            </w:pPr>
            <w:r>
              <w:rPr>
                <w:rFonts w:ascii="Times New Roman" w:cs="Times New Roman" w:eastAsia="Times New Roman" w:hAnsi="Times New Roman"/>
                <w:sz w:val="16"/>
                <w:szCs w:val="16"/>
                <w:color w:val="auto"/>
              </w:rPr>
              <w:t>1</w:t>
            </w:r>
          </w:p>
        </w:tc>
        <w:tc>
          <w:tcPr>
            <w:tcW w:w="3020" w:type="dxa"/>
            <w:vAlign w:val="bottom"/>
            <w:vMerge w:val="restart"/>
          </w:tcPr>
          <w:p>
            <w:pPr>
              <w:jc w:val="right"/>
              <w:ind w:right="1080"/>
              <w:spacing w:after="0"/>
              <w:rPr>
                <w:sz w:val="20"/>
                <w:szCs w:val="20"/>
                <w:color w:val="auto"/>
              </w:rPr>
            </w:pPr>
            <w:r>
              <w:rPr>
                <w:rFonts w:ascii="Times New Roman" w:cs="Times New Roman" w:eastAsia="Times New Roman" w:hAnsi="Times New Roman"/>
                <w:sz w:val="16"/>
                <w:szCs w:val="16"/>
                <w:color w:val="auto"/>
              </w:rPr>
              <w:t>1</w:t>
            </w:r>
          </w:p>
        </w:tc>
        <w:tc>
          <w:tcPr>
            <w:tcW w:w="0" w:type="dxa"/>
            <w:vAlign w:val="bottom"/>
          </w:tcPr>
          <w:p>
            <w:pPr>
              <w:spacing w:after="0"/>
              <w:rPr>
                <w:sz w:val="1"/>
                <w:szCs w:val="1"/>
                <w:color w:val="auto"/>
              </w:rPr>
            </w:pPr>
          </w:p>
        </w:tc>
      </w:tr>
      <w:tr>
        <w:trPr>
          <w:trHeight w:val="108"/>
        </w:trPr>
        <w:tc>
          <w:tcPr>
            <w:tcW w:w="200" w:type="dxa"/>
            <w:vAlign w:val="bottom"/>
          </w:tcPr>
          <w:p>
            <w:pPr>
              <w:spacing w:after="0"/>
              <w:rPr>
                <w:sz w:val="9"/>
                <w:szCs w:val="9"/>
                <w:color w:val="auto"/>
              </w:rPr>
            </w:pPr>
          </w:p>
        </w:tc>
        <w:tc>
          <w:tcPr>
            <w:tcW w:w="1220" w:type="dxa"/>
            <w:vAlign w:val="bottom"/>
          </w:tcPr>
          <w:p>
            <w:pPr>
              <w:spacing w:after="0"/>
              <w:rPr>
                <w:sz w:val="9"/>
                <w:szCs w:val="9"/>
                <w:color w:val="auto"/>
              </w:rPr>
            </w:pPr>
          </w:p>
        </w:tc>
        <w:tc>
          <w:tcPr>
            <w:tcW w:w="1540" w:type="dxa"/>
            <w:vAlign w:val="bottom"/>
          </w:tcPr>
          <w:p>
            <w:pPr>
              <w:spacing w:after="0"/>
              <w:rPr>
                <w:sz w:val="9"/>
                <w:szCs w:val="9"/>
                <w:color w:val="auto"/>
              </w:rPr>
            </w:pPr>
          </w:p>
        </w:tc>
        <w:tc>
          <w:tcPr>
            <w:tcW w:w="302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231"/>
        </w:trPr>
        <w:tc>
          <w:tcPr>
            <w:tcW w:w="200" w:type="dxa"/>
            <w:vAlign w:val="bottom"/>
          </w:tcPr>
          <w:p>
            <w:pPr>
              <w:spacing w:after="0"/>
              <w:rPr>
                <w:sz w:val="20"/>
                <w:szCs w:val="20"/>
                <w:color w:val="auto"/>
              </w:rPr>
            </w:pPr>
          </w:p>
        </w:tc>
        <w:tc>
          <w:tcPr>
            <w:tcW w:w="1220" w:type="dxa"/>
            <w:vAlign w:val="bottom"/>
          </w:tcPr>
          <w:p>
            <w:pPr>
              <w:jc w:val="right"/>
              <w:ind w:right="820"/>
              <w:spacing w:after="0"/>
              <w:rPr>
                <w:sz w:val="20"/>
                <w:szCs w:val="20"/>
                <w:color w:val="auto"/>
              </w:rPr>
            </w:pPr>
            <w:r>
              <w:rPr>
                <w:rFonts w:ascii="Times New Roman" w:cs="Times New Roman" w:eastAsia="Times New Roman" w:hAnsi="Times New Roman"/>
                <w:sz w:val="16"/>
                <w:szCs w:val="16"/>
                <w:color w:val="auto"/>
              </w:rPr>
              <w:t>1.2</w:t>
            </w:r>
          </w:p>
        </w:tc>
        <w:tc>
          <w:tcPr>
            <w:tcW w:w="1540" w:type="dxa"/>
            <w:vAlign w:val="bottom"/>
          </w:tcPr>
          <w:p>
            <w:pPr>
              <w:spacing w:after="0"/>
              <w:rPr>
                <w:sz w:val="20"/>
                <w:szCs w:val="20"/>
                <w:color w:val="auto"/>
              </w:rPr>
            </w:pPr>
          </w:p>
        </w:tc>
        <w:tc>
          <w:tcPr>
            <w:tcW w:w="3020" w:type="dxa"/>
            <w:vAlign w:val="bottom"/>
          </w:tcPr>
          <w:p>
            <w:pPr>
              <w:spacing w:after="0"/>
              <w:rPr>
                <w:sz w:val="20"/>
                <w:szCs w:val="20"/>
                <w:color w:val="auto"/>
              </w:rPr>
            </w:pPr>
          </w:p>
        </w:tc>
        <w:tc>
          <w:tcPr>
            <w:tcW w:w="0" w:type="dxa"/>
            <w:vAlign w:val="bottom"/>
          </w:tcPr>
          <w:p>
            <w:pPr>
              <w:spacing w:after="0"/>
              <w:rPr>
                <w:sz w:val="1"/>
                <w:szCs w:val="1"/>
                <w:color w:val="auto"/>
              </w:rPr>
            </w:pPr>
          </w:p>
        </w:tc>
      </w:tr>
      <w:tr>
        <w:trPr>
          <w:trHeight w:val="242"/>
        </w:trPr>
        <w:tc>
          <w:tcPr>
            <w:tcW w:w="200" w:type="dxa"/>
            <w:vAlign w:val="bottom"/>
          </w:tcPr>
          <w:p>
            <w:pPr>
              <w:spacing w:after="0"/>
              <w:rPr>
                <w:sz w:val="21"/>
                <w:szCs w:val="21"/>
                <w:color w:val="auto"/>
              </w:rPr>
            </w:pPr>
          </w:p>
        </w:tc>
        <w:tc>
          <w:tcPr>
            <w:tcW w:w="1220" w:type="dxa"/>
            <w:vAlign w:val="bottom"/>
          </w:tcPr>
          <w:p>
            <w:pPr>
              <w:spacing w:after="0"/>
              <w:rPr>
                <w:sz w:val="21"/>
                <w:szCs w:val="21"/>
                <w:color w:val="auto"/>
              </w:rPr>
            </w:pPr>
          </w:p>
        </w:tc>
        <w:tc>
          <w:tcPr>
            <w:tcW w:w="1540" w:type="dxa"/>
            <w:vAlign w:val="bottom"/>
          </w:tcPr>
          <w:p>
            <w:pPr>
              <w:spacing w:after="0"/>
              <w:rPr>
                <w:sz w:val="21"/>
                <w:szCs w:val="21"/>
                <w:color w:val="auto"/>
              </w:rPr>
            </w:pPr>
          </w:p>
        </w:tc>
        <w:tc>
          <w:tcPr>
            <w:tcW w:w="3020" w:type="dxa"/>
            <w:vAlign w:val="bottom"/>
          </w:tcPr>
          <w:p>
            <w:pPr>
              <w:jc w:val="right"/>
              <w:spacing w:after="0"/>
              <w:rPr>
                <w:sz w:val="20"/>
                <w:szCs w:val="20"/>
                <w:color w:val="auto"/>
              </w:rPr>
            </w:pPr>
            <w:r>
              <w:rPr>
                <w:rFonts w:ascii="Times New Roman" w:cs="Times New Roman" w:eastAsia="Times New Roman" w:hAnsi="Times New Roman"/>
                <w:sz w:val="16"/>
                <w:szCs w:val="16"/>
                <w:color w:val="auto"/>
              </w:rPr>
              <w:t>1</w:t>
            </w:r>
          </w:p>
        </w:tc>
        <w:tc>
          <w:tcPr>
            <w:tcW w:w="0" w:type="dxa"/>
            <w:vAlign w:val="bottom"/>
          </w:tcPr>
          <w:p>
            <w:pPr>
              <w:spacing w:after="0"/>
              <w:rPr>
                <w:sz w:val="1"/>
                <w:szCs w:val="1"/>
                <w:color w:val="auto"/>
              </w:rPr>
            </w:pPr>
          </w:p>
        </w:tc>
      </w:tr>
      <w:tr>
        <w:trPr>
          <w:trHeight w:val="278"/>
        </w:trPr>
        <w:tc>
          <w:tcPr>
            <w:tcW w:w="200" w:type="dxa"/>
            <w:vAlign w:val="bottom"/>
            <w:vMerge w:val="restart"/>
            <w:textDirection w:val="btLr"/>
          </w:tcPr>
          <w:p>
            <w:pPr>
              <w:ind w:left="13"/>
              <w:spacing w:after="0"/>
              <w:rPr>
                <w:sz w:val="20"/>
                <w:szCs w:val="20"/>
                <w:color w:val="auto"/>
              </w:rPr>
            </w:pPr>
            <w:r>
              <w:rPr>
                <w:rFonts w:ascii="Times New Roman" w:cs="Times New Roman" w:eastAsia="Times New Roman" w:hAnsi="Times New Roman"/>
                <w:sz w:val="16"/>
                <w:szCs w:val="16"/>
                <w:b w:val="1"/>
                <w:bCs w:val="1"/>
                <w:color w:val="auto"/>
                <w:w w:val="96"/>
              </w:rPr>
              <w:t>Morfología</w:t>
            </w:r>
          </w:p>
        </w:tc>
        <w:tc>
          <w:tcPr>
            <w:tcW w:w="1220" w:type="dxa"/>
            <w:vAlign w:val="bottom"/>
          </w:tcPr>
          <w:p>
            <w:pPr>
              <w:jc w:val="right"/>
              <w:ind w:right="820"/>
              <w:spacing w:after="0"/>
              <w:rPr>
                <w:sz w:val="20"/>
                <w:szCs w:val="20"/>
                <w:color w:val="auto"/>
              </w:rPr>
            </w:pPr>
            <w:r>
              <w:rPr>
                <w:rFonts w:ascii="Times New Roman" w:cs="Times New Roman" w:eastAsia="Times New Roman" w:hAnsi="Times New Roman"/>
                <w:sz w:val="16"/>
                <w:szCs w:val="16"/>
                <w:color w:val="auto"/>
              </w:rPr>
              <w:t>0.2</w:t>
            </w:r>
          </w:p>
        </w:tc>
        <w:tc>
          <w:tcPr>
            <w:tcW w:w="1540" w:type="dxa"/>
            <w:vAlign w:val="bottom"/>
          </w:tcPr>
          <w:p>
            <w:pPr>
              <w:spacing w:after="0"/>
              <w:rPr>
                <w:sz w:val="24"/>
                <w:szCs w:val="24"/>
                <w:color w:val="auto"/>
              </w:rPr>
            </w:pPr>
          </w:p>
        </w:tc>
        <w:tc>
          <w:tcPr>
            <w:tcW w:w="30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552"/>
        </w:trPr>
        <w:tc>
          <w:tcPr>
            <w:tcW w:w="200" w:type="dxa"/>
            <w:vAlign w:val="bottom"/>
            <w:vMerge w:val="continue"/>
          </w:tcPr>
          <w:p>
            <w:pPr>
              <w:spacing w:after="0"/>
              <w:rPr>
                <w:sz w:val="24"/>
                <w:szCs w:val="24"/>
                <w:color w:val="auto"/>
              </w:rPr>
            </w:pPr>
          </w:p>
        </w:tc>
        <w:tc>
          <w:tcPr>
            <w:tcW w:w="1220" w:type="dxa"/>
            <w:vAlign w:val="bottom"/>
          </w:tcPr>
          <w:p>
            <w:pPr>
              <w:jc w:val="right"/>
              <w:ind w:right="820"/>
              <w:spacing w:after="0"/>
              <w:rPr>
                <w:sz w:val="20"/>
                <w:szCs w:val="20"/>
                <w:color w:val="auto"/>
              </w:rPr>
            </w:pPr>
            <w:r>
              <w:rPr>
                <w:rFonts w:ascii="Times New Roman" w:cs="Times New Roman" w:eastAsia="Times New Roman" w:hAnsi="Times New Roman"/>
                <w:sz w:val="16"/>
                <w:szCs w:val="16"/>
                <w:color w:val="auto"/>
              </w:rPr>
              <w:t>-0.8</w:t>
            </w:r>
          </w:p>
        </w:tc>
        <w:tc>
          <w:tcPr>
            <w:tcW w:w="1540" w:type="dxa"/>
            <w:vAlign w:val="bottom"/>
          </w:tcPr>
          <w:p>
            <w:pPr>
              <w:spacing w:after="0"/>
              <w:rPr>
                <w:sz w:val="24"/>
                <w:szCs w:val="24"/>
                <w:color w:val="auto"/>
              </w:rPr>
            </w:pPr>
          </w:p>
        </w:tc>
        <w:tc>
          <w:tcPr>
            <w:tcW w:w="30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21"/>
        </w:trPr>
        <w:tc>
          <w:tcPr>
            <w:tcW w:w="200" w:type="dxa"/>
            <w:vAlign w:val="bottom"/>
            <w:textDirection w:val="btLr"/>
          </w:tcPr>
          <w:p>
            <w:pPr>
              <w:ind w:left="13"/>
              <w:spacing w:after="0"/>
              <w:rPr>
                <w:sz w:val="20"/>
                <w:szCs w:val="20"/>
                <w:color w:val="auto"/>
              </w:rPr>
            </w:pPr>
            <w:r>
              <w:rPr>
                <w:rFonts w:ascii="Times New Roman" w:cs="Times New Roman" w:eastAsia="Times New Roman" w:hAnsi="Times New Roman"/>
                <w:sz w:val="16"/>
                <w:szCs w:val="16"/>
                <w:b w:val="1"/>
                <w:bCs w:val="1"/>
                <w:color w:val="auto"/>
                <w:w w:val="90"/>
              </w:rPr>
              <w:t>C.P.1</w:t>
            </w:r>
          </w:p>
        </w:tc>
        <w:tc>
          <w:tcPr>
            <w:tcW w:w="1220" w:type="dxa"/>
            <w:vAlign w:val="bottom"/>
            <w:vMerge w:val="restart"/>
          </w:tcPr>
          <w:p>
            <w:pPr>
              <w:jc w:val="right"/>
              <w:ind w:right="820"/>
              <w:spacing w:after="0"/>
              <w:rPr>
                <w:sz w:val="20"/>
                <w:szCs w:val="20"/>
                <w:color w:val="auto"/>
              </w:rPr>
            </w:pPr>
            <w:r>
              <w:rPr>
                <w:rFonts w:ascii="Times New Roman" w:cs="Times New Roman" w:eastAsia="Times New Roman" w:hAnsi="Times New Roman"/>
                <w:sz w:val="16"/>
                <w:szCs w:val="16"/>
                <w:color w:val="auto"/>
              </w:rPr>
              <w:t>-1.8</w:t>
            </w:r>
          </w:p>
        </w:tc>
        <w:tc>
          <w:tcPr>
            <w:tcW w:w="1540" w:type="dxa"/>
            <w:vAlign w:val="bottom"/>
          </w:tcPr>
          <w:p>
            <w:pPr>
              <w:spacing w:after="0"/>
              <w:rPr>
                <w:sz w:val="24"/>
                <w:szCs w:val="24"/>
                <w:color w:val="auto"/>
              </w:rPr>
            </w:pPr>
          </w:p>
        </w:tc>
        <w:tc>
          <w:tcPr>
            <w:tcW w:w="3020" w:type="dxa"/>
            <w:vAlign w:val="bottom"/>
          </w:tcPr>
          <w:p>
            <w:pPr>
              <w:jc w:val="right"/>
              <w:ind w:right="2320"/>
              <w:spacing w:after="0"/>
              <w:rPr>
                <w:sz w:val="20"/>
                <w:szCs w:val="20"/>
                <w:color w:val="auto"/>
              </w:rPr>
            </w:pPr>
            <w:r>
              <w:rPr>
                <w:rFonts w:ascii="Times New Roman" w:cs="Times New Roman" w:eastAsia="Times New Roman" w:hAnsi="Times New Roman"/>
                <w:sz w:val="16"/>
                <w:szCs w:val="16"/>
                <w:color w:val="auto"/>
              </w:rPr>
              <w:t>2</w:t>
            </w:r>
          </w:p>
        </w:tc>
        <w:tc>
          <w:tcPr>
            <w:tcW w:w="0" w:type="dxa"/>
            <w:vAlign w:val="bottom"/>
          </w:tcPr>
          <w:p>
            <w:pPr>
              <w:spacing w:after="0"/>
              <w:rPr>
                <w:sz w:val="1"/>
                <w:szCs w:val="1"/>
                <w:color w:val="auto"/>
              </w:rPr>
            </w:pPr>
          </w:p>
        </w:tc>
      </w:tr>
      <w:tr>
        <w:trPr>
          <w:trHeight w:val="86"/>
        </w:trPr>
        <w:tc>
          <w:tcPr>
            <w:tcW w:w="200" w:type="dxa"/>
            <w:vAlign w:val="bottom"/>
          </w:tcPr>
          <w:p>
            <w:pPr>
              <w:spacing w:after="0"/>
              <w:rPr>
                <w:sz w:val="7"/>
                <w:szCs w:val="7"/>
                <w:color w:val="auto"/>
              </w:rPr>
            </w:pPr>
          </w:p>
        </w:tc>
        <w:tc>
          <w:tcPr>
            <w:tcW w:w="1220" w:type="dxa"/>
            <w:vAlign w:val="bottom"/>
            <w:vMerge w:val="continue"/>
          </w:tcPr>
          <w:p>
            <w:pPr>
              <w:spacing w:after="0"/>
              <w:rPr>
                <w:sz w:val="7"/>
                <w:szCs w:val="7"/>
                <w:color w:val="auto"/>
              </w:rPr>
            </w:pPr>
          </w:p>
        </w:tc>
        <w:tc>
          <w:tcPr>
            <w:tcW w:w="1540" w:type="dxa"/>
            <w:vAlign w:val="bottom"/>
          </w:tcPr>
          <w:p>
            <w:pPr>
              <w:spacing w:after="0"/>
              <w:rPr>
                <w:sz w:val="7"/>
                <w:szCs w:val="7"/>
                <w:color w:val="auto"/>
              </w:rPr>
            </w:pPr>
          </w:p>
        </w:tc>
        <w:tc>
          <w:tcPr>
            <w:tcW w:w="3020" w:type="dxa"/>
            <w:vAlign w:val="bottom"/>
          </w:tcPr>
          <w:p>
            <w:pPr>
              <w:spacing w:after="0"/>
              <w:rPr>
                <w:sz w:val="7"/>
                <w:szCs w:val="7"/>
                <w:color w:val="auto"/>
              </w:rPr>
            </w:pPr>
          </w:p>
        </w:tc>
        <w:tc>
          <w:tcPr>
            <w:tcW w:w="0" w:type="dxa"/>
            <w:vAlign w:val="bottom"/>
          </w:tcPr>
          <w:p>
            <w:pPr>
              <w:spacing w:after="0"/>
              <w:rPr>
                <w:sz w:val="1"/>
                <w:szCs w:val="1"/>
                <w:color w:val="auto"/>
              </w:rPr>
            </w:pPr>
          </w:p>
        </w:tc>
      </w:tr>
      <w:tr>
        <w:trPr>
          <w:trHeight w:val="540"/>
        </w:trPr>
        <w:tc>
          <w:tcPr>
            <w:tcW w:w="200" w:type="dxa"/>
            <w:vAlign w:val="bottom"/>
          </w:tcPr>
          <w:p>
            <w:pPr>
              <w:spacing w:after="0"/>
              <w:rPr>
                <w:sz w:val="24"/>
                <w:szCs w:val="24"/>
                <w:color w:val="auto"/>
              </w:rPr>
            </w:pPr>
          </w:p>
        </w:tc>
        <w:tc>
          <w:tcPr>
            <w:tcW w:w="1220" w:type="dxa"/>
            <w:vAlign w:val="bottom"/>
          </w:tcPr>
          <w:p>
            <w:pPr>
              <w:jc w:val="right"/>
              <w:ind w:right="820"/>
              <w:spacing w:after="0"/>
              <w:rPr>
                <w:sz w:val="20"/>
                <w:szCs w:val="20"/>
                <w:color w:val="auto"/>
              </w:rPr>
            </w:pPr>
            <w:r>
              <w:rPr>
                <w:rFonts w:ascii="Times New Roman" w:cs="Times New Roman" w:eastAsia="Times New Roman" w:hAnsi="Times New Roman"/>
                <w:sz w:val="16"/>
                <w:szCs w:val="16"/>
                <w:color w:val="auto"/>
              </w:rPr>
              <w:t>-2.8</w:t>
            </w:r>
          </w:p>
        </w:tc>
        <w:tc>
          <w:tcPr>
            <w:tcW w:w="1540" w:type="dxa"/>
            <w:vAlign w:val="bottom"/>
          </w:tcPr>
          <w:p>
            <w:pPr>
              <w:spacing w:after="0"/>
              <w:rPr>
                <w:sz w:val="24"/>
                <w:szCs w:val="24"/>
                <w:color w:val="auto"/>
              </w:rPr>
            </w:pPr>
          </w:p>
        </w:tc>
        <w:tc>
          <w:tcPr>
            <w:tcW w:w="30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520"/>
        </w:trPr>
        <w:tc>
          <w:tcPr>
            <w:tcW w:w="200" w:type="dxa"/>
            <w:vAlign w:val="bottom"/>
          </w:tcPr>
          <w:p>
            <w:pPr>
              <w:spacing w:after="0"/>
              <w:rPr>
                <w:sz w:val="24"/>
                <w:szCs w:val="24"/>
                <w:color w:val="auto"/>
              </w:rPr>
            </w:pPr>
          </w:p>
        </w:tc>
        <w:tc>
          <w:tcPr>
            <w:tcW w:w="1220" w:type="dxa"/>
            <w:vAlign w:val="bottom"/>
          </w:tcPr>
          <w:p>
            <w:pPr>
              <w:jc w:val="right"/>
              <w:ind w:right="820"/>
              <w:spacing w:after="0"/>
              <w:rPr>
                <w:sz w:val="20"/>
                <w:szCs w:val="20"/>
                <w:color w:val="auto"/>
              </w:rPr>
            </w:pPr>
            <w:r>
              <w:rPr>
                <w:rFonts w:ascii="Times New Roman" w:cs="Times New Roman" w:eastAsia="Times New Roman" w:hAnsi="Times New Roman"/>
                <w:sz w:val="16"/>
                <w:szCs w:val="16"/>
                <w:color w:val="auto"/>
              </w:rPr>
              <w:t>-3.8</w:t>
            </w:r>
          </w:p>
        </w:tc>
        <w:tc>
          <w:tcPr>
            <w:tcW w:w="1540" w:type="dxa"/>
            <w:vAlign w:val="bottom"/>
          </w:tcPr>
          <w:p>
            <w:pPr>
              <w:spacing w:after="0"/>
              <w:rPr>
                <w:sz w:val="24"/>
                <w:szCs w:val="24"/>
                <w:color w:val="auto"/>
              </w:rPr>
            </w:pPr>
          </w:p>
        </w:tc>
        <w:tc>
          <w:tcPr>
            <w:tcW w:w="3020" w:type="dxa"/>
            <w:vAlign w:val="bottom"/>
          </w:tcPr>
          <w:p>
            <w:pPr>
              <w:spacing w:after="0"/>
              <w:rPr>
                <w:sz w:val="24"/>
                <w:szCs w:val="24"/>
                <w:color w:val="auto"/>
              </w:rPr>
            </w:pPr>
          </w:p>
        </w:tc>
        <w:tc>
          <w:tcPr>
            <w:tcW w:w="0" w:type="dxa"/>
            <w:vAlign w:val="bottom"/>
          </w:tcPr>
          <w:p>
            <w:pPr>
              <w:spacing w:after="0"/>
              <w:rPr>
                <w:sz w:val="1"/>
                <w:szCs w:val="1"/>
                <w:color w:val="auto"/>
              </w:rPr>
            </w:pPr>
          </w:p>
        </w:tc>
      </w:tr>
    </w:tbl>
    <w:p>
      <w:pPr>
        <w:spacing w:after="0" w:line="52" w:lineRule="exact"/>
        <w:rPr>
          <w:sz w:val="20"/>
          <w:szCs w:val="20"/>
          <w:color w:val="auto"/>
        </w:rPr>
      </w:pPr>
    </w:p>
    <w:tbl>
      <w:tblPr>
        <w:tblLayout w:type="fixed"/>
        <w:tblInd w:w="1620" w:type="dxa"/>
        <w:tblCellMar>
          <w:top w:w="0" w:type="dxa"/>
          <w:left w:w="0" w:type="dxa"/>
          <w:bottom w:w="0" w:type="dxa"/>
          <w:right w:w="0" w:type="dxa"/>
        </w:tblCellMar>
      </w:tblPr>
      <w:tr>
        <w:trPr>
          <w:trHeight w:val="191"/>
        </w:trPr>
        <w:tc>
          <w:tcPr>
            <w:tcW w:w="1060" w:type="dxa"/>
            <w:vAlign w:val="bottom"/>
          </w:tcPr>
          <w:p>
            <w:pPr>
              <w:jc w:val="center"/>
              <w:ind w:right="220"/>
              <w:spacing w:after="0"/>
              <w:rPr>
                <w:sz w:val="20"/>
                <w:szCs w:val="20"/>
                <w:color w:val="auto"/>
              </w:rPr>
            </w:pPr>
            <w:r>
              <w:rPr>
                <w:rFonts w:ascii="Times New Roman" w:cs="Times New Roman" w:eastAsia="Times New Roman" w:hAnsi="Times New Roman"/>
                <w:sz w:val="16"/>
                <w:szCs w:val="16"/>
                <w:b w:val="1"/>
                <w:bCs w:val="1"/>
                <w:i w:val="1"/>
                <w:iCs w:val="1"/>
                <w:color w:val="auto"/>
                <w:w w:val="94"/>
              </w:rPr>
              <w:t>S. aeneus</w:t>
            </w:r>
          </w:p>
        </w:tc>
        <w:tc>
          <w:tcPr>
            <w:tcW w:w="1180" w:type="dxa"/>
            <w:vAlign w:val="bottom"/>
          </w:tcPr>
          <w:p>
            <w:pPr>
              <w:jc w:val="center"/>
              <w:ind w:right="60"/>
              <w:spacing w:after="0"/>
              <w:rPr>
                <w:sz w:val="20"/>
                <w:szCs w:val="20"/>
                <w:color w:val="auto"/>
              </w:rPr>
            </w:pPr>
            <w:r>
              <w:rPr>
                <w:rFonts w:ascii="Times New Roman" w:cs="Times New Roman" w:eastAsia="Times New Roman" w:hAnsi="Times New Roman"/>
                <w:sz w:val="16"/>
                <w:szCs w:val="16"/>
                <w:b w:val="1"/>
                <w:bCs w:val="1"/>
                <w:i w:val="1"/>
                <w:iCs w:val="1"/>
                <w:color w:val="auto"/>
                <w:w w:val="97"/>
              </w:rPr>
              <w:t>S. bicanthalis</w:t>
            </w:r>
          </w:p>
        </w:tc>
        <w:tc>
          <w:tcPr>
            <w:tcW w:w="1160" w:type="dxa"/>
            <w:vAlign w:val="bottom"/>
            <w:gridSpan w:val="2"/>
          </w:tcPr>
          <w:p>
            <w:pPr>
              <w:jc w:val="center"/>
              <w:spacing w:after="0"/>
              <w:rPr>
                <w:sz w:val="20"/>
                <w:szCs w:val="20"/>
                <w:color w:val="auto"/>
              </w:rPr>
            </w:pPr>
            <w:r>
              <w:rPr>
                <w:rFonts w:ascii="Times New Roman" w:cs="Times New Roman" w:eastAsia="Times New Roman" w:hAnsi="Times New Roman"/>
                <w:sz w:val="16"/>
                <w:szCs w:val="16"/>
                <w:b w:val="1"/>
                <w:bCs w:val="1"/>
                <w:i w:val="1"/>
                <w:iCs w:val="1"/>
                <w:color w:val="auto"/>
                <w:w w:val="94"/>
              </w:rPr>
              <w:t>S. aeneus</w:t>
            </w:r>
          </w:p>
        </w:tc>
        <w:tc>
          <w:tcPr>
            <w:tcW w:w="1080" w:type="dxa"/>
            <w:vAlign w:val="bottom"/>
          </w:tcPr>
          <w:p>
            <w:pPr>
              <w:jc w:val="center"/>
              <w:ind w:left="100"/>
              <w:spacing w:after="0"/>
              <w:rPr>
                <w:sz w:val="20"/>
                <w:szCs w:val="20"/>
                <w:color w:val="auto"/>
              </w:rPr>
            </w:pPr>
            <w:r>
              <w:rPr>
                <w:rFonts w:ascii="Times New Roman" w:cs="Times New Roman" w:eastAsia="Times New Roman" w:hAnsi="Times New Roman"/>
                <w:sz w:val="16"/>
                <w:szCs w:val="16"/>
                <w:b w:val="1"/>
                <w:bCs w:val="1"/>
                <w:i w:val="1"/>
                <w:iCs w:val="1"/>
                <w:color w:val="auto"/>
              </w:rPr>
              <w:t>S. bicanthalis</w:t>
            </w:r>
          </w:p>
        </w:tc>
      </w:tr>
      <w:tr>
        <w:trPr>
          <w:trHeight w:val="220"/>
        </w:trPr>
        <w:tc>
          <w:tcPr>
            <w:tcW w:w="1060" w:type="dxa"/>
            <w:vAlign w:val="bottom"/>
          </w:tcPr>
          <w:p>
            <w:pPr>
              <w:jc w:val="center"/>
              <w:ind w:right="200"/>
              <w:spacing w:after="0"/>
              <w:rPr>
                <w:sz w:val="20"/>
                <w:szCs w:val="20"/>
                <w:color w:val="auto"/>
              </w:rPr>
            </w:pPr>
            <w:r>
              <w:rPr>
                <w:rFonts w:ascii="Times New Roman" w:cs="Times New Roman" w:eastAsia="Times New Roman" w:hAnsi="Times New Roman"/>
                <w:sz w:val="16"/>
                <w:szCs w:val="16"/>
                <w:b w:val="1"/>
                <w:bCs w:val="1"/>
                <w:color w:val="auto"/>
              </w:rPr>
              <w:t>2645 msnm</w:t>
            </w:r>
          </w:p>
        </w:tc>
        <w:tc>
          <w:tcPr>
            <w:tcW w:w="1180" w:type="dxa"/>
            <w:vAlign w:val="bottom"/>
          </w:tcPr>
          <w:p>
            <w:pPr>
              <w:jc w:val="center"/>
              <w:ind w:right="40"/>
              <w:spacing w:after="0"/>
              <w:rPr>
                <w:sz w:val="20"/>
                <w:szCs w:val="20"/>
                <w:color w:val="auto"/>
              </w:rPr>
            </w:pPr>
            <w:r>
              <w:rPr>
                <w:rFonts w:ascii="Times New Roman" w:cs="Times New Roman" w:eastAsia="Times New Roman" w:hAnsi="Times New Roman"/>
                <w:sz w:val="16"/>
                <w:szCs w:val="16"/>
                <w:b w:val="1"/>
                <w:bCs w:val="1"/>
                <w:color w:val="auto"/>
              </w:rPr>
              <w:t>2857 msnm</w:t>
            </w:r>
          </w:p>
        </w:tc>
        <w:tc>
          <w:tcPr>
            <w:tcW w:w="1160" w:type="dxa"/>
            <w:vAlign w:val="bottom"/>
            <w:gridSpan w:val="2"/>
          </w:tcPr>
          <w:p>
            <w:pPr>
              <w:jc w:val="center"/>
              <w:spacing w:after="0"/>
              <w:rPr>
                <w:sz w:val="20"/>
                <w:szCs w:val="20"/>
                <w:color w:val="auto"/>
              </w:rPr>
            </w:pPr>
            <w:r>
              <w:rPr>
                <w:rFonts w:ascii="Times New Roman" w:cs="Times New Roman" w:eastAsia="Times New Roman" w:hAnsi="Times New Roman"/>
                <w:sz w:val="16"/>
                <w:szCs w:val="16"/>
                <w:b w:val="1"/>
                <w:bCs w:val="1"/>
                <w:color w:val="auto"/>
              </w:rPr>
              <w:t>3245 msnm</w:t>
            </w:r>
          </w:p>
        </w:tc>
        <w:tc>
          <w:tcPr>
            <w:tcW w:w="1080" w:type="dxa"/>
            <w:vAlign w:val="bottom"/>
          </w:tcPr>
          <w:p>
            <w:pPr>
              <w:jc w:val="center"/>
              <w:ind w:left="100"/>
              <w:spacing w:after="0"/>
              <w:rPr>
                <w:sz w:val="20"/>
                <w:szCs w:val="20"/>
                <w:color w:val="auto"/>
              </w:rPr>
            </w:pPr>
            <w:r>
              <w:rPr>
                <w:rFonts w:ascii="Times New Roman" w:cs="Times New Roman" w:eastAsia="Times New Roman" w:hAnsi="Times New Roman"/>
                <w:sz w:val="16"/>
                <w:szCs w:val="16"/>
                <w:b w:val="1"/>
                <w:bCs w:val="1"/>
                <w:color w:val="auto"/>
              </w:rPr>
              <w:t>4200 msnm</w:t>
            </w:r>
          </w:p>
        </w:tc>
      </w:tr>
      <w:tr>
        <w:trPr>
          <w:trHeight w:val="196"/>
        </w:trPr>
        <w:tc>
          <w:tcPr>
            <w:tcW w:w="1060" w:type="dxa"/>
            <w:vAlign w:val="bottom"/>
          </w:tcPr>
          <w:p>
            <w:pPr>
              <w:spacing w:after="0"/>
              <w:rPr>
                <w:sz w:val="17"/>
                <w:szCs w:val="17"/>
                <w:color w:val="auto"/>
              </w:rPr>
            </w:pPr>
          </w:p>
        </w:tc>
        <w:tc>
          <w:tcPr>
            <w:tcW w:w="1180" w:type="dxa"/>
            <w:vAlign w:val="bottom"/>
          </w:tcPr>
          <w:p>
            <w:pPr>
              <w:spacing w:after="0"/>
              <w:rPr>
                <w:sz w:val="17"/>
                <w:szCs w:val="17"/>
                <w:color w:val="auto"/>
              </w:rPr>
            </w:pPr>
          </w:p>
        </w:tc>
        <w:tc>
          <w:tcPr>
            <w:tcW w:w="1160" w:type="dxa"/>
            <w:vAlign w:val="bottom"/>
            <w:gridSpan w:val="2"/>
          </w:tcPr>
          <w:p>
            <w:pPr>
              <w:spacing w:after="0"/>
              <w:rPr>
                <w:sz w:val="17"/>
                <w:szCs w:val="17"/>
                <w:color w:val="auto"/>
              </w:rPr>
            </w:pPr>
          </w:p>
        </w:tc>
        <w:tc>
          <w:tcPr>
            <w:tcW w:w="1080" w:type="dxa"/>
            <w:vAlign w:val="bottom"/>
          </w:tcPr>
          <w:p>
            <w:pPr>
              <w:spacing w:after="0"/>
              <w:rPr>
                <w:sz w:val="17"/>
                <w:szCs w:val="17"/>
                <w:color w:val="auto"/>
              </w:rPr>
            </w:pPr>
          </w:p>
        </w:tc>
      </w:tr>
      <w:tr>
        <w:trPr>
          <w:trHeight w:val="260"/>
        </w:trPr>
        <w:tc>
          <w:tcPr>
            <w:tcW w:w="1060" w:type="dxa"/>
            <w:vAlign w:val="bottom"/>
            <w:tcBorders>
              <w:right w:val="single" w:sz="8" w:color="auto"/>
            </w:tcBorders>
          </w:tcPr>
          <w:p>
            <w:pPr>
              <w:spacing w:after="0"/>
              <w:rPr>
                <w:sz w:val="22"/>
                <w:szCs w:val="22"/>
                <w:color w:val="auto"/>
              </w:rPr>
            </w:pPr>
          </w:p>
        </w:tc>
        <w:tc>
          <w:tcPr>
            <w:tcW w:w="1180" w:type="dxa"/>
            <w:vAlign w:val="bottom"/>
            <w:tcBorders>
              <w:top w:val="single" w:sz="8" w:color="auto"/>
            </w:tcBorders>
          </w:tcPr>
          <w:p>
            <w:pPr>
              <w:jc w:val="center"/>
              <w:ind w:right="60"/>
              <w:spacing w:after="0"/>
              <w:rPr>
                <w:sz w:val="20"/>
                <w:szCs w:val="20"/>
                <w:color w:val="auto"/>
              </w:rPr>
            </w:pPr>
            <w:r>
              <w:rPr>
                <w:rFonts w:ascii="Times New Roman" w:cs="Times New Roman" w:eastAsia="Times New Roman" w:hAnsi="Times New Roman"/>
                <w:sz w:val="16"/>
                <w:szCs w:val="16"/>
                <w:color w:val="auto"/>
                <w:w w:val="98"/>
              </w:rPr>
              <w:t>Grupo 1</w:t>
            </w:r>
          </w:p>
        </w:tc>
        <w:tc>
          <w:tcPr>
            <w:tcW w:w="860" w:type="dxa"/>
            <w:vAlign w:val="bottom"/>
            <w:tcBorders>
              <w:top w:val="single" w:sz="8" w:color="auto"/>
              <w:right w:val="single" w:sz="8" w:color="auto"/>
            </w:tcBorders>
          </w:tcPr>
          <w:p>
            <w:pPr>
              <w:ind w:left="240"/>
              <w:spacing w:after="0"/>
              <w:rPr>
                <w:sz w:val="20"/>
                <w:szCs w:val="20"/>
                <w:color w:val="auto"/>
              </w:rPr>
            </w:pPr>
            <w:r>
              <w:rPr>
                <w:rFonts w:ascii="Times New Roman" w:cs="Times New Roman" w:eastAsia="Times New Roman" w:hAnsi="Times New Roman"/>
                <w:sz w:val="16"/>
                <w:szCs w:val="16"/>
                <w:color w:val="auto"/>
              </w:rPr>
              <w:t>Grupo 2</w:t>
            </w:r>
          </w:p>
        </w:tc>
        <w:tc>
          <w:tcPr>
            <w:tcW w:w="300" w:type="dxa"/>
            <w:vAlign w:val="bottom"/>
          </w:tcPr>
          <w:p>
            <w:pPr>
              <w:spacing w:after="0"/>
              <w:rPr>
                <w:sz w:val="22"/>
                <w:szCs w:val="22"/>
                <w:color w:val="auto"/>
              </w:rPr>
            </w:pPr>
          </w:p>
        </w:tc>
        <w:tc>
          <w:tcPr>
            <w:tcW w:w="1080" w:type="dxa"/>
            <w:vAlign w:val="bottom"/>
          </w:tcPr>
          <w:p>
            <w:pPr>
              <w:spacing w:after="0"/>
              <w:rPr>
                <w:sz w:val="22"/>
                <w:szCs w:val="22"/>
                <w:color w:val="auto"/>
              </w:rPr>
            </w:pPr>
          </w:p>
        </w:tc>
      </w:tr>
      <w:tr>
        <w:trPr>
          <w:trHeight w:val="70"/>
        </w:trPr>
        <w:tc>
          <w:tcPr>
            <w:tcW w:w="1060" w:type="dxa"/>
            <w:vAlign w:val="bottom"/>
            <w:tcBorders>
              <w:right w:val="single" w:sz="8" w:color="auto"/>
            </w:tcBorders>
          </w:tcPr>
          <w:p>
            <w:pPr>
              <w:spacing w:after="0"/>
              <w:rPr>
                <w:sz w:val="6"/>
                <w:szCs w:val="6"/>
                <w:color w:val="auto"/>
              </w:rPr>
            </w:pPr>
          </w:p>
        </w:tc>
        <w:tc>
          <w:tcPr>
            <w:tcW w:w="1180" w:type="dxa"/>
            <w:vAlign w:val="bottom"/>
            <w:tcBorders>
              <w:bottom w:val="single" w:sz="8" w:color="auto"/>
            </w:tcBorders>
          </w:tcPr>
          <w:p>
            <w:pPr>
              <w:spacing w:after="0"/>
              <w:rPr>
                <w:sz w:val="6"/>
                <w:szCs w:val="6"/>
                <w:color w:val="auto"/>
              </w:rPr>
            </w:pPr>
          </w:p>
        </w:tc>
        <w:tc>
          <w:tcPr>
            <w:tcW w:w="860" w:type="dxa"/>
            <w:vAlign w:val="bottom"/>
            <w:tcBorders>
              <w:bottom w:val="single" w:sz="8" w:color="auto"/>
              <w:right w:val="single" w:sz="8" w:color="auto"/>
            </w:tcBorders>
          </w:tcPr>
          <w:p>
            <w:pPr>
              <w:spacing w:after="0"/>
              <w:rPr>
                <w:sz w:val="6"/>
                <w:szCs w:val="6"/>
                <w:color w:val="auto"/>
              </w:rPr>
            </w:pPr>
          </w:p>
        </w:tc>
        <w:tc>
          <w:tcPr>
            <w:tcW w:w="300" w:type="dxa"/>
            <w:vAlign w:val="bottom"/>
          </w:tcPr>
          <w:p>
            <w:pPr>
              <w:spacing w:after="0"/>
              <w:rPr>
                <w:sz w:val="6"/>
                <w:szCs w:val="6"/>
                <w:color w:val="auto"/>
              </w:rPr>
            </w:pPr>
          </w:p>
        </w:tc>
        <w:tc>
          <w:tcPr>
            <w:tcW w:w="1080" w:type="dxa"/>
            <w:vAlign w:val="bottom"/>
          </w:tcPr>
          <w:p>
            <w:pPr>
              <w:spacing w:after="0"/>
              <w:rPr>
                <w:sz w:val="6"/>
                <w:szCs w:val="6"/>
                <w:color w:val="auto"/>
              </w:rPr>
            </w:pPr>
          </w:p>
        </w:tc>
      </w:tr>
    </w:tbl>
    <w:p>
      <w:pPr>
        <w:spacing w:after="0" w:line="305" w:lineRule="exact"/>
        <w:rPr>
          <w:sz w:val="20"/>
          <w:szCs w:val="20"/>
          <w:color w:val="auto"/>
        </w:rPr>
      </w:pPr>
    </w:p>
    <w:p>
      <w:pPr>
        <w:spacing w:after="0" w:line="311" w:lineRule="auto"/>
        <w:rPr>
          <w:sz w:val="20"/>
          <w:szCs w:val="20"/>
          <w:color w:val="auto"/>
        </w:rPr>
      </w:pPr>
      <w:r>
        <w:rPr>
          <w:rFonts w:ascii="Times New Roman" w:cs="Times New Roman" w:eastAsia="Times New Roman" w:hAnsi="Times New Roman"/>
          <w:sz w:val="16"/>
          <w:szCs w:val="16"/>
          <w:color w:val="auto"/>
        </w:rPr>
        <w:t>Anova y contraste de Bonferroni para el CP1 de morfología de cuatro poblaciones de lagartijas que habitan en un gradiente altitudinal (Fuente: Ruiz, 2010).</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371"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116" w:name="page117"/>
    <w:bookmarkEnd w:id="116"/>
    <w:tbl>
      <w:tblPr>
        <w:tblLayout w:type="fixed"/>
        <w:tblInd w:w="0" w:type="dxa"/>
        <w:tblCellMar>
          <w:top w:w="0" w:type="dxa"/>
          <w:left w:w="0" w:type="dxa"/>
          <w:bottom w:w="0" w:type="dxa"/>
          <w:right w:w="0" w:type="dxa"/>
        </w:tblCellMar>
      </w:tblPr>
      <w:tr>
        <w:trPr>
          <w:trHeight w:val="62"/>
        </w:trPr>
        <w:tc>
          <w:tcPr>
            <w:tcW w:w="1160" w:type="dxa"/>
            <w:vAlign w:val="bottom"/>
            <w:vMerge w:val="restart"/>
          </w:tcPr>
          <w:p>
            <w:pPr>
              <w:jc w:val="right"/>
              <w:ind w:right="880"/>
              <w:spacing w:after="0"/>
              <w:rPr>
                <w:sz w:val="20"/>
                <w:szCs w:val="20"/>
                <w:color w:val="auto"/>
              </w:rPr>
            </w:pPr>
            <w:r>
              <w:rPr>
                <w:rFonts w:ascii="Arial Narrow" w:cs="Arial Narrow" w:eastAsia="Arial Narrow" w:hAnsi="Arial Narrow"/>
                <w:sz w:val="16"/>
                <w:szCs w:val="16"/>
                <w:color w:val="auto"/>
                <w:w w:val="82"/>
              </w:rPr>
              <w:t>116</w:t>
            </w:r>
          </w:p>
        </w:tc>
        <w:tc>
          <w:tcPr>
            <w:tcW w:w="1760" w:type="dxa"/>
            <w:vAlign w:val="bottom"/>
            <w:vMerge w:val="restart"/>
          </w:tcPr>
          <w:p>
            <w:pPr>
              <w:ind w:left="960"/>
              <w:spacing w:after="0"/>
              <w:rPr>
                <w:sz w:val="20"/>
                <w:szCs w:val="20"/>
                <w:color w:val="auto"/>
              </w:rPr>
            </w:pPr>
            <w:r>
              <w:rPr>
                <w:rFonts w:ascii="Arial Narrow" w:cs="Arial Narrow" w:eastAsia="Arial Narrow" w:hAnsi="Arial Narrow"/>
                <w:sz w:val="11"/>
                <w:szCs w:val="11"/>
                <w:color w:val="auto"/>
              </w:rPr>
              <w:t>ruiz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valencia</w:t>
            </w:r>
          </w:p>
        </w:tc>
        <w:tc>
          <w:tcPr>
            <w:tcW w:w="20" w:type="dxa"/>
            <w:vAlign w:val="bottom"/>
          </w:tcPr>
          <w:p>
            <w:pPr>
              <w:spacing w:after="0"/>
              <w:rPr>
                <w:sz w:val="5"/>
                <w:szCs w:val="5"/>
                <w:color w:val="auto"/>
              </w:rPr>
            </w:pPr>
          </w:p>
        </w:tc>
        <w:tc>
          <w:tcPr>
            <w:tcW w:w="1160" w:type="dxa"/>
            <w:vAlign w:val="bottom"/>
            <w:vMerge w:val="restart"/>
          </w:tcPr>
          <w:p>
            <w:pPr>
              <w:ind w:left="40"/>
              <w:spacing w:after="0"/>
              <w:rPr>
                <w:sz w:val="20"/>
                <w:szCs w:val="20"/>
                <w:color w:val="auto"/>
              </w:rPr>
            </w:pP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p>
        </w:tc>
        <w:tc>
          <w:tcPr>
            <w:tcW w:w="20" w:type="dxa"/>
            <w:vAlign w:val="bottom"/>
          </w:tcPr>
          <w:p>
            <w:pPr>
              <w:spacing w:after="0"/>
              <w:rPr>
                <w:sz w:val="5"/>
                <w:szCs w:val="5"/>
                <w:color w:val="auto"/>
              </w:rPr>
            </w:pPr>
          </w:p>
        </w:tc>
        <w:tc>
          <w:tcPr>
            <w:tcW w:w="960" w:type="dxa"/>
            <w:vAlign w:val="bottom"/>
            <w:vMerge w:val="restart"/>
          </w:tcPr>
          <w:p>
            <w:pPr>
              <w:ind w:left="20"/>
              <w:spacing w:after="0"/>
              <w:rPr>
                <w:sz w:val="20"/>
                <w:szCs w:val="20"/>
                <w:color w:val="auto"/>
              </w:rPr>
            </w:pP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tc>
        <w:tc>
          <w:tcPr>
            <w:tcW w:w="0" w:type="dxa"/>
            <w:vAlign w:val="bottom"/>
          </w:tcPr>
          <w:p>
            <w:pPr>
              <w:spacing w:after="0"/>
              <w:rPr>
                <w:sz w:val="1"/>
                <w:szCs w:val="1"/>
                <w:color w:val="auto"/>
              </w:rPr>
            </w:pPr>
          </w:p>
        </w:tc>
      </w:tr>
      <w:tr>
        <w:trPr>
          <w:trHeight w:val="140"/>
        </w:trPr>
        <w:tc>
          <w:tcPr>
            <w:tcW w:w="1160" w:type="dxa"/>
            <w:vAlign w:val="bottom"/>
            <w:vMerge w:val="continue"/>
          </w:tcPr>
          <w:p>
            <w:pPr>
              <w:spacing w:after="0"/>
              <w:rPr>
                <w:sz w:val="12"/>
                <w:szCs w:val="12"/>
                <w:color w:val="auto"/>
              </w:rPr>
            </w:pPr>
          </w:p>
        </w:tc>
        <w:tc>
          <w:tcPr>
            <w:tcW w:w="176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116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960" w:type="dxa"/>
            <w:vAlign w:val="bottom"/>
            <w:vMerge w:val="continue"/>
          </w:tcPr>
          <w:p>
            <w:pPr>
              <w:spacing w:after="0"/>
              <w:rPr>
                <w:sz w:val="12"/>
                <w:szCs w:val="12"/>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336" w:lineRule="exact"/>
        <w:rPr>
          <w:sz w:val="20"/>
          <w:szCs w:val="20"/>
          <w:color w:val="auto"/>
        </w:rPr>
      </w:pPr>
    </w:p>
    <w:p>
      <w:pPr>
        <w:ind w:left="3300"/>
        <w:spacing w:after="0"/>
        <w:rPr>
          <w:sz w:val="20"/>
          <w:szCs w:val="20"/>
          <w:color w:val="auto"/>
        </w:rPr>
      </w:pPr>
      <w:r>
        <w:rPr>
          <w:rFonts w:ascii="Times New Roman" w:cs="Times New Roman" w:eastAsia="Times New Roman" w:hAnsi="Times New Roman"/>
          <w:sz w:val="18"/>
          <w:szCs w:val="18"/>
          <w:color w:val="auto"/>
        </w:rPr>
        <w:t>Altitud</w:t>
      </w:r>
    </w:p>
    <w:p>
      <w:pPr>
        <w:spacing w:after="0" w:line="133" w:lineRule="exact"/>
        <w:rPr>
          <w:sz w:val="20"/>
          <w:szCs w:val="20"/>
          <w:color w:val="auto"/>
        </w:rPr>
      </w:pPr>
    </w:p>
    <w:tbl>
      <w:tblPr>
        <w:tblLayout w:type="fixed"/>
        <w:tblInd w:w="10" w:type="dxa"/>
        <w:tblCellMar>
          <w:top w:w="0" w:type="dxa"/>
          <w:left w:w="0" w:type="dxa"/>
          <w:bottom w:w="0" w:type="dxa"/>
          <w:right w:w="0" w:type="dxa"/>
        </w:tblCellMar>
      </w:tblPr>
      <w:tr>
        <w:trPr>
          <w:trHeight w:val="254"/>
        </w:trPr>
        <w:tc>
          <w:tcPr>
            <w:tcW w:w="2420" w:type="dxa"/>
            <w:vAlign w:val="bottom"/>
            <w:tcBorders>
              <w:top w:val="single" w:sz="8" w:color="auto"/>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86"/>
              </w:rPr>
              <w:t>Contrastes</w:t>
            </w:r>
          </w:p>
        </w:tc>
        <w:tc>
          <w:tcPr>
            <w:tcW w:w="2380" w:type="dxa"/>
            <w:vAlign w:val="bottom"/>
            <w:tcBorders>
              <w:top w:val="single" w:sz="8" w:color="auto"/>
              <w:right w:val="single" w:sz="8" w:color="auto"/>
            </w:tcBorders>
          </w:tcPr>
          <w:p>
            <w:pPr>
              <w:ind w:left="840"/>
              <w:spacing w:after="0"/>
              <w:rPr>
                <w:sz w:val="20"/>
                <w:szCs w:val="20"/>
                <w:color w:val="auto"/>
              </w:rPr>
            </w:pPr>
            <w:r>
              <w:rPr>
                <w:rFonts w:ascii="Times New Roman" w:cs="Times New Roman" w:eastAsia="Times New Roman" w:hAnsi="Times New Roman"/>
                <w:sz w:val="16"/>
                <w:szCs w:val="16"/>
                <w:i w:val="1"/>
                <w:iCs w:val="1"/>
                <w:color w:val="auto"/>
              </w:rPr>
              <w:t>Diferencias</w:t>
            </w:r>
          </w:p>
        </w:tc>
        <w:tc>
          <w:tcPr>
            <w:tcW w:w="2400" w:type="dxa"/>
            <w:vAlign w:val="bottom"/>
            <w:tcBorders>
              <w:top w:val="single" w:sz="8" w:color="auto"/>
              <w:right w:val="single" w:sz="8" w:color="auto"/>
            </w:tcBorders>
          </w:tcPr>
          <w:p>
            <w:pPr>
              <w:ind w:left="880"/>
              <w:spacing w:after="0"/>
              <w:rPr>
                <w:sz w:val="20"/>
                <w:szCs w:val="20"/>
                <w:color w:val="auto"/>
              </w:rPr>
            </w:pPr>
            <w:r>
              <w:rPr>
                <w:rFonts w:ascii="Times New Roman" w:cs="Times New Roman" w:eastAsia="Times New Roman" w:hAnsi="Times New Roman"/>
                <w:sz w:val="16"/>
                <w:szCs w:val="16"/>
                <w:i w:val="1"/>
                <w:iCs w:val="1"/>
                <w:color w:val="auto"/>
              </w:rPr>
              <w:t>-/+ límites</w:t>
            </w:r>
          </w:p>
        </w:tc>
      </w:tr>
      <w:tr>
        <w:trPr>
          <w:trHeight w:val="20"/>
        </w:trPr>
        <w:tc>
          <w:tcPr>
            <w:tcW w:w="2420" w:type="dxa"/>
            <w:vAlign w:val="bottom"/>
            <w:tcBorders>
              <w:left w:val="single" w:sz="8" w:color="auto"/>
              <w:bottom w:val="single" w:sz="8" w:color="auto"/>
              <w:right w:val="single" w:sz="8" w:color="auto"/>
            </w:tcBorders>
          </w:tcPr>
          <w:p>
            <w:pPr>
              <w:spacing w:after="0" w:line="20" w:lineRule="exact"/>
              <w:rPr>
                <w:sz w:val="1"/>
                <w:szCs w:val="1"/>
                <w:color w:val="auto"/>
              </w:rPr>
            </w:pPr>
          </w:p>
        </w:tc>
        <w:tc>
          <w:tcPr>
            <w:tcW w:w="2380" w:type="dxa"/>
            <w:vAlign w:val="bottom"/>
            <w:tcBorders>
              <w:bottom w:val="single" w:sz="8" w:color="auto"/>
              <w:right w:val="single" w:sz="8" w:color="auto"/>
            </w:tcBorders>
          </w:tcPr>
          <w:p>
            <w:pPr>
              <w:spacing w:after="0" w:line="20" w:lineRule="exact"/>
              <w:rPr>
                <w:sz w:val="1"/>
                <w:szCs w:val="1"/>
                <w:color w:val="auto"/>
              </w:rPr>
            </w:pPr>
          </w:p>
        </w:tc>
        <w:tc>
          <w:tcPr>
            <w:tcW w:w="2400" w:type="dxa"/>
            <w:vAlign w:val="bottom"/>
            <w:tcBorders>
              <w:bottom w:val="single" w:sz="8" w:color="auto"/>
              <w:right w:val="single" w:sz="8" w:color="auto"/>
            </w:tcBorders>
          </w:tcPr>
          <w:p>
            <w:pPr>
              <w:spacing w:after="0" w:line="20" w:lineRule="exact"/>
              <w:rPr>
                <w:sz w:val="1"/>
                <w:szCs w:val="1"/>
                <w:color w:val="auto"/>
              </w:rPr>
            </w:pPr>
          </w:p>
        </w:tc>
      </w:tr>
      <w:tr>
        <w:trPr>
          <w:trHeight w:val="246"/>
        </w:trPr>
        <w:tc>
          <w:tcPr>
            <w:tcW w:w="242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1-2</w:t>
            </w:r>
          </w:p>
        </w:tc>
        <w:tc>
          <w:tcPr>
            <w:tcW w:w="238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6"/>
              </w:rPr>
              <w:t>*3.63078</w:t>
            </w:r>
          </w:p>
        </w:tc>
        <w:tc>
          <w:tcPr>
            <w:tcW w:w="240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2.14888</w:t>
            </w:r>
          </w:p>
        </w:tc>
      </w:tr>
      <w:tr>
        <w:trPr>
          <w:trHeight w:val="255"/>
        </w:trPr>
        <w:tc>
          <w:tcPr>
            <w:tcW w:w="242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1-3</w:t>
            </w:r>
          </w:p>
        </w:tc>
        <w:tc>
          <w:tcPr>
            <w:tcW w:w="238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0.087653</w:t>
            </w:r>
          </w:p>
        </w:tc>
        <w:tc>
          <w:tcPr>
            <w:tcW w:w="240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1.8585</w:t>
            </w:r>
          </w:p>
        </w:tc>
      </w:tr>
      <w:tr>
        <w:trPr>
          <w:trHeight w:val="255"/>
        </w:trPr>
        <w:tc>
          <w:tcPr>
            <w:tcW w:w="242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1-4</w:t>
            </w:r>
          </w:p>
        </w:tc>
        <w:tc>
          <w:tcPr>
            <w:tcW w:w="238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0.897398</w:t>
            </w:r>
          </w:p>
        </w:tc>
        <w:tc>
          <w:tcPr>
            <w:tcW w:w="240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1.84902</w:t>
            </w:r>
          </w:p>
        </w:tc>
      </w:tr>
      <w:tr>
        <w:trPr>
          <w:trHeight w:val="255"/>
        </w:trPr>
        <w:tc>
          <w:tcPr>
            <w:tcW w:w="242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2-3</w:t>
            </w:r>
          </w:p>
        </w:tc>
        <w:tc>
          <w:tcPr>
            <w:tcW w:w="238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*-3.54312</w:t>
            </w:r>
          </w:p>
        </w:tc>
        <w:tc>
          <w:tcPr>
            <w:tcW w:w="240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1.72982</w:t>
            </w:r>
          </w:p>
        </w:tc>
      </w:tr>
      <w:tr>
        <w:trPr>
          <w:trHeight w:val="255"/>
        </w:trPr>
        <w:tc>
          <w:tcPr>
            <w:tcW w:w="242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2-4</w:t>
            </w:r>
          </w:p>
        </w:tc>
        <w:tc>
          <w:tcPr>
            <w:tcW w:w="238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*-2.73338</w:t>
            </w:r>
          </w:p>
        </w:tc>
        <w:tc>
          <w:tcPr>
            <w:tcW w:w="240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1.71962</w:t>
            </w:r>
          </w:p>
        </w:tc>
      </w:tr>
      <w:tr>
        <w:trPr>
          <w:trHeight w:val="255"/>
        </w:trPr>
        <w:tc>
          <w:tcPr>
            <w:tcW w:w="242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3-4</w:t>
            </w:r>
          </w:p>
        </w:tc>
        <w:tc>
          <w:tcPr>
            <w:tcW w:w="238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0.809745</w:t>
            </w:r>
          </w:p>
        </w:tc>
        <w:tc>
          <w:tcPr>
            <w:tcW w:w="240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1.3392</w:t>
            </w:r>
          </w:p>
        </w:tc>
      </w:tr>
    </w:tbl>
    <w:p>
      <w:pPr>
        <w:spacing w:after="0" w:line="163"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Nota: el asterisco denota diferencias estadísticamente significativas.</w:t>
      </w:r>
    </w:p>
    <w:p>
      <w:pPr>
        <w:spacing w:after="0" w:line="36"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Fuente: Ruiz, 2010.</w:t>
      </w:r>
    </w:p>
    <w:p>
      <w:pPr>
        <w:spacing w:after="0" w:line="200" w:lineRule="exact"/>
        <w:rPr>
          <w:sz w:val="20"/>
          <w:szCs w:val="20"/>
          <w:color w:val="auto"/>
        </w:rPr>
      </w:pPr>
    </w:p>
    <w:p>
      <w:pPr>
        <w:spacing w:after="0" w:line="250"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Morfometría del corazón</w:t>
      </w:r>
    </w:p>
    <w:p>
      <w:pPr>
        <w:spacing w:after="0" w:line="347" w:lineRule="exact"/>
        <w:rPr>
          <w:sz w:val="20"/>
          <w:szCs w:val="20"/>
          <w:color w:val="auto"/>
        </w:rPr>
      </w:pPr>
    </w:p>
    <w:p>
      <w:pPr>
        <w:jc w:val="both"/>
        <w:spacing w:after="0" w:line="284" w:lineRule="auto"/>
        <w:rPr>
          <w:sz w:val="20"/>
          <w:szCs w:val="20"/>
          <w:color w:val="auto"/>
        </w:rPr>
      </w:pPr>
      <w:r>
        <w:rPr>
          <w:rFonts w:ascii="Times New Roman" w:cs="Times New Roman" w:eastAsia="Times New Roman" w:hAnsi="Times New Roman"/>
          <w:sz w:val="22"/>
          <w:szCs w:val="22"/>
          <w:color w:val="auto"/>
        </w:rPr>
        <w:t>Con las 10 medidas tomadas a cada corazón se realizó un segundo acp (figura 5). En éste, el porcentaje de varianza explicado por los dos primeros componentes fue mayor (80.65%, cuadro 6) que en el realizado para la morfometría corporal; además, se identificó la división de tres grupos con respecto al CP1, en el cual las variables que separan en sentido positivo son el alto de la aurícula derecha (alad), alto de la aurícula izquierda (alai) y alto del ventrículo (alv); mientras que en sentido contrario, hacia valores negativos, las variables de mayor peso fueron el ancho de la aurícula derecha en vista frontal (anad), ancho de la aurícula derecha en vista lateral (anald) y ancho del ventrículo (anv). Para el CP2, el ancho de la aurícula en vista lateral izquierda (anali) separa hacia valores positivos y el alto de la aurícula derecha (alad), así como el alto de la aurícula izquierda (alai), desvían hacia los negativos (cuadro 4 y figura 5).</w:t>
      </w:r>
    </w:p>
    <w:p>
      <w:pPr>
        <w:spacing w:after="0" w:line="8" w:lineRule="exact"/>
        <w:rPr>
          <w:sz w:val="20"/>
          <w:szCs w:val="20"/>
          <w:color w:val="auto"/>
        </w:rPr>
      </w:pPr>
    </w:p>
    <w:p>
      <w:pPr>
        <w:jc w:val="both"/>
        <w:ind w:firstLine="360"/>
        <w:spacing w:after="0" w:line="321" w:lineRule="auto"/>
        <w:rPr>
          <w:sz w:val="20"/>
          <w:szCs w:val="20"/>
          <w:color w:val="auto"/>
        </w:rPr>
      </w:pPr>
      <w:r>
        <w:rPr>
          <w:rFonts w:ascii="Times New Roman" w:cs="Times New Roman" w:eastAsia="Times New Roman" w:hAnsi="Times New Roman"/>
          <w:sz w:val="20"/>
          <w:szCs w:val="20"/>
          <w:color w:val="auto"/>
        </w:rPr>
        <w:t xml:space="preserve">De las poblaciones analizadas, los organismos de </w:t>
      </w:r>
      <w:r>
        <w:rPr>
          <w:rFonts w:ascii="Times New Roman" w:cs="Times New Roman" w:eastAsia="Times New Roman" w:hAnsi="Times New Roman"/>
          <w:sz w:val="20"/>
          <w:szCs w:val="20"/>
          <w:i w:val="1"/>
          <w:iCs w:val="1"/>
          <w:color w:val="auto"/>
        </w:rPr>
        <w:t>S. bicanthalis</w:t>
      </w:r>
      <w:r>
        <w:rPr>
          <w:rFonts w:ascii="Times New Roman" w:cs="Times New Roman" w:eastAsia="Times New Roman" w:hAnsi="Times New Roman"/>
          <w:sz w:val="20"/>
          <w:szCs w:val="20"/>
          <w:color w:val="auto"/>
        </w:rPr>
        <w:t xml:space="preserve"> ubicados a 2 857 msnm mostraron una tendencia a alejarse hacia el sentido positivo, por lo que se deduce que esta población presenta un corazón de forma alargada; las especies de </w:t>
      </w:r>
      <w:r>
        <w:rPr>
          <w:rFonts w:ascii="Times New Roman" w:cs="Times New Roman" w:eastAsia="Times New Roman" w:hAnsi="Times New Roman"/>
          <w:sz w:val="20"/>
          <w:szCs w:val="20"/>
          <w:i w:val="1"/>
          <w:iCs w:val="1"/>
          <w:color w:val="auto"/>
        </w:rPr>
        <w:t xml:space="preserve">S. aeneus </w:t>
      </w:r>
      <w:r>
        <w:rPr>
          <w:rFonts w:ascii="Times New Roman" w:cs="Times New Roman" w:eastAsia="Times New Roman" w:hAnsi="Times New Roman"/>
          <w:sz w:val="20"/>
          <w:szCs w:val="20"/>
          <w:color w:val="auto"/>
        </w:rPr>
        <w:t>localizadas a 3 245 msnm integraron el segundo grupo al presentar valores</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 xml:space="preserve">intermedios para la morfometría del corazón; finalmente, las poblaciones de mayor (4 200 msnm) y menor (2 645 msnm) altitud, </w:t>
      </w:r>
      <w:r>
        <w:rPr>
          <w:rFonts w:ascii="Times New Roman" w:cs="Times New Roman" w:eastAsia="Times New Roman" w:hAnsi="Times New Roman"/>
          <w:sz w:val="20"/>
          <w:szCs w:val="20"/>
          <w:i w:val="1"/>
          <w:iCs w:val="1"/>
          <w:color w:val="auto"/>
        </w:rPr>
        <w:t>S.bicanthalis y S. aeneus</w:t>
      </w:r>
      <w:r>
        <w:rPr>
          <w:rFonts w:ascii="Times New Roman" w:cs="Times New Roman" w:eastAsia="Times New Roman" w:hAnsi="Times New Roman"/>
          <w:sz w:val="20"/>
          <w:szCs w:val="20"/>
          <w:color w:val="auto"/>
        </w:rPr>
        <w:t xml:space="preserve"> respectivamente, conforme a las variables que sesgan hacia el sentido negativo, tienen un corazón en forma ensanchada, por ello conforman un tercer grupo (figura 5).</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26"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73" name="Shape 27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73" o:spid="_x0000_s129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74" name="Shape 27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74" o:spid="_x0000_s129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75" name="Shape 27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75" o:spid="_x0000_s130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17" w:name="page118"/>
    <w:bookmarkEnd w:id="117"/>
    <w:tbl>
      <w:tblPr>
        <w:tblLayout w:type="fixed"/>
        <w:tblInd w:w="870" w:type="dxa"/>
        <w:tblCellMar>
          <w:top w:w="0" w:type="dxa"/>
          <w:left w:w="0" w:type="dxa"/>
          <w:bottom w:w="0" w:type="dxa"/>
          <w:right w:w="0" w:type="dxa"/>
        </w:tblCellMar>
      </w:tblPr>
      <w:tr>
        <w:trPr>
          <w:trHeight w:val="223"/>
        </w:trPr>
        <w:tc>
          <w:tcPr>
            <w:tcW w:w="5480" w:type="dxa"/>
            <w:vAlign w:val="bottom"/>
            <w:gridSpan w:val="3"/>
          </w:tcPr>
          <w:p>
            <w:pPr>
              <w:jc w:val="center"/>
              <w:spacing w:after="0"/>
              <w:rPr>
                <w:sz w:val="20"/>
                <w:szCs w:val="20"/>
                <w:color w:val="auto"/>
              </w:rPr>
            </w:pPr>
            <w:r>
              <w:rPr>
                <w:rFonts w:ascii="Arial Narrow" w:cs="Arial Narrow" w:eastAsia="Arial Narrow" w:hAnsi="Arial Narrow"/>
                <w:sz w:val="11"/>
                <w:szCs w:val="11"/>
                <w:color w:val="auto"/>
              </w:rPr>
              <w:t>morfometría externa del corazón de dos especies hermanas del grupo scalaris</w:t>
            </w:r>
            <w:r>
              <w:rPr>
                <w:rFonts w:ascii="Arial Narrow" w:cs="Arial Narrow" w:eastAsia="Arial Narrow" w:hAnsi="Arial Narrow"/>
                <w:sz w:val="16"/>
                <w:szCs w:val="16"/>
                <w:color w:val="auto"/>
              </w:rPr>
              <w:t>...</w:t>
            </w:r>
          </w:p>
        </w:tc>
        <w:tc>
          <w:tcPr>
            <w:tcW w:w="860" w:type="dxa"/>
            <w:vAlign w:val="bottom"/>
          </w:tcPr>
          <w:p>
            <w:pPr>
              <w:jc w:val="right"/>
              <w:spacing w:after="0"/>
              <w:rPr>
                <w:sz w:val="20"/>
                <w:szCs w:val="20"/>
                <w:color w:val="auto"/>
              </w:rPr>
            </w:pPr>
            <w:r>
              <w:rPr>
                <w:rFonts w:ascii="Arial Narrow" w:cs="Arial Narrow" w:eastAsia="Arial Narrow" w:hAnsi="Arial Narrow"/>
                <w:sz w:val="16"/>
                <w:szCs w:val="16"/>
                <w:color w:val="auto"/>
              </w:rPr>
              <w:t>117</w:t>
            </w:r>
          </w:p>
        </w:tc>
      </w:tr>
      <w:tr>
        <w:trPr>
          <w:trHeight w:val="742"/>
        </w:trPr>
        <w:tc>
          <w:tcPr>
            <w:tcW w:w="96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3100" w:type="dxa"/>
            <w:vAlign w:val="bottom"/>
          </w:tcPr>
          <w:p>
            <w:pPr>
              <w:jc w:val="center"/>
              <w:ind w:right="2308"/>
              <w:spacing w:after="0"/>
              <w:rPr>
                <w:sz w:val="20"/>
                <w:szCs w:val="20"/>
                <w:color w:val="auto"/>
              </w:rPr>
            </w:pPr>
            <w:r>
              <w:rPr>
                <w:rFonts w:ascii="Times New Roman" w:cs="Times New Roman" w:eastAsia="Times New Roman" w:hAnsi="Times New Roman"/>
                <w:sz w:val="18"/>
                <w:szCs w:val="18"/>
                <w:i w:val="1"/>
                <w:iCs w:val="1"/>
                <w:color w:val="auto"/>
                <w:w w:val="88"/>
              </w:rPr>
              <w:t>Figura 5</w:t>
            </w:r>
          </w:p>
        </w:tc>
        <w:tc>
          <w:tcPr>
            <w:tcW w:w="860" w:type="dxa"/>
            <w:vAlign w:val="bottom"/>
          </w:tcPr>
          <w:p>
            <w:pPr>
              <w:spacing w:after="0"/>
              <w:rPr>
                <w:sz w:val="24"/>
                <w:szCs w:val="24"/>
                <w:color w:val="auto"/>
              </w:rPr>
            </w:pPr>
          </w:p>
        </w:tc>
      </w:tr>
      <w:tr>
        <w:trPr>
          <w:trHeight w:val="166"/>
        </w:trPr>
        <w:tc>
          <w:tcPr>
            <w:tcW w:w="960" w:type="dxa"/>
            <w:vAlign w:val="bottom"/>
            <w:tcBorders>
              <w:bottom w:val="single" w:sz="8" w:color="auto"/>
            </w:tcBorders>
          </w:tcPr>
          <w:p>
            <w:pPr>
              <w:spacing w:after="0"/>
              <w:rPr>
                <w:sz w:val="14"/>
                <w:szCs w:val="14"/>
                <w:color w:val="auto"/>
              </w:rPr>
            </w:pPr>
          </w:p>
        </w:tc>
        <w:tc>
          <w:tcPr>
            <w:tcW w:w="1420" w:type="dxa"/>
            <w:vAlign w:val="bottom"/>
            <w:tcBorders>
              <w:bottom w:val="single" w:sz="8" w:color="auto"/>
            </w:tcBorders>
          </w:tcPr>
          <w:p>
            <w:pPr>
              <w:spacing w:after="0"/>
              <w:rPr>
                <w:sz w:val="14"/>
                <w:szCs w:val="14"/>
                <w:color w:val="auto"/>
              </w:rPr>
            </w:pPr>
          </w:p>
        </w:tc>
        <w:tc>
          <w:tcPr>
            <w:tcW w:w="3100" w:type="dxa"/>
            <w:vAlign w:val="bottom"/>
            <w:tcBorders>
              <w:bottom w:val="single" w:sz="8" w:color="auto"/>
            </w:tcBorders>
          </w:tcPr>
          <w:p>
            <w:pPr>
              <w:spacing w:after="0"/>
              <w:rPr>
                <w:sz w:val="14"/>
                <w:szCs w:val="14"/>
                <w:color w:val="auto"/>
              </w:rPr>
            </w:pPr>
          </w:p>
        </w:tc>
        <w:tc>
          <w:tcPr>
            <w:tcW w:w="860" w:type="dxa"/>
            <w:vAlign w:val="bottom"/>
          </w:tcPr>
          <w:p>
            <w:pPr>
              <w:spacing w:after="0"/>
              <w:rPr>
                <w:sz w:val="14"/>
                <w:szCs w:val="14"/>
                <w:color w:val="auto"/>
              </w:rPr>
            </w:pPr>
          </w:p>
        </w:tc>
      </w:tr>
      <w:tr>
        <w:trPr>
          <w:trHeight w:val="580"/>
        </w:trPr>
        <w:tc>
          <w:tcPr>
            <w:tcW w:w="960" w:type="dxa"/>
            <w:vAlign w:val="bottom"/>
            <w:tcBorders>
              <w:left w:val="single" w:sz="8" w:color="auto"/>
            </w:tcBorders>
          </w:tcPr>
          <w:p>
            <w:pPr>
              <w:jc w:val="center"/>
              <w:ind w:left="74"/>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anali</w:t>
            </w:r>
          </w:p>
        </w:tc>
        <w:tc>
          <w:tcPr>
            <w:tcW w:w="1420" w:type="dxa"/>
            <w:vAlign w:val="bottom"/>
          </w:tcPr>
          <w:p>
            <w:pPr>
              <w:spacing w:after="0"/>
              <w:rPr>
                <w:sz w:val="24"/>
                <w:szCs w:val="24"/>
                <w:color w:val="auto"/>
              </w:rPr>
            </w:pPr>
          </w:p>
        </w:tc>
        <w:tc>
          <w:tcPr>
            <w:tcW w:w="3100" w:type="dxa"/>
            <w:vAlign w:val="bottom"/>
            <w:tcBorders>
              <w:right w:val="single" w:sz="8" w:color="auto"/>
            </w:tcBorders>
          </w:tcPr>
          <w:p>
            <w:pPr>
              <w:spacing w:after="0"/>
              <w:rPr>
                <w:sz w:val="24"/>
                <w:szCs w:val="24"/>
                <w:color w:val="auto"/>
              </w:rPr>
            </w:pPr>
          </w:p>
        </w:tc>
        <w:tc>
          <w:tcPr>
            <w:tcW w:w="860" w:type="dxa"/>
            <w:vAlign w:val="bottom"/>
          </w:tcPr>
          <w:p>
            <w:pPr>
              <w:spacing w:after="0"/>
              <w:rPr>
                <w:sz w:val="24"/>
                <w:szCs w:val="24"/>
                <w:color w:val="auto"/>
              </w:rPr>
            </w:pPr>
          </w:p>
        </w:tc>
      </w:tr>
      <w:tr>
        <w:trPr>
          <w:trHeight w:val="2200"/>
        </w:trPr>
        <w:tc>
          <w:tcPr>
            <w:tcW w:w="960" w:type="dxa"/>
            <w:vAlign w:val="bottom"/>
            <w:tcBorders>
              <w:left w:val="single" w:sz="8" w:color="auto"/>
            </w:tcBorders>
          </w:tcPr>
          <w:p>
            <w:pPr>
              <w:jc w:val="center"/>
              <w:ind w:left="74"/>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alad</w:t>
            </w:r>
          </w:p>
        </w:tc>
        <w:tc>
          <w:tcPr>
            <w:tcW w:w="1420" w:type="dxa"/>
            <w:vAlign w:val="bottom"/>
          </w:tcPr>
          <w:p>
            <w:pPr>
              <w:spacing w:after="0"/>
              <w:rPr>
                <w:sz w:val="24"/>
                <w:szCs w:val="24"/>
                <w:color w:val="auto"/>
              </w:rPr>
            </w:pPr>
          </w:p>
        </w:tc>
        <w:tc>
          <w:tcPr>
            <w:tcW w:w="3100" w:type="dxa"/>
            <w:vAlign w:val="bottom"/>
            <w:tcBorders>
              <w:right w:val="single" w:sz="8" w:color="auto"/>
            </w:tcBorders>
          </w:tcPr>
          <w:p>
            <w:pPr>
              <w:spacing w:after="0"/>
              <w:rPr>
                <w:sz w:val="24"/>
                <w:szCs w:val="24"/>
                <w:color w:val="auto"/>
              </w:rPr>
            </w:pPr>
          </w:p>
        </w:tc>
        <w:tc>
          <w:tcPr>
            <w:tcW w:w="860" w:type="dxa"/>
            <w:vAlign w:val="bottom"/>
          </w:tcPr>
          <w:p>
            <w:pPr>
              <w:spacing w:after="0"/>
              <w:rPr>
                <w:sz w:val="24"/>
                <w:szCs w:val="24"/>
                <w:color w:val="auto"/>
              </w:rPr>
            </w:pPr>
          </w:p>
        </w:tc>
      </w:tr>
      <w:tr>
        <w:trPr>
          <w:trHeight w:val="226"/>
        </w:trPr>
        <w:tc>
          <w:tcPr>
            <w:tcW w:w="960" w:type="dxa"/>
            <w:vAlign w:val="bottom"/>
            <w:tcBorders>
              <w:left w:val="single" w:sz="8" w:color="auto"/>
            </w:tcBorders>
          </w:tcPr>
          <w:p>
            <w:pPr>
              <w:jc w:val="center"/>
              <w:ind w:left="74"/>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alai</w:t>
            </w:r>
          </w:p>
        </w:tc>
        <w:tc>
          <w:tcPr>
            <w:tcW w:w="1420" w:type="dxa"/>
            <w:vAlign w:val="bottom"/>
          </w:tcPr>
          <w:p>
            <w:pPr>
              <w:ind w:left="260"/>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anad</w:t>
            </w:r>
          </w:p>
        </w:tc>
        <w:tc>
          <w:tcPr>
            <w:tcW w:w="3100" w:type="dxa"/>
            <w:vAlign w:val="bottom"/>
            <w:tcBorders>
              <w:right w:val="single" w:sz="8" w:color="auto"/>
            </w:tcBorders>
          </w:tcPr>
          <w:p>
            <w:pPr>
              <w:ind w:left="1480"/>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alad</w:t>
            </w:r>
          </w:p>
        </w:tc>
        <w:tc>
          <w:tcPr>
            <w:tcW w:w="860" w:type="dxa"/>
            <w:vAlign w:val="bottom"/>
          </w:tcPr>
          <w:p>
            <w:pPr>
              <w:spacing w:after="0"/>
              <w:rPr>
                <w:sz w:val="19"/>
                <w:szCs w:val="19"/>
                <w:color w:val="auto"/>
              </w:rPr>
            </w:pPr>
          </w:p>
        </w:tc>
      </w:tr>
      <w:tr>
        <w:trPr>
          <w:trHeight w:val="220"/>
        </w:trPr>
        <w:tc>
          <w:tcPr>
            <w:tcW w:w="960" w:type="dxa"/>
            <w:vAlign w:val="bottom"/>
            <w:tcBorders>
              <w:left w:val="single" w:sz="8" w:color="auto"/>
            </w:tcBorders>
          </w:tcPr>
          <w:p>
            <w:pPr>
              <w:spacing w:after="0"/>
              <w:rPr>
                <w:sz w:val="19"/>
                <w:szCs w:val="19"/>
                <w:color w:val="auto"/>
              </w:rPr>
            </w:pPr>
          </w:p>
        </w:tc>
        <w:tc>
          <w:tcPr>
            <w:tcW w:w="1420" w:type="dxa"/>
            <w:vAlign w:val="bottom"/>
          </w:tcPr>
          <w:p>
            <w:pPr>
              <w:ind w:left="260"/>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anald</w:t>
            </w:r>
          </w:p>
        </w:tc>
        <w:tc>
          <w:tcPr>
            <w:tcW w:w="3100" w:type="dxa"/>
            <w:vAlign w:val="bottom"/>
            <w:tcBorders>
              <w:right w:val="single" w:sz="8" w:color="auto"/>
            </w:tcBorders>
          </w:tcPr>
          <w:p>
            <w:pPr>
              <w:ind w:left="1480"/>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alv</w:t>
            </w:r>
          </w:p>
        </w:tc>
        <w:tc>
          <w:tcPr>
            <w:tcW w:w="860" w:type="dxa"/>
            <w:vAlign w:val="bottom"/>
          </w:tcPr>
          <w:p>
            <w:pPr>
              <w:spacing w:after="0"/>
              <w:rPr>
                <w:sz w:val="19"/>
                <w:szCs w:val="19"/>
                <w:color w:val="auto"/>
              </w:rPr>
            </w:pPr>
          </w:p>
        </w:tc>
      </w:tr>
      <w:tr>
        <w:trPr>
          <w:trHeight w:val="220"/>
        </w:trPr>
        <w:tc>
          <w:tcPr>
            <w:tcW w:w="960" w:type="dxa"/>
            <w:vAlign w:val="bottom"/>
            <w:tcBorders>
              <w:left w:val="single" w:sz="8" w:color="auto"/>
            </w:tcBorders>
          </w:tcPr>
          <w:p>
            <w:pPr>
              <w:spacing w:after="0"/>
              <w:rPr>
                <w:sz w:val="19"/>
                <w:szCs w:val="19"/>
                <w:color w:val="auto"/>
              </w:rPr>
            </w:pPr>
          </w:p>
        </w:tc>
        <w:tc>
          <w:tcPr>
            <w:tcW w:w="1420" w:type="dxa"/>
            <w:vAlign w:val="bottom"/>
          </w:tcPr>
          <w:p>
            <w:pPr>
              <w:ind w:left="260"/>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anv</w:t>
            </w:r>
          </w:p>
        </w:tc>
        <w:tc>
          <w:tcPr>
            <w:tcW w:w="3100" w:type="dxa"/>
            <w:vAlign w:val="bottom"/>
            <w:tcBorders>
              <w:right w:val="single" w:sz="8" w:color="auto"/>
            </w:tcBorders>
          </w:tcPr>
          <w:p>
            <w:pPr>
              <w:ind w:left="1480"/>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alai</w:t>
            </w:r>
          </w:p>
        </w:tc>
        <w:tc>
          <w:tcPr>
            <w:tcW w:w="860" w:type="dxa"/>
            <w:vAlign w:val="bottom"/>
          </w:tcPr>
          <w:p>
            <w:pPr>
              <w:spacing w:after="0"/>
              <w:rPr>
                <w:sz w:val="19"/>
                <w:szCs w:val="19"/>
                <w:color w:val="auto"/>
              </w:rPr>
            </w:pPr>
          </w:p>
        </w:tc>
      </w:tr>
      <w:tr>
        <w:trPr>
          <w:trHeight w:val="296"/>
        </w:trPr>
        <w:tc>
          <w:tcPr>
            <w:tcW w:w="960" w:type="dxa"/>
            <w:vAlign w:val="bottom"/>
            <w:tcBorders>
              <w:left w:val="single" w:sz="8" w:color="auto"/>
            </w:tcBorders>
          </w:tcPr>
          <w:p>
            <w:pPr>
              <w:spacing w:after="0"/>
              <w:rPr>
                <w:sz w:val="24"/>
                <w:szCs w:val="24"/>
                <w:color w:val="auto"/>
              </w:rPr>
            </w:pPr>
          </w:p>
        </w:tc>
        <w:tc>
          <w:tcPr>
            <w:tcW w:w="1420" w:type="dxa"/>
            <w:vAlign w:val="bottom"/>
          </w:tcPr>
          <w:p>
            <w:pPr>
              <w:ind w:left="1000"/>
              <w:spacing w:after="0"/>
              <w:rPr>
                <w:sz w:val="20"/>
                <w:szCs w:val="20"/>
                <w:color w:val="auto"/>
              </w:rPr>
            </w:pPr>
            <w:r>
              <w:rPr>
                <w:rFonts w:ascii="Times New Roman" w:cs="Times New Roman" w:eastAsia="Times New Roman" w:hAnsi="Times New Roman"/>
                <w:sz w:val="12"/>
                <w:szCs w:val="12"/>
                <w:color w:val="auto"/>
              </w:rPr>
              <w:t>2645 m</w:t>
            </w:r>
          </w:p>
        </w:tc>
        <w:tc>
          <w:tcPr>
            <w:tcW w:w="3100" w:type="dxa"/>
            <w:vAlign w:val="bottom"/>
            <w:tcBorders>
              <w:right w:val="single" w:sz="8" w:color="auto"/>
            </w:tcBorders>
          </w:tcPr>
          <w:p>
            <w:pPr>
              <w:ind w:left="220"/>
              <w:spacing w:after="0"/>
              <w:rPr>
                <w:sz w:val="20"/>
                <w:szCs w:val="20"/>
                <w:color w:val="auto"/>
              </w:rPr>
            </w:pPr>
            <w:r>
              <w:rPr>
                <w:rFonts w:ascii="Times New Roman" w:cs="Times New Roman" w:eastAsia="Times New Roman" w:hAnsi="Times New Roman"/>
                <w:sz w:val="12"/>
                <w:szCs w:val="12"/>
                <w:color w:val="auto"/>
              </w:rPr>
              <w:t>2857 m   3245 m    4200 m</w:t>
            </w:r>
          </w:p>
        </w:tc>
        <w:tc>
          <w:tcPr>
            <w:tcW w:w="860" w:type="dxa"/>
            <w:vAlign w:val="bottom"/>
          </w:tcPr>
          <w:p>
            <w:pPr>
              <w:spacing w:after="0"/>
              <w:rPr>
                <w:sz w:val="24"/>
                <w:szCs w:val="24"/>
                <w:color w:val="auto"/>
              </w:rPr>
            </w:pPr>
          </w:p>
        </w:tc>
      </w:tr>
      <w:tr>
        <w:trPr>
          <w:trHeight w:val="89"/>
        </w:trPr>
        <w:tc>
          <w:tcPr>
            <w:tcW w:w="960" w:type="dxa"/>
            <w:vAlign w:val="bottom"/>
            <w:tcBorders>
              <w:left w:val="single" w:sz="8" w:color="auto"/>
              <w:bottom w:val="single" w:sz="8" w:color="auto"/>
            </w:tcBorders>
          </w:tcPr>
          <w:p>
            <w:pPr>
              <w:spacing w:after="0"/>
              <w:rPr>
                <w:sz w:val="7"/>
                <w:szCs w:val="7"/>
                <w:color w:val="auto"/>
              </w:rPr>
            </w:pPr>
          </w:p>
        </w:tc>
        <w:tc>
          <w:tcPr>
            <w:tcW w:w="1420" w:type="dxa"/>
            <w:vAlign w:val="bottom"/>
            <w:tcBorders>
              <w:bottom w:val="single" w:sz="8" w:color="auto"/>
            </w:tcBorders>
          </w:tcPr>
          <w:p>
            <w:pPr>
              <w:spacing w:after="0"/>
              <w:rPr>
                <w:sz w:val="7"/>
                <w:szCs w:val="7"/>
                <w:color w:val="auto"/>
              </w:rPr>
            </w:pPr>
          </w:p>
        </w:tc>
        <w:tc>
          <w:tcPr>
            <w:tcW w:w="3100" w:type="dxa"/>
            <w:vAlign w:val="bottom"/>
            <w:tcBorders>
              <w:bottom w:val="single" w:sz="8" w:color="auto"/>
              <w:right w:val="single" w:sz="8" w:color="auto"/>
            </w:tcBorders>
          </w:tcPr>
          <w:p>
            <w:pPr>
              <w:spacing w:after="0"/>
              <w:rPr>
                <w:sz w:val="7"/>
                <w:szCs w:val="7"/>
                <w:color w:val="auto"/>
              </w:rPr>
            </w:pPr>
          </w:p>
        </w:tc>
        <w:tc>
          <w:tcPr>
            <w:tcW w:w="860" w:type="dxa"/>
            <w:vAlign w:val="bottom"/>
          </w:tcPr>
          <w:p>
            <w:pPr>
              <w:spacing w:after="0"/>
              <w:rPr>
                <w:sz w:val="7"/>
                <w:szCs w:val="7"/>
                <w:color w:val="auto"/>
              </w:rPr>
            </w:pPr>
          </w:p>
        </w:tc>
      </w:tr>
    </w:tbl>
    <w:p>
      <w:pPr>
        <w:spacing w:after="0" w:line="127"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638175</wp:posOffset>
            </wp:positionH>
            <wp:positionV relativeFrom="paragraph">
              <wp:posOffset>-2391410</wp:posOffset>
            </wp:positionV>
            <wp:extent cx="3302635" cy="2395220"/>
            <wp:wrapNone/>
            <wp:docPr id="276" name="Pictur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55">
                      <a:extLst>
                        <a:ext uri="{28A0092B-C50C-407E-A947-70E740481C1C}"/>
                      </a:extLst>
                    </a:blip>
                    <a:srcRect/>
                    <a:stretch>
                      <a:fillRect/>
                    </a:stretch>
                  </pic:blipFill>
                  <pic:spPr bwMode="auto">
                    <a:xfrm>
                      <a:off x="0" y="0"/>
                      <a:ext cx="3302635" cy="2395220"/>
                    </a:xfrm>
                    <a:prstGeom prst="rect">
                      <a:avLst/>
                    </a:prstGeom>
                    <a:noFill/>
                  </pic:spPr>
                </pic:pic>
              </a:graphicData>
            </a:graphic>
          </wp:anchor>
        </w:drawing>
      </w:r>
    </w:p>
    <w:p>
      <w:pPr>
        <w:jc w:val="both"/>
        <w:ind w:left="860" w:right="860"/>
        <w:spacing w:after="0" w:line="299" w:lineRule="auto"/>
        <w:rPr>
          <w:sz w:val="20"/>
          <w:szCs w:val="20"/>
          <w:color w:val="auto"/>
        </w:rPr>
      </w:pPr>
      <w:r>
        <w:rPr>
          <w:rFonts w:ascii="Times New Roman" w:cs="Times New Roman" w:eastAsia="Times New Roman" w:hAnsi="Times New Roman"/>
          <w:sz w:val="16"/>
          <w:szCs w:val="16"/>
          <w:color w:val="auto"/>
        </w:rPr>
        <w:t>acp de la morfometría del corazón de cuatro poblaciones de lagartijas que habitan en un gradiente altitudinal. Resalta el porcentaje de la varianza explicada, así como las variables de mayor peso para cada componente (m = altitud) (Fuente: Ruiz, 2010).</w:t>
      </w:r>
    </w:p>
    <w:p>
      <w:pPr>
        <w:spacing w:after="0" w:line="312" w:lineRule="exact"/>
        <w:rPr>
          <w:sz w:val="20"/>
          <w:szCs w:val="20"/>
          <w:color w:val="auto"/>
        </w:rPr>
      </w:pPr>
    </w:p>
    <w:p>
      <w:pPr>
        <w:ind w:left="3280"/>
        <w:spacing w:after="0"/>
        <w:rPr>
          <w:sz w:val="20"/>
          <w:szCs w:val="20"/>
          <w:color w:val="auto"/>
        </w:rPr>
      </w:pPr>
      <w:r>
        <w:rPr>
          <w:rFonts w:ascii="Times New Roman" w:cs="Times New Roman" w:eastAsia="Times New Roman" w:hAnsi="Times New Roman"/>
          <w:sz w:val="18"/>
          <w:szCs w:val="18"/>
          <w:i w:val="1"/>
          <w:iCs w:val="1"/>
          <w:color w:val="auto"/>
        </w:rPr>
        <w:t>Cuadro 4</w:t>
      </w:r>
    </w:p>
    <w:p>
      <w:pPr>
        <w:spacing w:after="0" w:line="33" w:lineRule="exact"/>
        <w:rPr>
          <w:sz w:val="20"/>
          <w:szCs w:val="20"/>
          <w:color w:val="auto"/>
        </w:rPr>
      </w:pPr>
    </w:p>
    <w:p>
      <w:pPr>
        <w:ind w:left="180"/>
        <w:spacing w:after="0"/>
        <w:rPr>
          <w:sz w:val="20"/>
          <w:szCs w:val="20"/>
          <w:color w:val="auto"/>
        </w:rPr>
      </w:pPr>
      <w:r>
        <w:rPr>
          <w:rFonts w:ascii="Times New Roman" w:cs="Times New Roman" w:eastAsia="Times New Roman" w:hAnsi="Times New Roman"/>
          <w:sz w:val="18"/>
          <w:szCs w:val="18"/>
          <w:color w:val="auto"/>
        </w:rPr>
        <w:t>Peso de las variables para los dos primeros componentes de la morfometría del corazón</w:t>
      </w:r>
    </w:p>
    <w:p>
      <w:pPr>
        <w:spacing w:after="0" w:line="188" w:lineRule="exact"/>
        <w:rPr>
          <w:sz w:val="20"/>
          <w:szCs w:val="20"/>
          <w:color w:val="auto"/>
        </w:rPr>
      </w:pPr>
    </w:p>
    <w:tbl>
      <w:tblPr>
        <w:tblLayout w:type="fixed"/>
        <w:tblInd w:w="10" w:type="dxa"/>
        <w:tblCellMar>
          <w:top w:w="0" w:type="dxa"/>
          <w:left w:w="0" w:type="dxa"/>
          <w:bottom w:w="0" w:type="dxa"/>
          <w:right w:w="0" w:type="dxa"/>
        </w:tblCellMar>
      </w:tblPr>
      <w:tr>
        <w:trPr>
          <w:trHeight w:val="255"/>
        </w:trPr>
        <w:tc>
          <w:tcPr>
            <w:tcW w:w="2420" w:type="dxa"/>
            <w:vAlign w:val="bottom"/>
            <w:tcBorders>
              <w:top w:val="single" w:sz="8" w:color="auto"/>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4"/>
              </w:rPr>
              <w:t>Medida</w:t>
            </w:r>
          </w:p>
        </w:tc>
        <w:tc>
          <w:tcPr>
            <w:tcW w:w="2380" w:type="dxa"/>
            <w:vAlign w:val="bottom"/>
            <w:tcBorders>
              <w:top w:val="single" w:sz="8" w:color="auto"/>
              <w:right w:val="single" w:sz="8" w:color="auto"/>
            </w:tcBorders>
          </w:tcPr>
          <w:p>
            <w:pPr>
              <w:ind w:left="740"/>
              <w:spacing w:after="0"/>
              <w:rPr>
                <w:sz w:val="20"/>
                <w:szCs w:val="20"/>
                <w:color w:val="auto"/>
              </w:rPr>
            </w:pPr>
            <w:r>
              <w:rPr>
                <w:rFonts w:ascii="Times New Roman" w:cs="Times New Roman" w:eastAsia="Times New Roman" w:hAnsi="Times New Roman"/>
                <w:sz w:val="16"/>
                <w:szCs w:val="16"/>
                <w:i w:val="1"/>
                <w:iCs w:val="1"/>
                <w:color w:val="auto"/>
              </w:rPr>
              <w:t>Componente 1</w:t>
            </w:r>
          </w:p>
        </w:tc>
        <w:tc>
          <w:tcPr>
            <w:tcW w:w="2400" w:type="dxa"/>
            <w:vAlign w:val="bottom"/>
            <w:tcBorders>
              <w:top w:val="single" w:sz="8" w:color="auto"/>
              <w:right w:val="single" w:sz="8" w:color="auto"/>
            </w:tcBorders>
          </w:tcPr>
          <w:p>
            <w:pPr>
              <w:ind w:left="760"/>
              <w:spacing w:after="0"/>
              <w:rPr>
                <w:sz w:val="20"/>
                <w:szCs w:val="20"/>
                <w:color w:val="auto"/>
              </w:rPr>
            </w:pPr>
            <w:r>
              <w:rPr>
                <w:rFonts w:ascii="Times New Roman" w:cs="Times New Roman" w:eastAsia="Times New Roman" w:hAnsi="Times New Roman"/>
                <w:sz w:val="16"/>
                <w:szCs w:val="16"/>
                <w:i w:val="1"/>
                <w:iCs w:val="1"/>
                <w:color w:val="auto"/>
              </w:rPr>
              <w:t>Componente 2</w:t>
            </w:r>
          </w:p>
        </w:tc>
      </w:tr>
      <w:tr>
        <w:trPr>
          <w:trHeight w:val="21"/>
        </w:trPr>
        <w:tc>
          <w:tcPr>
            <w:tcW w:w="2420" w:type="dxa"/>
            <w:vAlign w:val="bottom"/>
            <w:tcBorders>
              <w:left w:val="single" w:sz="8" w:color="auto"/>
              <w:bottom w:val="single" w:sz="8" w:color="auto"/>
              <w:right w:val="single" w:sz="8" w:color="auto"/>
            </w:tcBorders>
          </w:tcPr>
          <w:p>
            <w:pPr>
              <w:spacing w:after="0" w:line="20" w:lineRule="exact"/>
              <w:rPr>
                <w:sz w:val="1"/>
                <w:szCs w:val="1"/>
                <w:color w:val="auto"/>
              </w:rPr>
            </w:pPr>
          </w:p>
        </w:tc>
        <w:tc>
          <w:tcPr>
            <w:tcW w:w="2380" w:type="dxa"/>
            <w:vAlign w:val="bottom"/>
            <w:tcBorders>
              <w:bottom w:val="single" w:sz="8" w:color="auto"/>
              <w:right w:val="single" w:sz="8" w:color="auto"/>
            </w:tcBorders>
          </w:tcPr>
          <w:p>
            <w:pPr>
              <w:spacing w:after="0" w:line="20" w:lineRule="exact"/>
              <w:rPr>
                <w:sz w:val="1"/>
                <w:szCs w:val="1"/>
                <w:color w:val="auto"/>
              </w:rPr>
            </w:pPr>
          </w:p>
        </w:tc>
        <w:tc>
          <w:tcPr>
            <w:tcW w:w="2400" w:type="dxa"/>
            <w:vAlign w:val="bottom"/>
            <w:tcBorders>
              <w:bottom w:val="single" w:sz="8" w:color="auto"/>
              <w:right w:val="single" w:sz="8" w:color="auto"/>
            </w:tcBorders>
          </w:tcPr>
          <w:p>
            <w:pPr>
              <w:spacing w:after="0" w:line="20" w:lineRule="exact"/>
              <w:rPr>
                <w:sz w:val="1"/>
                <w:szCs w:val="1"/>
                <w:color w:val="auto"/>
              </w:rPr>
            </w:pPr>
          </w:p>
        </w:tc>
      </w:tr>
      <w:tr>
        <w:trPr>
          <w:trHeight w:val="246"/>
        </w:trPr>
        <w:tc>
          <w:tcPr>
            <w:tcW w:w="242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anad</w:t>
            </w:r>
          </w:p>
        </w:tc>
        <w:tc>
          <w:tcPr>
            <w:tcW w:w="238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0.2129</w:t>
            </w:r>
          </w:p>
        </w:tc>
        <w:tc>
          <w:tcPr>
            <w:tcW w:w="240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0.3371</w:t>
            </w:r>
          </w:p>
        </w:tc>
      </w:tr>
      <w:tr>
        <w:trPr>
          <w:trHeight w:val="256"/>
        </w:trPr>
        <w:tc>
          <w:tcPr>
            <w:tcW w:w="242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alad</w:t>
            </w:r>
          </w:p>
        </w:tc>
        <w:tc>
          <w:tcPr>
            <w:tcW w:w="238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0.3576</w:t>
            </w:r>
          </w:p>
        </w:tc>
        <w:tc>
          <w:tcPr>
            <w:tcW w:w="240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0.24362</w:t>
            </w:r>
          </w:p>
        </w:tc>
      </w:tr>
      <w:tr>
        <w:trPr>
          <w:trHeight w:val="256"/>
        </w:trPr>
        <w:tc>
          <w:tcPr>
            <w:tcW w:w="242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anai</w:t>
            </w:r>
          </w:p>
        </w:tc>
        <w:tc>
          <w:tcPr>
            <w:tcW w:w="238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0.3198</w:t>
            </w:r>
          </w:p>
        </w:tc>
        <w:tc>
          <w:tcPr>
            <w:tcW w:w="240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0.3348</w:t>
            </w:r>
          </w:p>
        </w:tc>
      </w:tr>
      <w:tr>
        <w:trPr>
          <w:trHeight w:val="256"/>
        </w:trPr>
        <w:tc>
          <w:tcPr>
            <w:tcW w:w="242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alai</w:t>
            </w:r>
          </w:p>
        </w:tc>
        <w:tc>
          <w:tcPr>
            <w:tcW w:w="238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0.3424</w:t>
            </w:r>
          </w:p>
        </w:tc>
        <w:tc>
          <w:tcPr>
            <w:tcW w:w="240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-0.5573</w:t>
            </w:r>
          </w:p>
        </w:tc>
      </w:tr>
      <w:tr>
        <w:trPr>
          <w:trHeight w:val="256"/>
        </w:trPr>
        <w:tc>
          <w:tcPr>
            <w:tcW w:w="242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anv</w:t>
            </w:r>
          </w:p>
        </w:tc>
        <w:tc>
          <w:tcPr>
            <w:tcW w:w="238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0.3005</w:t>
            </w:r>
          </w:p>
        </w:tc>
        <w:tc>
          <w:tcPr>
            <w:tcW w:w="240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0.3362</w:t>
            </w:r>
          </w:p>
        </w:tc>
      </w:tr>
      <w:tr>
        <w:trPr>
          <w:trHeight w:val="256"/>
        </w:trPr>
        <w:tc>
          <w:tcPr>
            <w:tcW w:w="242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alv</w:t>
            </w:r>
          </w:p>
        </w:tc>
        <w:tc>
          <w:tcPr>
            <w:tcW w:w="238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0.3549</w:t>
            </w:r>
          </w:p>
        </w:tc>
        <w:tc>
          <w:tcPr>
            <w:tcW w:w="240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0.3424</w:t>
            </w:r>
          </w:p>
        </w:tc>
      </w:tr>
      <w:tr>
        <w:trPr>
          <w:trHeight w:val="256"/>
        </w:trPr>
        <w:tc>
          <w:tcPr>
            <w:tcW w:w="242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anald</w:t>
            </w:r>
          </w:p>
        </w:tc>
        <w:tc>
          <w:tcPr>
            <w:tcW w:w="238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0.2589</w:t>
            </w:r>
          </w:p>
        </w:tc>
        <w:tc>
          <w:tcPr>
            <w:tcW w:w="240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0.3354</w:t>
            </w:r>
          </w:p>
        </w:tc>
      </w:tr>
      <w:tr>
        <w:trPr>
          <w:trHeight w:val="256"/>
        </w:trPr>
        <w:tc>
          <w:tcPr>
            <w:tcW w:w="242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anvld</w:t>
            </w:r>
          </w:p>
        </w:tc>
        <w:tc>
          <w:tcPr>
            <w:tcW w:w="238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0.3194</w:t>
            </w:r>
          </w:p>
        </w:tc>
        <w:tc>
          <w:tcPr>
            <w:tcW w:w="240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0.3194</w:t>
            </w:r>
          </w:p>
        </w:tc>
      </w:tr>
      <w:tr>
        <w:trPr>
          <w:trHeight w:val="256"/>
        </w:trPr>
        <w:tc>
          <w:tcPr>
            <w:tcW w:w="242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anali</w:t>
            </w:r>
          </w:p>
        </w:tc>
        <w:tc>
          <w:tcPr>
            <w:tcW w:w="238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0.3154</w:t>
            </w:r>
          </w:p>
        </w:tc>
        <w:tc>
          <w:tcPr>
            <w:tcW w:w="240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0.31548</w:t>
            </w:r>
          </w:p>
        </w:tc>
      </w:tr>
      <w:tr>
        <w:trPr>
          <w:trHeight w:val="256"/>
        </w:trPr>
        <w:tc>
          <w:tcPr>
            <w:tcW w:w="242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anvli</w:t>
            </w:r>
          </w:p>
        </w:tc>
        <w:tc>
          <w:tcPr>
            <w:tcW w:w="238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0.3164</w:t>
            </w:r>
          </w:p>
        </w:tc>
        <w:tc>
          <w:tcPr>
            <w:tcW w:w="240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0.31646</w:t>
            </w:r>
          </w:p>
        </w:tc>
      </w:tr>
    </w:tbl>
    <w:p>
      <w:pPr>
        <w:spacing w:after="0" w:line="163" w:lineRule="exact"/>
        <w:rPr>
          <w:sz w:val="20"/>
          <w:szCs w:val="20"/>
          <w:color w:val="auto"/>
        </w:rPr>
      </w:pPr>
    </w:p>
    <w:p>
      <w:pPr>
        <w:jc w:val="both"/>
        <w:spacing w:after="0" w:line="286" w:lineRule="auto"/>
        <w:rPr>
          <w:sz w:val="20"/>
          <w:szCs w:val="20"/>
          <w:color w:val="auto"/>
        </w:rPr>
      </w:pPr>
      <w:r>
        <w:rPr>
          <w:rFonts w:ascii="Times New Roman" w:cs="Times New Roman" w:eastAsia="Times New Roman" w:hAnsi="Times New Roman"/>
          <w:sz w:val="16"/>
          <w:szCs w:val="16"/>
          <w:color w:val="auto"/>
        </w:rPr>
        <w:t>Nota: se representan los valores de cuatro poblaciones de lagartijas que habitan en un gradiente altitudinal. Los valores resaltados son los de mayor peso (cursivas: sentido positivo, negritas: sentido negativo).</w:t>
      </w:r>
    </w:p>
    <w:p>
      <w:pPr>
        <w:spacing w:after="0" w:line="2"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Fuente: Ruiz, 2010.</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30"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118" w:name="page119"/>
    <w:bookmarkEnd w:id="118"/>
    <w:p>
      <w:pPr>
        <w:spacing w:after="0"/>
        <w:tabs>
          <w:tab w:leader="none" w:pos="2100" w:val="left"/>
          <w:tab w:leader="none" w:pos="2960" w:val="left"/>
          <w:tab w:leader="none" w:pos="4120" w:val="left"/>
        </w:tabs>
        <w:rPr>
          <w:sz w:val="20"/>
          <w:szCs w:val="20"/>
          <w:color w:val="auto"/>
        </w:rPr>
      </w:pPr>
      <w:r>
        <w:rPr>
          <w:rFonts w:ascii="Arial Narrow" w:cs="Arial Narrow" w:eastAsia="Arial Narrow" w:hAnsi="Arial Narrow"/>
          <w:sz w:val="16"/>
          <w:szCs w:val="16"/>
          <w:color w:val="auto"/>
        </w:rPr>
        <w:t>118</w:t>
      </w:r>
      <w:r>
        <w:rPr>
          <w:sz w:val="20"/>
          <w:szCs w:val="20"/>
          <w:color w:val="auto"/>
        </w:rPr>
        <w:tab/>
      </w:r>
      <w:r>
        <w:rPr>
          <w:rFonts w:ascii="Arial Narrow" w:cs="Arial Narrow" w:eastAsia="Arial Narrow" w:hAnsi="Arial Narrow"/>
          <w:sz w:val="11"/>
          <w:szCs w:val="11"/>
          <w:color w:val="auto"/>
        </w:rPr>
        <w:t>ruiz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valencia</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1858645</wp:posOffset>
                </wp:positionH>
                <wp:positionV relativeFrom="paragraph">
                  <wp:posOffset>-76835</wp:posOffset>
                </wp:positionV>
                <wp:extent cx="0" cy="88900"/>
                <wp:wrapNone/>
                <wp:docPr id="277" name="Shape 27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77" o:spid="_x0000_s130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6.35pt,-6.0499pt" to="146.3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2602230</wp:posOffset>
                </wp:positionH>
                <wp:positionV relativeFrom="paragraph">
                  <wp:posOffset>-76835</wp:posOffset>
                </wp:positionV>
                <wp:extent cx="0" cy="88900"/>
                <wp:wrapNone/>
                <wp:docPr id="278" name="Shape 27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78" o:spid="_x0000_s130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4.9pt,-6.0499pt" to="204.9pt,0.95pt" o:allowincell="f" strokecolor="#000000" strokeweight="0.4pt"/>
            </w:pict>
          </mc:Fallback>
        </mc:AlternateContent>
      </w:r>
    </w:p>
    <w:p>
      <w:pPr>
        <w:spacing w:after="0" w:line="347" w:lineRule="exact"/>
        <w:rPr>
          <w:sz w:val="20"/>
          <w:szCs w:val="20"/>
          <w:color w:val="auto"/>
        </w:rPr>
      </w:pPr>
    </w:p>
    <w:p>
      <w:pPr>
        <w:jc w:val="both"/>
        <w:spacing w:after="0" w:line="343" w:lineRule="auto"/>
        <w:rPr>
          <w:sz w:val="20"/>
          <w:szCs w:val="20"/>
          <w:color w:val="auto"/>
        </w:rPr>
      </w:pPr>
      <w:r>
        <w:rPr>
          <w:rFonts w:ascii="Times New Roman" w:cs="Times New Roman" w:eastAsia="Times New Roman" w:hAnsi="Times New Roman"/>
          <w:sz w:val="19"/>
          <w:szCs w:val="19"/>
          <w:color w:val="auto"/>
        </w:rPr>
        <w:t>El Anova y el contraste de Bonferroni para el CP1 expusieron diferencias significativas entre poblaciones (</w:t>
      </w:r>
      <w:r>
        <w:rPr>
          <w:rFonts w:ascii="Times New Roman" w:cs="Times New Roman" w:eastAsia="Times New Roman" w:hAnsi="Times New Roman"/>
          <w:sz w:val="19"/>
          <w:szCs w:val="19"/>
          <w:i w:val="1"/>
          <w:iCs w:val="1"/>
          <w:color w:val="auto"/>
        </w:rPr>
        <w:t>F</w:t>
      </w:r>
      <w:r>
        <w:rPr>
          <w:rFonts w:ascii="Times New Roman" w:cs="Times New Roman" w:eastAsia="Times New Roman" w:hAnsi="Times New Roman"/>
          <w:sz w:val="22"/>
          <w:szCs w:val="22"/>
          <w:color w:val="auto"/>
          <w:vertAlign w:val="subscript"/>
        </w:rPr>
        <w:t>3.66</w:t>
      </w:r>
      <w:r>
        <w:rPr>
          <w:rFonts w:ascii="Times New Roman" w:cs="Times New Roman" w:eastAsia="Times New Roman" w:hAnsi="Times New Roman"/>
          <w:sz w:val="19"/>
          <w:szCs w:val="19"/>
          <w:color w:val="auto"/>
        </w:rPr>
        <w:t xml:space="preserve"> = 22.92, </w:t>
      </w:r>
      <w:r>
        <w:rPr>
          <w:rFonts w:ascii="Times New Roman" w:cs="Times New Roman" w:eastAsia="Times New Roman" w:hAnsi="Times New Roman"/>
          <w:sz w:val="19"/>
          <w:szCs w:val="19"/>
          <w:i w:val="1"/>
          <w:iCs w:val="1"/>
          <w:color w:val="auto"/>
        </w:rPr>
        <w:t>p</w:t>
      </w:r>
      <w:r>
        <w:rPr>
          <w:rFonts w:ascii="Times New Roman" w:cs="Times New Roman" w:eastAsia="Times New Roman" w:hAnsi="Times New Roman"/>
          <w:sz w:val="19"/>
          <w:szCs w:val="19"/>
          <w:color w:val="auto"/>
        </w:rPr>
        <w:t xml:space="preserve"> = 0.0001); además, confirmaron la integración de los tres grupos mencionados con la morfometría de corazón predicha a partir del acp (figura 6).</w:t>
      </w:r>
    </w:p>
    <w:p>
      <w:pPr>
        <w:spacing w:after="0" w:line="251" w:lineRule="exact"/>
        <w:rPr>
          <w:sz w:val="20"/>
          <w:szCs w:val="20"/>
          <w:color w:val="auto"/>
        </w:rPr>
      </w:pPr>
    </w:p>
    <w:p>
      <w:pPr>
        <w:ind w:left="3320"/>
        <w:spacing w:after="0"/>
        <w:rPr>
          <w:sz w:val="20"/>
          <w:szCs w:val="20"/>
          <w:color w:val="auto"/>
        </w:rPr>
      </w:pPr>
      <w:r>
        <w:rPr>
          <w:rFonts w:ascii="Times New Roman" w:cs="Times New Roman" w:eastAsia="Times New Roman" w:hAnsi="Times New Roman"/>
          <w:sz w:val="18"/>
          <w:szCs w:val="18"/>
          <w:i w:val="1"/>
          <w:iCs w:val="1"/>
          <w:color w:val="auto"/>
        </w:rPr>
        <w:t>Figura 6</w:t>
      </w:r>
    </w:p>
    <w:p>
      <w:pPr>
        <w:spacing w:after="0" w:line="261"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-8890</wp:posOffset>
            </wp:positionH>
            <wp:positionV relativeFrom="paragraph">
              <wp:posOffset>88900</wp:posOffset>
            </wp:positionV>
            <wp:extent cx="4580890" cy="2929255"/>
            <wp:wrapNone/>
            <wp:docPr id="279"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56">
                      <a:extLst>
                        <a:ext uri="{28A0092B-C50C-407E-A947-70E740481C1C}"/>
                      </a:extLst>
                    </a:blip>
                    <a:srcRect/>
                    <a:stretch>
                      <a:fillRect/>
                    </a:stretch>
                  </pic:blipFill>
                  <pic:spPr bwMode="auto">
                    <a:xfrm>
                      <a:off x="0" y="0"/>
                      <a:ext cx="4580890" cy="2929255"/>
                    </a:xfrm>
                    <a:prstGeom prst="rect">
                      <a:avLst/>
                    </a:prstGeom>
                    <a:noFill/>
                  </pic:spPr>
                </pic:pic>
              </a:graphicData>
            </a:graphic>
          </wp:anchor>
        </w:drawing>
      </w:r>
    </w:p>
    <w:p>
      <w:pPr>
        <w:ind w:left="420"/>
        <w:spacing w:after="0"/>
        <w:rPr>
          <w:sz w:val="20"/>
          <w:szCs w:val="20"/>
          <w:color w:val="auto"/>
        </w:rPr>
      </w:pPr>
      <w:r>
        <w:rPr>
          <w:rFonts w:ascii="Times New Roman" w:cs="Times New Roman" w:eastAsia="Times New Roman" w:hAnsi="Times New Roman"/>
          <w:sz w:val="16"/>
          <w:szCs w:val="16"/>
          <w:color w:val="auto"/>
        </w:rPr>
        <w:t>4.8</w:t>
      </w:r>
    </w:p>
    <w:p>
      <w:pPr>
        <w:spacing w:after="0" w:line="17" w:lineRule="exact"/>
        <w:rPr>
          <w:sz w:val="20"/>
          <w:szCs w:val="20"/>
          <w:color w:val="auto"/>
        </w:rPr>
      </w:pPr>
    </w:p>
    <w:tbl>
      <w:tblPr>
        <w:tblLayout w:type="fixed"/>
        <w:tblInd w:w="100" w:type="dxa"/>
        <w:tblCellMar>
          <w:top w:w="0" w:type="dxa"/>
          <w:left w:w="0" w:type="dxa"/>
          <w:bottom w:w="0" w:type="dxa"/>
          <w:right w:w="0" w:type="dxa"/>
        </w:tblCellMar>
      </w:tblPr>
      <w:tr>
        <w:trPr>
          <w:trHeight w:val="203"/>
        </w:trPr>
        <w:tc>
          <w:tcPr>
            <w:tcW w:w="220" w:type="dxa"/>
            <w:vAlign w:val="bottom"/>
          </w:tcPr>
          <w:p>
            <w:pPr>
              <w:spacing w:after="0"/>
              <w:rPr>
                <w:sz w:val="17"/>
                <w:szCs w:val="17"/>
                <w:color w:val="auto"/>
              </w:rPr>
            </w:pPr>
          </w:p>
        </w:tc>
        <w:tc>
          <w:tcPr>
            <w:tcW w:w="2760" w:type="dxa"/>
            <w:vAlign w:val="bottom"/>
          </w:tcPr>
          <w:p>
            <w:pPr>
              <w:spacing w:after="0"/>
              <w:rPr>
                <w:sz w:val="17"/>
                <w:szCs w:val="17"/>
                <w:color w:val="auto"/>
              </w:rPr>
            </w:pPr>
          </w:p>
        </w:tc>
        <w:tc>
          <w:tcPr>
            <w:tcW w:w="2980" w:type="dxa"/>
            <w:vAlign w:val="bottom"/>
          </w:tcPr>
          <w:p>
            <w:pPr>
              <w:jc w:val="right"/>
              <w:ind w:right="2260"/>
              <w:spacing w:after="0"/>
              <w:rPr>
                <w:sz w:val="20"/>
                <w:szCs w:val="20"/>
                <w:color w:val="auto"/>
              </w:rPr>
            </w:pPr>
            <w:r>
              <w:rPr>
                <w:rFonts w:ascii="Times New Roman" w:cs="Times New Roman" w:eastAsia="Times New Roman" w:hAnsi="Times New Roman"/>
                <w:sz w:val="16"/>
                <w:szCs w:val="16"/>
                <w:color w:val="auto"/>
              </w:rPr>
              <w:t>1</w:t>
            </w:r>
          </w:p>
        </w:tc>
        <w:tc>
          <w:tcPr>
            <w:tcW w:w="0" w:type="dxa"/>
            <w:vAlign w:val="bottom"/>
          </w:tcPr>
          <w:p>
            <w:pPr>
              <w:spacing w:after="0"/>
              <w:rPr>
                <w:sz w:val="1"/>
                <w:szCs w:val="1"/>
                <w:color w:val="auto"/>
              </w:rPr>
            </w:pPr>
          </w:p>
        </w:tc>
      </w:tr>
      <w:tr>
        <w:trPr>
          <w:trHeight w:val="619"/>
        </w:trPr>
        <w:tc>
          <w:tcPr>
            <w:tcW w:w="220" w:type="dxa"/>
            <w:vAlign w:val="bottom"/>
            <w:vMerge w:val="restart"/>
            <w:textDirection w:val="btLr"/>
          </w:tcPr>
          <w:p>
            <w:pPr>
              <w:ind w:left="17"/>
              <w:spacing w:after="0"/>
              <w:rPr>
                <w:sz w:val="20"/>
                <w:szCs w:val="20"/>
                <w:color w:val="auto"/>
              </w:rPr>
            </w:pPr>
            <w:r>
              <w:rPr>
                <w:rFonts w:ascii="Times New Roman" w:cs="Times New Roman" w:eastAsia="Times New Roman" w:hAnsi="Times New Roman"/>
                <w:sz w:val="16"/>
                <w:szCs w:val="16"/>
                <w:b w:val="1"/>
                <w:bCs w:val="1"/>
                <w:color w:val="auto"/>
                <w:w w:val="95"/>
              </w:rPr>
              <w:t>Corazón</w:t>
            </w:r>
          </w:p>
        </w:tc>
        <w:tc>
          <w:tcPr>
            <w:tcW w:w="2760" w:type="dxa"/>
            <w:vAlign w:val="bottom"/>
          </w:tcPr>
          <w:p>
            <w:pPr>
              <w:jc w:val="right"/>
              <w:ind w:right="2380"/>
              <w:spacing w:after="0"/>
              <w:rPr>
                <w:sz w:val="20"/>
                <w:szCs w:val="20"/>
                <w:color w:val="auto"/>
              </w:rPr>
            </w:pPr>
            <w:r>
              <w:rPr>
                <w:rFonts w:ascii="Times New Roman" w:cs="Times New Roman" w:eastAsia="Times New Roman" w:hAnsi="Times New Roman"/>
                <w:sz w:val="16"/>
                <w:szCs w:val="16"/>
                <w:color w:val="auto"/>
              </w:rPr>
              <w:t>2.8</w:t>
            </w:r>
          </w:p>
        </w:tc>
        <w:tc>
          <w:tcPr>
            <w:tcW w:w="29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86"/>
        </w:trPr>
        <w:tc>
          <w:tcPr>
            <w:tcW w:w="220" w:type="dxa"/>
            <w:vAlign w:val="bottom"/>
            <w:vMerge w:val="continue"/>
          </w:tcPr>
          <w:p>
            <w:pPr>
              <w:spacing w:after="0"/>
              <w:rPr>
                <w:sz w:val="24"/>
                <w:szCs w:val="24"/>
                <w:color w:val="auto"/>
              </w:rPr>
            </w:pPr>
          </w:p>
        </w:tc>
        <w:tc>
          <w:tcPr>
            <w:tcW w:w="2760" w:type="dxa"/>
            <w:vAlign w:val="bottom"/>
          </w:tcPr>
          <w:p>
            <w:pPr>
              <w:spacing w:after="0"/>
              <w:rPr>
                <w:sz w:val="24"/>
                <w:szCs w:val="24"/>
                <w:color w:val="auto"/>
              </w:rPr>
            </w:pPr>
          </w:p>
        </w:tc>
        <w:tc>
          <w:tcPr>
            <w:tcW w:w="2980" w:type="dxa"/>
            <w:vAlign w:val="bottom"/>
            <w:vMerge w:val="restart"/>
          </w:tcPr>
          <w:p>
            <w:pPr>
              <w:jc w:val="right"/>
              <w:ind w:right="1100"/>
              <w:spacing w:after="0"/>
              <w:rPr>
                <w:sz w:val="20"/>
                <w:szCs w:val="20"/>
                <w:color w:val="auto"/>
              </w:rPr>
            </w:pPr>
            <w:r>
              <w:rPr>
                <w:rFonts w:ascii="Times New Roman" w:cs="Times New Roman" w:eastAsia="Times New Roman" w:hAnsi="Times New Roman"/>
                <w:sz w:val="16"/>
                <w:szCs w:val="16"/>
                <w:color w:val="auto"/>
              </w:rPr>
              <w:t>2</w:t>
            </w:r>
          </w:p>
        </w:tc>
        <w:tc>
          <w:tcPr>
            <w:tcW w:w="0" w:type="dxa"/>
            <w:vAlign w:val="bottom"/>
          </w:tcPr>
          <w:p>
            <w:pPr>
              <w:spacing w:after="0"/>
              <w:rPr>
                <w:sz w:val="1"/>
                <w:szCs w:val="1"/>
                <w:color w:val="auto"/>
              </w:rPr>
            </w:pPr>
          </w:p>
        </w:tc>
      </w:tr>
      <w:tr>
        <w:trPr>
          <w:trHeight w:val="56"/>
        </w:trPr>
        <w:tc>
          <w:tcPr>
            <w:tcW w:w="220" w:type="dxa"/>
            <w:vAlign w:val="bottom"/>
          </w:tcPr>
          <w:p>
            <w:pPr>
              <w:spacing w:after="0"/>
              <w:rPr>
                <w:sz w:val="4"/>
                <w:szCs w:val="4"/>
                <w:color w:val="auto"/>
              </w:rPr>
            </w:pPr>
          </w:p>
        </w:tc>
        <w:tc>
          <w:tcPr>
            <w:tcW w:w="2760" w:type="dxa"/>
            <w:vAlign w:val="bottom"/>
          </w:tcPr>
          <w:p>
            <w:pPr>
              <w:spacing w:after="0"/>
              <w:rPr>
                <w:sz w:val="4"/>
                <w:szCs w:val="4"/>
                <w:color w:val="auto"/>
              </w:rPr>
            </w:pPr>
          </w:p>
        </w:tc>
        <w:tc>
          <w:tcPr>
            <w:tcW w:w="2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378"/>
        </w:trPr>
        <w:tc>
          <w:tcPr>
            <w:tcW w:w="220" w:type="dxa"/>
            <w:vAlign w:val="bottom"/>
            <w:vMerge w:val="restart"/>
            <w:textDirection w:val="btLr"/>
          </w:tcPr>
          <w:p>
            <w:pPr>
              <w:ind w:left="17"/>
              <w:spacing w:after="0"/>
              <w:rPr>
                <w:sz w:val="20"/>
                <w:szCs w:val="20"/>
                <w:color w:val="auto"/>
              </w:rPr>
            </w:pPr>
            <w:r>
              <w:rPr>
                <w:rFonts w:ascii="Times New Roman" w:cs="Times New Roman" w:eastAsia="Times New Roman" w:hAnsi="Times New Roman"/>
                <w:sz w:val="16"/>
                <w:szCs w:val="16"/>
                <w:b w:val="1"/>
                <w:bCs w:val="1"/>
                <w:color w:val="auto"/>
                <w:w w:val="96"/>
              </w:rPr>
              <w:t>C.P.1</w:t>
            </w:r>
          </w:p>
        </w:tc>
        <w:tc>
          <w:tcPr>
            <w:tcW w:w="2760" w:type="dxa"/>
            <w:vAlign w:val="bottom"/>
          </w:tcPr>
          <w:p>
            <w:pPr>
              <w:jc w:val="right"/>
              <w:ind w:right="2380"/>
              <w:spacing w:after="0"/>
              <w:rPr>
                <w:sz w:val="20"/>
                <w:szCs w:val="20"/>
                <w:color w:val="auto"/>
              </w:rPr>
            </w:pPr>
            <w:r>
              <w:rPr>
                <w:rFonts w:ascii="Times New Roman" w:cs="Times New Roman" w:eastAsia="Times New Roman" w:hAnsi="Times New Roman"/>
                <w:sz w:val="16"/>
                <w:szCs w:val="16"/>
                <w:color w:val="auto"/>
              </w:rPr>
              <w:t>-0.8</w:t>
            </w:r>
          </w:p>
        </w:tc>
        <w:tc>
          <w:tcPr>
            <w:tcW w:w="29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66"/>
        </w:trPr>
        <w:tc>
          <w:tcPr>
            <w:tcW w:w="220" w:type="dxa"/>
            <w:vAlign w:val="bottom"/>
            <w:vMerge w:val="continue"/>
          </w:tcPr>
          <w:p>
            <w:pPr>
              <w:spacing w:after="0"/>
              <w:rPr>
                <w:sz w:val="23"/>
                <w:szCs w:val="23"/>
                <w:color w:val="auto"/>
              </w:rPr>
            </w:pPr>
          </w:p>
        </w:tc>
        <w:tc>
          <w:tcPr>
            <w:tcW w:w="2760" w:type="dxa"/>
            <w:vAlign w:val="bottom"/>
          </w:tcPr>
          <w:p>
            <w:pPr>
              <w:spacing w:after="0"/>
              <w:rPr>
                <w:sz w:val="23"/>
                <w:szCs w:val="23"/>
                <w:color w:val="auto"/>
              </w:rPr>
            </w:pPr>
          </w:p>
        </w:tc>
        <w:tc>
          <w:tcPr>
            <w:tcW w:w="2980" w:type="dxa"/>
            <w:vAlign w:val="bottom"/>
          </w:tcPr>
          <w:p>
            <w:pPr>
              <w:spacing w:after="0"/>
              <w:rPr>
                <w:sz w:val="23"/>
                <w:szCs w:val="23"/>
                <w:color w:val="auto"/>
              </w:rPr>
            </w:pPr>
          </w:p>
        </w:tc>
        <w:tc>
          <w:tcPr>
            <w:tcW w:w="0" w:type="dxa"/>
            <w:vAlign w:val="bottom"/>
          </w:tcPr>
          <w:p>
            <w:pPr>
              <w:spacing w:after="0"/>
              <w:rPr>
                <w:sz w:val="1"/>
                <w:szCs w:val="1"/>
                <w:color w:val="auto"/>
              </w:rPr>
            </w:pPr>
          </w:p>
        </w:tc>
      </w:tr>
      <w:tr>
        <w:trPr>
          <w:trHeight w:val="312"/>
        </w:trPr>
        <w:tc>
          <w:tcPr>
            <w:tcW w:w="220" w:type="dxa"/>
            <w:vAlign w:val="bottom"/>
          </w:tcPr>
          <w:p>
            <w:pPr>
              <w:spacing w:after="0"/>
              <w:rPr>
                <w:sz w:val="24"/>
                <w:szCs w:val="24"/>
                <w:color w:val="auto"/>
              </w:rPr>
            </w:pPr>
          </w:p>
        </w:tc>
        <w:tc>
          <w:tcPr>
            <w:tcW w:w="2760" w:type="dxa"/>
            <w:vAlign w:val="bottom"/>
          </w:tcPr>
          <w:p>
            <w:pPr>
              <w:jc w:val="right"/>
              <w:ind w:right="500"/>
              <w:spacing w:after="0"/>
              <w:rPr>
                <w:sz w:val="20"/>
                <w:szCs w:val="20"/>
                <w:color w:val="auto"/>
              </w:rPr>
            </w:pPr>
            <w:r>
              <w:rPr>
                <w:rFonts w:ascii="Times New Roman" w:cs="Times New Roman" w:eastAsia="Times New Roman" w:hAnsi="Times New Roman"/>
                <w:sz w:val="16"/>
                <w:szCs w:val="16"/>
                <w:color w:val="auto"/>
              </w:rPr>
              <w:t>3</w:t>
            </w:r>
          </w:p>
        </w:tc>
        <w:tc>
          <w:tcPr>
            <w:tcW w:w="2980" w:type="dxa"/>
            <w:vAlign w:val="bottom"/>
          </w:tcPr>
          <w:p>
            <w:pPr>
              <w:jc w:val="right"/>
              <w:spacing w:after="0"/>
              <w:rPr>
                <w:sz w:val="20"/>
                <w:szCs w:val="20"/>
                <w:color w:val="auto"/>
              </w:rPr>
            </w:pPr>
            <w:r>
              <w:rPr>
                <w:rFonts w:ascii="Times New Roman" w:cs="Times New Roman" w:eastAsia="Times New Roman" w:hAnsi="Times New Roman"/>
                <w:sz w:val="16"/>
                <w:szCs w:val="16"/>
                <w:color w:val="auto"/>
              </w:rPr>
              <w:t>3</w:t>
            </w:r>
          </w:p>
        </w:tc>
        <w:tc>
          <w:tcPr>
            <w:tcW w:w="0" w:type="dxa"/>
            <w:vAlign w:val="bottom"/>
          </w:tcPr>
          <w:p>
            <w:pPr>
              <w:spacing w:after="0"/>
              <w:rPr>
                <w:sz w:val="1"/>
                <w:szCs w:val="1"/>
                <w:color w:val="auto"/>
              </w:rPr>
            </w:pPr>
          </w:p>
        </w:tc>
      </w:tr>
      <w:tr>
        <w:trPr>
          <w:trHeight w:val="203"/>
        </w:trPr>
        <w:tc>
          <w:tcPr>
            <w:tcW w:w="220" w:type="dxa"/>
            <w:vAlign w:val="bottom"/>
          </w:tcPr>
          <w:p>
            <w:pPr>
              <w:spacing w:after="0"/>
              <w:rPr>
                <w:sz w:val="17"/>
                <w:szCs w:val="17"/>
                <w:color w:val="auto"/>
              </w:rPr>
            </w:pPr>
          </w:p>
        </w:tc>
        <w:tc>
          <w:tcPr>
            <w:tcW w:w="2760" w:type="dxa"/>
            <w:vAlign w:val="bottom"/>
          </w:tcPr>
          <w:p>
            <w:pPr>
              <w:jc w:val="right"/>
              <w:ind w:right="2380"/>
              <w:spacing w:after="0"/>
              <w:rPr>
                <w:sz w:val="20"/>
                <w:szCs w:val="20"/>
                <w:color w:val="auto"/>
              </w:rPr>
            </w:pPr>
            <w:r>
              <w:rPr>
                <w:rFonts w:ascii="Times New Roman" w:cs="Times New Roman" w:eastAsia="Times New Roman" w:hAnsi="Times New Roman"/>
                <w:sz w:val="16"/>
                <w:szCs w:val="16"/>
                <w:color w:val="auto"/>
              </w:rPr>
              <w:t>-1.2</w:t>
            </w:r>
          </w:p>
        </w:tc>
        <w:tc>
          <w:tcPr>
            <w:tcW w:w="2980" w:type="dxa"/>
            <w:vAlign w:val="bottom"/>
          </w:tcPr>
          <w:p>
            <w:pPr>
              <w:spacing w:after="0"/>
              <w:rPr>
                <w:sz w:val="17"/>
                <w:szCs w:val="17"/>
                <w:color w:val="auto"/>
              </w:rPr>
            </w:pPr>
          </w:p>
        </w:tc>
        <w:tc>
          <w:tcPr>
            <w:tcW w:w="0" w:type="dxa"/>
            <w:vAlign w:val="bottom"/>
          </w:tcPr>
          <w:p>
            <w:pPr>
              <w:spacing w:after="0"/>
              <w:rPr>
                <w:sz w:val="1"/>
                <w:szCs w:val="1"/>
                <w:color w:val="auto"/>
              </w:rPr>
            </w:pPr>
          </w:p>
        </w:tc>
      </w:tr>
      <w:tr>
        <w:trPr>
          <w:trHeight w:val="800"/>
        </w:trPr>
        <w:tc>
          <w:tcPr>
            <w:tcW w:w="220" w:type="dxa"/>
            <w:vAlign w:val="bottom"/>
          </w:tcPr>
          <w:p>
            <w:pPr>
              <w:spacing w:after="0"/>
              <w:rPr>
                <w:sz w:val="24"/>
                <w:szCs w:val="24"/>
                <w:color w:val="auto"/>
              </w:rPr>
            </w:pPr>
          </w:p>
        </w:tc>
        <w:tc>
          <w:tcPr>
            <w:tcW w:w="2760" w:type="dxa"/>
            <w:vAlign w:val="bottom"/>
          </w:tcPr>
          <w:p>
            <w:pPr>
              <w:jc w:val="right"/>
              <w:ind w:right="2380"/>
              <w:spacing w:after="0"/>
              <w:rPr>
                <w:sz w:val="20"/>
                <w:szCs w:val="20"/>
                <w:color w:val="auto"/>
              </w:rPr>
            </w:pPr>
            <w:r>
              <w:rPr>
                <w:rFonts w:ascii="Times New Roman" w:cs="Times New Roman" w:eastAsia="Times New Roman" w:hAnsi="Times New Roman"/>
                <w:sz w:val="16"/>
                <w:szCs w:val="16"/>
                <w:color w:val="auto"/>
              </w:rPr>
              <w:t>-3.2</w:t>
            </w:r>
          </w:p>
        </w:tc>
        <w:tc>
          <w:tcPr>
            <w:tcW w:w="2980" w:type="dxa"/>
            <w:vAlign w:val="bottom"/>
          </w:tcPr>
          <w:p>
            <w:pPr>
              <w:spacing w:after="0"/>
              <w:rPr>
                <w:sz w:val="24"/>
                <w:szCs w:val="24"/>
                <w:color w:val="auto"/>
              </w:rPr>
            </w:pPr>
          </w:p>
        </w:tc>
        <w:tc>
          <w:tcPr>
            <w:tcW w:w="0" w:type="dxa"/>
            <w:vAlign w:val="bottom"/>
          </w:tcPr>
          <w:p>
            <w:pPr>
              <w:spacing w:after="0"/>
              <w:rPr>
                <w:sz w:val="1"/>
                <w:szCs w:val="1"/>
                <w:color w:val="auto"/>
              </w:rPr>
            </w:pPr>
          </w:p>
        </w:tc>
      </w:tr>
    </w:tbl>
    <w:p>
      <w:pPr>
        <w:spacing w:after="0" w:line="28" w:lineRule="exact"/>
        <w:rPr>
          <w:sz w:val="20"/>
          <w:szCs w:val="20"/>
          <w:color w:val="auto"/>
        </w:rPr>
      </w:pPr>
    </w:p>
    <w:tbl>
      <w:tblPr>
        <w:tblLayout w:type="fixed"/>
        <w:tblInd w:w="1760" w:type="dxa"/>
        <w:tblCellMar>
          <w:top w:w="0" w:type="dxa"/>
          <w:left w:w="0" w:type="dxa"/>
          <w:bottom w:w="0" w:type="dxa"/>
          <w:right w:w="0" w:type="dxa"/>
        </w:tblCellMar>
      </w:tblPr>
      <w:tr>
        <w:trPr>
          <w:trHeight w:val="161"/>
        </w:trPr>
        <w:tc>
          <w:tcPr>
            <w:tcW w:w="800" w:type="dxa"/>
            <w:vAlign w:val="bottom"/>
            <w:gridSpan w:val="2"/>
          </w:tcPr>
          <w:p>
            <w:pPr>
              <w:jc w:val="center"/>
              <w:ind w:right="120"/>
              <w:spacing w:after="0"/>
              <w:rPr>
                <w:sz w:val="20"/>
                <w:szCs w:val="20"/>
                <w:color w:val="auto"/>
              </w:rPr>
            </w:pPr>
            <w:r>
              <w:rPr>
                <w:rFonts w:ascii="Times New Roman" w:cs="Times New Roman" w:eastAsia="Times New Roman" w:hAnsi="Times New Roman"/>
                <w:sz w:val="14"/>
                <w:szCs w:val="14"/>
                <w:b w:val="1"/>
                <w:bCs w:val="1"/>
                <w:i w:val="1"/>
                <w:iCs w:val="1"/>
                <w:color w:val="auto"/>
                <w:w w:val="94"/>
              </w:rPr>
              <w:t>S. aeneus</w:t>
            </w:r>
          </w:p>
        </w:tc>
        <w:tc>
          <w:tcPr>
            <w:tcW w:w="1200" w:type="dxa"/>
            <w:vAlign w:val="bottom"/>
          </w:tcPr>
          <w:p>
            <w:pPr>
              <w:jc w:val="center"/>
              <w:ind w:left="167"/>
              <w:spacing w:after="0"/>
              <w:rPr>
                <w:sz w:val="20"/>
                <w:szCs w:val="20"/>
                <w:color w:val="auto"/>
              </w:rPr>
            </w:pPr>
            <w:r>
              <w:rPr>
                <w:rFonts w:ascii="Times New Roman" w:cs="Times New Roman" w:eastAsia="Times New Roman" w:hAnsi="Times New Roman"/>
                <w:sz w:val="14"/>
                <w:szCs w:val="14"/>
                <w:b w:val="1"/>
                <w:bCs w:val="1"/>
                <w:i w:val="1"/>
                <w:iCs w:val="1"/>
                <w:color w:val="auto"/>
                <w:w w:val="96"/>
              </w:rPr>
              <w:t>S. bicanthalis</w:t>
            </w:r>
          </w:p>
        </w:tc>
        <w:tc>
          <w:tcPr>
            <w:tcW w:w="1140" w:type="dxa"/>
            <w:vAlign w:val="bottom"/>
          </w:tcPr>
          <w:p>
            <w:pPr>
              <w:jc w:val="center"/>
              <w:ind w:left="187"/>
              <w:spacing w:after="0"/>
              <w:rPr>
                <w:sz w:val="20"/>
                <w:szCs w:val="20"/>
                <w:color w:val="auto"/>
              </w:rPr>
            </w:pPr>
            <w:r>
              <w:rPr>
                <w:rFonts w:ascii="Times New Roman" w:cs="Times New Roman" w:eastAsia="Times New Roman" w:hAnsi="Times New Roman"/>
                <w:sz w:val="14"/>
                <w:szCs w:val="14"/>
                <w:b w:val="1"/>
                <w:bCs w:val="1"/>
                <w:i w:val="1"/>
                <w:iCs w:val="1"/>
                <w:color w:val="auto"/>
                <w:w w:val="94"/>
              </w:rPr>
              <w:t>S. aeneus</w:t>
            </w:r>
          </w:p>
        </w:tc>
        <w:tc>
          <w:tcPr>
            <w:tcW w:w="1140" w:type="dxa"/>
            <w:vAlign w:val="bottom"/>
            <w:gridSpan w:val="2"/>
          </w:tcPr>
          <w:p>
            <w:pPr>
              <w:jc w:val="center"/>
              <w:ind w:left="287"/>
              <w:spacing w:after="0"/>
              <w:rPr>
                <w:sz w:val="20"/>
                <w:szCs w:val="20"/>
                <w:color w:val="auto"/>
              </w:rPr>
            </w:pPr>
            <w:r>
              <w:rPr>
                <w:rFonts w:ascii="Times New Roman" w:cs="Times New Roman" w:eastAsia="Times New Roman" w:hAnsi="Times New Roman"/>
                <w:sz w:val="14"/>
                <w:szCs w:val="14"/>
                <w:b w:val="1"/>
                <w:bCs w:val="1"/>
                <w:i w:val="1"/>
                <w:iCs w:val="1"/>
                <w:color w:val="auto"/>
                <w:w w:val="99"/>
              </w:rPr>
              <w:t>S. bicanthalis</w:t>
            </w:r>
          </w:p>
        </w:tc>
      </w:tr>
      <w:tr>
        <w:trPr>
          <w:trHeight w:val="168"/>
        </w:trPr>
        <w:tc>
          <w:tcPr>
            <w:tcW w:w="800" w:type="dxa"/>
            <w:vAlign w:val="bottom"/>
            <w:gridSpan w:val="2"/>
          </w:tcPr>
          <w:p>
            <w:pPr>
              <w:jc w:val="center"/>
              <w:ind w:right="120"/>
              <w:spacing w:after="0"/>
              <w:rPr>
                <w:sz w:val="20"/>
                <w:szCs w:val="20"/>
                <w:color w:val="auto"/>
              </w:rPr>
            </w:pPr>
            <w:r>
              <w:rPr>
                <w:rFonts w:ascii="Times New Roman" w:cs="Times New Roman" w:eastAsia="Times New Roman" w:hAnsi="Times New Roman"/>
                <w:sz w:val="14"/>
                <w:szCs w:val="14"/>
                <w:b w:val="1"/>
                <w:bCs w:val="1"/>
                <w:color w:val="auto"/>
                <w:w w:val="99"/>
              </w:rPr>
              <w:t>2645 msnm</w:t>
            </w:r>
          </w:p>
        </w:tc>
        <w:tc>
          <w:tcPr>
            <w:tcW w:w="1200" w:type="dxa"/>
            <w:vAlign w:val="bottom"/>
          </w:tcPr>
          <w:p>
            <w:pPr>
              <w:jc w:val="center"/>
              <w:ind w:left="167"/>
              <w:spacing w:after="0"/>
              <w:rPr>
                <w:sz w:val="20"/>
                <w:szCs w:val="20"/>
                <w:color w:val="auto"/>
              </w:rPr>
            </w:pPr>
            <w:r>
              <w:rPr>
                <w:rFonts w:ascii="Times New Roman" w:cs="Times New Roman" w:eastAsia="Times New Roman" w:hAnsi="Times New Roman"/>
                <w:sz w:val="14"/>
                <w:szCs w:val="14"/>
                <w:b w:val="1"/>
                <w:bCs w:val="1"/>
                <w:color w:val="auto"/>
                <w:w w:val="99"/>
              </w:rPr>
              <w:t>2857 msnm</w:t>
            </w:r>
          </w:p>
        </w:tc>
        <w:tc>
          <w:tcPr>
            <w:tcW w:w="1140" w:type="dxa"/>
            <w:vAlign w:val="bottom"/>
          </w:tcPr>
          <w:p>
            <w:pPr>
              <w:jc w:val="center"/>
              <w:ind w:left="187"/>
              <w:spacing w:after="0"/>
              <w:rPr>
                <w:sz w:val="20"/>
                <w:szCs w:val="20"/>
                <w:color w:val="auto"/>
              </w:rPr>
            </w:pPr>
            <w:r>
              <w:rPr>
                <w:rFonts w:ascii="Times New Roman" w:cs="Times New Roman" w:eastAsia="Times New Roman" w:hAnsi="Times New Roman"/>
                <w:sz w:val="14"/>
                <w:szCs w:val="14"/>
                <w:b w:val="1"/>
                <w:bCs w:val="1"/>
                <w:color w:val="auto"/>
                <w:w w:val="99"/>
              </w:rPr>
              <w:t>3245 msnm</w:t>
            </w:r>
          </w:p>
        </w:tc>
        <w:tc>
          <w:tcPr>
            <w:tcW w:w="1140" w:type="dxa"/>
            <w:vAlign w:val="bottom"/>
            <w:gridSpan w:val="2"/>
          </w:tcPr>
          <w:p>
            <w:pPr>
              <w:jc w:val="center"/>
              <w:ind w:left="287"/>
              <w:spacing w:after="0"/>
              <w:rPr>
                <w:sz w:val="20"/>
                <w:szCs w:val="20"/>
                <w:color w:val="auto"/>
              </w:rPr>
            </w:pPr>
            <w:r>
              <w:rPr>
                <w:rFonts w:ascii="Times New Roman" w:cs="Times New Roman" w:eastAsia="Times New Roman" w:hAnsi="Times New Roman"/>
                <w:sz w:val="14"/>
                <w:szCs w:val="14"/>
                <w:b w:val="1"/>
                <w:bCs w:val="1"/>
                <w:color w:val="auto"/>
                <w:w w:val="96"/>
              </w:rPr>
              <w:t>4200 msnm</w:t>
            </w:r>
          </w:p>
        </w:tc>
      </w:tr>
      <w:tr>
        <w:trPr>
          <w:trHeight w:val="170"/>
        </w:trPr>
        <w:tc>
          <w:tcPr>
            <w:tcW w:w="660" w:type="dxa"/>
            <w:vAlign w:val="bottom"/>
          </w:tcPr>
          <w:p>
            <w:pPr>
              <w:spacing w:after="0"/>
              <w:rPr>
                <w:sz w:val="14"/>
                <w:szCs w:val="14"/>
                <w:color w:val="auto"/>
              </w:rPr>
            </w:pPr>
          </w:p>
        </w:tc>
        <w:tc>
          <w:tcPr>
            <w:tcW w:w="140" w:type="dxa"/>
            <w:vAlign w:val="bottom"/>
          </w:tcPr>
          <w:p>
            <w:pPr>
              <w:spacing w:after="0"/>
              <w:rPr>
                <w:sz w:val="14"/>
                <w:szCs w:val="14"/>
                <w:color w:val="auto"/>
              </w:rPr>
            </w:pPr>
          </w:p>
        </w:tc>
        <w:tc>
          <w:tcPr>
            <w:tcW w:w="1200" w:type="dxa"/>
            <w:vAlign w:val="bottom"/>
          </w:tcPr>
          <w:p>
            <w:pPr>
              <w:spacing w:after="0"/>
              <w:rPr>
                <w:sz w:val="14"/>
                <w:szCs w:val="14"/>
                <w:color w:val="auto"/>
              </w:rPr>
            </w:pPr>
          </w:p>
        </w:tc>
        <w:tc>
          <w:tcPr>
            <w:tcW w:w="1140" w:type="dxa"/>
            <w:vAlign w:val="bottom"/>
          </w:tcPr>
          <w:p>
            <w:pPr>
              <w:spacing w:after="0"/>
              <w:rPr>
                <w:sz w:val="14"/>
                <w:szCs w:val="14"/>
                <w:color w:val="auto"/>
              </w:rPr>
            </w:pPr>
          </w:p>
        </w:tc>
        <w:tc>
          <w:tcPr>
            <w:tcW w:w="1140" w:type="dxa"/>
            <w:vAlign w:val="bottom"/>
            <w:gridSpan w:val="2"/>
          </w:tcPr>
          <w:p>
            <w:pPr>
              <w:spacing w:after="0"/>
              <w:rPr>
                <w:sz w:val="14"/>
                <w:szCs w:val="14"/>
                <w:color w:val="auto"/>
              </w:rPr>
            </w:pPr>
          </w:p>
        </w:tc>
      </w:tr>
      <w:tr>
        <w:trPr>
          <w:trHeight w:val="289"/>
        </w:trPr>
        <w:tc>
          <w:tcPr>
            <w:tcW w:w="660" w:type="dxa"/>
            <w:vAlign w:val="bottom"/>
            <w:tcBorders>
              <w:right w:val="single" w:sz="8" w:color="auto"/>
            </w:tcBorders>
          </w:tcPr>
          <w:p>
            <w:pPr>
              <w:spacing w:after="0"/>
              <w:rPr>
                <w:sz w:val="24"/>
                <w:szCs w:val="24"/>
                <w:color w:val="auto"/>
              </w:rPr>
            </w:pPr>
          </w:p>
        </w:tc>
        <w:tc>
          <w:tcPr>
            <w:tcW w:w="140" w:type="dxa"/>
            <w:vAlign w:val="bottom"/>
            <w:tcBorders>
              <w:top w:val="single" w:sz="8" w:color="auto"/>
            </w:tcBorders>
          </w:tcPr>
          <w:p>
            <w:pPr>
              <w:spacing w:after="0"/>
              <w:rPr>
                <w:sz w:val="24"/>
                <w:szCs w:val="24"/>
                <w:color w:val="auto"/>
              </w:rPr>
            </w:pPr>
          </w:p>
        </w:tc>
        <w:tc>
          <w:tcPr>
            <w:tcW w:w="1200" w:type="dxa"/>
            <w:vAlign w:val="bottom"/>
            <w:tcBorders>
              <w:top w:val="single" w:sz="8" w:color="auto"/>
            </w:tcBorders>
          </w:tcPr>
          <w:p>
            <w:pPr>
              <w:ind w:left="140"/>
              <w:spacing w:after="0"/>
              <w:rPr>
                <w:sz w:val="20"/>
                <w:szCs w:val="20"/>
                <w:color w:val="auto"/>
              </w:rPr>
            </w:pPr>
            <w:r>
              <w:rPr>
                <w:rFonts w:ascii="Times New Roman" w:cs="Times New Roman" w:eastAsia="Times New Roman" w:hAnsi="Times New Roman"/>
                <w:sz w:val="16"/>
                <w:szCs w:val="16"/>
                <w:color w:val="auto"/>
              </w:rPr>
              <w:t>Grupo 1</w:t>
            </w:r>
          </w:p>
        </w:tc>
        <w:tc>
          <w:tcPr>
            <w:tcW w:w="1140" w:type="dxa"/>
            <w:vAlign w:val="bottom"/>
            <w:tcBorders>
              <w:top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Grupo 2</w:t>
            </w:r>
          </w:p>
        </w:tc>
        <w:tc>
          <w:tcPr>
            <w:tcW w:w="700" w:type="dxa"/>
            <w:vAlign w:val="bottom"/>
            <w:tcBorders>
              <w:top w:val="single" w:sz="8" w:color="auto"/>
              <w:right w:val="single" w:sz="8" w:color="auto"/>
            </w:tcBorders>
          </w:tcPr>
          <w:p>
            <w:pPr>
              <w:ind w:left="100"/>
              <w:spacing w:after="0"/>
              <w:rPr>
                <w:sz w:val="20"/>
                <w:szCs w:val="20"/>
                <w:color w:val="auto"/>
              </w:rPr>
            </w:pPr>
            <w:r>
              <w:rPr>
                <w:rFonts w:ascii="Times New Roman" w:cs="Times New Roman" w:eastAsia="Times New Roman" w:hAnsi="Times New Roman"/>
                <w:sz w:val="16"/>
                <w:szCs w:val="16"/>
                <w:color w:val="auto"/>
              </w:rPr>
              <w:t>Grupo 3</w:t>
            </w:r>
          </w:p>
        </w:tc>
        <w:tc>
          <w:tcPr>
            <w:tcW w:w="440" w:type="dxa"/>
            <w:vAlign w:val="bottom"/>
          </w:tcPr>
          <w:p>
            <w:pPr>
              <w:spacing w:after="0"/>
              <w:rPr>
                <w:sz w:val="24"/>
                <w:szCs w:val="24"/>
                <w:color w:val="auto"/>
              </w:rPr>
            </w:pPr>
          </w:p>
        </w:tc>
      </w:tr>
      <w:tr>
        <w:trPr>
          <w:trHeight w:val="95"/>
        </w:trPr>
        <w:tc>
          <w:tcPr>
            <w:tcW w:w="660" w:type="dxa"/>
            <w:vAlign w:val="bottom"/>
            <w:tcBorders>
              <w:right w:val="single" w:sz="8" w:color="auto"/>
            </w:tcBorders>
          </w:tcPr>
          <w:p>
            <w:pPr>
              <w:spacing w:after="0"/>
              <w:rPr>
                <w:sz w:val="8"/>
                <w:szCs w:val="8"/>
                <w:color w:val="auto"/>
              </w:rPr>
            </w:pPr>
          </w:p>
        </w:tc>
        <w:tc>
          <w:tcPr>
            <w:tcW w:w="140" w:type="dxa"/>
            <w:vAlign w:val="bottom"/>
            <w:tcBorders>
              <w:bottom w:val="single" w:sz="8" w:color="auto"/>
            </w:tcBorders>
          </w:tcPr>
          <w:p>
            <w:pPr>
              <w:spacing w:after="0"/>
              <w:rPr>
                <w:sz w:val="8"/>
                <w:szCs w:val="8"/>
                <w:color w:val="auto"/>
              </w:rPr>
            </w:pPr>
          </w:p>
        </w:tc>
        <w:tc>
          <w:tcPr>
            <w:tcW w:w="1200" w:type="dxa"/>
            <w:vAlign w:val="bottom"/>
            <w:tcBorders>
              <w:bottom w:val="single" w:sz="8" w:color="auto"/>
            </w:tcBorders>
          </w:tcPr>
          <w:p>
            <w:pPr>
              <w:spacing w:after="0"/>
              <w:rPr>
                <w:sz w:val="8"/>
                <w:szCs w:val="8"/>
                <w:color w:val="auto"/>
              </w:rPr>
            </w:pPr>
          </w:p>
        </w:tc>
        <w:tc>
          <w:tcPr>
            <w:tcW w:w="1140" w:type="dxa"/>
            <w:vAlign w:val="bottom"/>
            <w:tcBorders>
              <w:bottom w:val="single" w:sz="8" w:color="auto"/>
            </w:tcBorders>
          </w:tcPr>
          <w:p>
            <w:pPr>
              <w:spacing w:after="0"/>
              <w:rPr>
                <w:sz w:val="8"/>
                <w:szCs w:val="8"/>
                <w:color w:val="auto"/>
              </w:rPr>
            </w:pPr>
          </w:p>
        </w:tc>
        <w:tc>
          <w:tcPr>
            <w:tcW w:w="700" w:type="dxa"/>
            <w:vAlign w:val="bottom"/>
            <w:tcBorders>
              <w:bottom w:val="single" w:sz="8" w:color="auto"/>
              <w:right w:val="single" w:sz="8" w:color="auto"/>
            </w:tcBorders>
          </w:tcPr>
          <w:p>
            <w:pPr>
              <w:spacing w:after="0"/>
              <w:rPr>
                <w:sz w:val="8"/>
                <w:szCs w:val="8"/>
                <w:color w:val="auto"/>
              </w:rPr>
            </w:pPr>
          </w:p>
        </w:tc>
        <w:tc>
          <w:tcPr>
            <w:tcW w:w="440" w:type="dxa"/>
            <w:vAlign w:val="bottom"/>
          </w:tcPr>
          <w:p>
            <w:pPr>
              <w:spacing w:after="0"/>
              <w:rPr>
                <w:sz w:val="8"/>
                <w:szCs w:val="8"/>
                <w:color w:val="auto"/>
              </w:rPr>
            </w:pPr>
          </w:p>
        </w:tc>
      </w:tr>
    </w:tbl>
    <w:p>
      <w:pPr>
        <w:spacing w:after="0" w:line="236" w:lineRule="exact"/>
        <w:rPr>
          <w:sz w:val="20"/>
          <w:szCs w:val="20"/>
          <w:color w:val="auto"/>
        </w:rPr>
      </w:pPr>
    </w:p>
    <w:p>
      <w:pPr>
        <w:spacing w:after="0" w:line="311" w:lineRule="auto"/>
        <w:rPr>
          <w:sz w:val="20"/>
          <w:szCs w:val="20"/>
          <w:color w:val="auto"/>
        </w:rPr>
      </w:pPr>
      <w:r>
        <w:rPr>
          <w:rFonts w:ascii="Times New Roman" w:cs="Times New Roman" w:eastAsia="Times New Roman" w:hAnsi="Times New Roman"/>
          <w:sz w:val="16"/>
          <w:szCs w:val="16"/>
          <w:color w:val="auto"/>
        </w:rPr>
        <w:t>Anova y contraste de Bonferroni para el CP1 de la morfometría del corazón de cuatro poblaciones de lagartijas que habitan en un gradiente altitudinal (Fuente: Ruiz, 2010).</w:t>
      </w:r>
    </w:p>
    <w:p>
      <w:pPr>
        <w:spacing w:after="0" w:line="392" w:lineRule="exact"/>
        <w:rPr>
          <w:sz w:val="20"/>
          <w:szCs w:val="20"/>
          <w:color w:val="auto"/>
        </w:rPr>
      </w:pPr>
    </w:p>
    <w:p>
      <w:pPr>
        <w:ind w:left="3300"/>
        <w:spacing w:after="0"/>
        <w:rPr>
          <w:sz w:val="20"/>
          <w:szCs w:val="20"/>
          <w:color w:val="auto"/>
        </w:rPr>
      </w:pPr>
      <w:r>
        <w:rPr>
          <w:rFonts w:ascii="Times New Roman" w:cs="Times New Roman" w:eastAsia="Times New Roman" w:hAnsi="Times New Roman"/>
          <w:sz w:val="18"/>
          <w:szCs w:val="18"/>
          <w:color w:val="auto"/>
        </w:rPr>
        <w:t>Altitud</w:t>
      </w:r>
    </w:p>
    <w:p>
      <w:pPr>
        <w:spacing w:after="0" w:line="102" w:lineRule="exact"/>
        <w:rPr>
          <w:sz w:val="20"/>
          <w:szCs w:val="20"/>
          <w:color w:val="auto"/>
        </w:rPr>
      </w:pPr>
    </w:p>
    <w:tbl>
      <w:tblPr>
        <w:tblLayout w:type="fixed"/>
        <w:tblInd w:w="10" w:type="dxa"/>
        <w:tblCellMar>
          <w:top w:w="0" w:type="dxa"/>
          <w:left w:w="0" w:type="dxa"/>
          <w:bottom w:w="0" w:type="dxa"/>
          <w:right w:w="0" w:type="dxa"/>
        </w:tblCellMar>
      </w:tblPr>
      <w:tr>
        <w:trPr>
          <w:trHeight w:val="260"/>
        </w:trPr>
        <w:tc>
          <w:tcPr>
            <w:tcW w:w="2420" w:type="dxa"/>
            <w:vAlign w:val="bottom"/>
            <w:tcBorders>
              <w:top w:val="single" w:sz="8" w:color="auto"/>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86"/>
              </w:rPr>
              <w:t>Contrastes</w:t>
            </w:r>
          </w:p>
        </w:tc>
        <w:tc>
          <w:tcPr>
            <w:tcW w:w="2380" w:type="dxa"/>
            <w:vAlign w:val="bottom"/>
            <w:tcBorders>
              <w:top w:val="single" w:sz="8" w:color="auto"/>
              <w:right w:val="single" w:sz="8" w:color="auto"/>
            </w:tcBorders>
          </w:tcPr>
          <w:p>
            <w:pPr>
              <w:ind w:left="840"/>
              <w:spacing w:after="0"/>
              <w:rPr>
                <w:sz w:val="20"/>
                <w:szCs w:val="20"/>
                <w:color w:val="auto"/>
              </w:rPr>
            </w:pPr>
            <w:r>
              <w:rPr>
                <w:rFonts w:ascii="Times New Roman" w:cs="Times New Roman" w:eastAsia="Times New Roman" w:hAnsi="Times New Roman"/>
                <w:sz w:val="16"/>
                <w:szCs w:val="16"/>
                <w:i w:val="1"/>
                <w:iCs w:val="1"/>
                <w:color w:val="auto"/>
              </w:rPr>
              <w:t>Diferencias</w:t>
            </w:r>
          </w:p>
        </w:tc>
        <w:tc>
          <w:tcPr>
            <w:tcW w:w="2400" w:type="dxa"/>
            <w:vAlign w:val="bottom"/>
            <w:tcBorders>
              <w:top w:val="single" w:sz="8" w:color="auto"/>
              <w:right w:val="single" w:sz="8" w:color="auto"/>
            </w:tcBorders>
          </w:tcPr>
          <w:p>
            <w:pPr>
              <w:ind w:left="880"/>
              <w:spacing w:after="0"/>
              <w:rPr>
                <w:sz w:val="20"/>
                <w:szCs w:val="20"/>
                <w:color w:val="auto"/>
              </w:rPr>
            </w:pPr>
            <w:r>
              <w:rPr>
                <w:rFonts w:ascii="Times New Roman" w:cs="Times New Roman" w:eastAsia="Times New Roman" w:hAnsi="Times New Roman"/>
                <w:sz w:val="16"/>
                <w:szCs w:val="16"/>
                <w:i w:val="1"/>
                <w:iCs w:val="1"/>
                <w:color w:val="auto"/>
              </w:rPr>
              <w:t>-/+ límites</w:t>
            </w:r>
          </w:p>
        </w:tc>
      </w:tr>
      <w:tr>
        <w:trPr>
          <w:trHeight w:val="26"/>
        </w:trPr>
        <w:tc>
          <w:tcPr>
            <w:tcW w:w="2420" w:type="dxa"/>
            <w:vAlign w:val="bottom"/>
            <w:tcBorders>
              <w:left w:val="single" w:sz="8" w:color="auto"/>
              <w:bottom w:val="single" w:sz="8" w:color="auto"/>
              <w:right w:val="single" w:sz="8" w:color="auto"/>
            </w:tcBorders>
          </w:tcPr>
          <w:p>
            <w:pPr>
              <w:spacing w:after="0"/>
              <w:rPr>
                <w:sz w:val="2"/>
                <w:szCs w:val="2"/>
                <w:color w:val="auto"/>
              </w:rPr>
            </w:pPr>
          </w:p>
        </w:tc>
        <w:tc>
          <w:tcPr>
            <w:tcW w:w="2380" w:type="dxa"/>
            <w:vAlign w:val="bottom"/>
            <w:tcBorders>
              <w:bottom w:val="single" w:sz="8" w:color="auto"/>
              <w:right w:val="single" w:sz="8" w:color="auto"/>
            </w:tcBorders>
          </w:tcPr>
          <w:p>
            <w:pPr>
              <w:spacing w:after="0"/>
              <w:rPr>
                <w:sz w:val="2"/>
                <w:szCs w:val="2"/>
                <w:color w:val="auto"/>
              </w:rPr>
            </w:pPr>
          </w:p>
        </w:tc>
        <w:tc>
          <w:tcPr>
            <w:tcW w:w="2400" w:type="dxa"/>
            <w:vAlign w:val="bottom"/>
            <w:tcBorders>
              <w:bottom w:val="single" w:sz="8" w:color="auto"/>
              <w:right w:val="single" w:sz="8" w:color="auto"/>
            </w:tcBorders>
          </w:tcPr>
          <w:p>
            <w:pPr>
              <w:spacing w:after="0"/>
              <w:rPr>
                <w:sz w:val="2"/>
                <w:szCs w:val="2"/>
                <w:color w:val="auto"/>
              </w:rPr>
            </w:pPr>
          </w:p>
        </w:tc>
      </w:tr>
      <w:tr>
        <w:trPr>
          <w:trHeight w:val="242"/>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1-2</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*-5.34438</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2.25907</w:t>
            </w:r>
          </w:p>
        </w:tc>
      </w:tr>
      <w:tr>
        <w:trPr>
          <w:trHeight w:val="24"/>
        </w:trPr>
        <w:tc>
          <w:tcPr>
            <w:tcW w:w="2420" w:type="dxa"/>
            <w:vAlign w:val="bottom"/>
            <w:tcBorders>
              <w:left w:val="single" w:sz="8" w:color="auto"/>
              <w:bottom w:val="single" w:sz="8" w:color="auto"/>
              <w:right w:val="single" w:sz="8" w:color="auto"/>
            </w:tcBorders>
          </w:tcPr>
          <w:p>
            <w:pPr>
              <w:spacing w:after="0"/>
              <w:rPr>
                <w:sz w:val="2"/>
                <w:szCs w:val="2"/>
                <w:color w:val="auto"/>
              </w:rPr>
            </w:pPr>
          </w:p>
        </w:tc>
        <w:tc>
          <w:tcPr>
            <w:tcW w:w="2380" w:type="dxa"/>
            <w:vAlign w:val="bottom"/>
            <w:tcBorders>
              <w:bottom w:val="single" w:sz="8" w:color="auto"/>
              <w:right w:val="single" w:sz="8" w:color="auto"/>
            </w:tcBorders>
          </w:tcPr>
          <w:p>
            <w:pPr>
              <w:spacing w:after="0"/>
              <w:rPr>
                <w:sz w:val="2"/>
                <w:szCs w:val="2"/>
                <w:color w:val="auto"/>
              </w:rPr>
            </w:pPr>
          </w:p>
        </w:tc>
        <w:tc>
          <w:tcPr>
            <w:tcW w:w="2400" w:type="dxa"/>
            <w:vAlign w:val="bottom"/>
            <w:tcBorders>
              <w:bottom w:val="single" w:sz="8" w:color="auto"/>
              <w:right w:val="single" w:sz="8" w:color="auto"/>
            </w:tcBorders>
          </w:tcPr>
          <w:p>
            <w:pPr>
              <w:spacing w:after="0"/>
              <w:rPr>
                <w:sz w:val="2"/>
                <w:szCs w:val="2"/>
                <w:color w:val="auto"/>
              </w:rPr>
            </w:pPr>
          </w:p>
        </w:tc>
      </w:tr>
      <w:tr>
        <w:trPr>
          <w:trHeight w:val="242"/>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1-3</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*-2.92254</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1.9538</w:t>
            </w:r>
          </w:p>
        </w:tc>
      </w:tr>
      <w:tr>
        <w:trPr>
          <w:trHeight w:val="24"/>
        </w:trPr>
        <w:tc>
          <w:tcPr>
            <w:tcW w:w="2420" w:type="dxa"/>
            <w:vAlign w:val="bottom"/>
            <w:tcBorders>
              <w:left w:val="single" w:sz="8" w:color="auto"/>
              <w:bottom w:val="single" w:sz="8" w:color="auto"/>
              <w:right w:val="single" w:sz="8" w:color="auto"/>
            </w:tcBorders>
          </w:tcPr>
          <w:p>
            <w:pPr>
              <w:spacing w:after="0"/>
              <w:rPr>
                <w:sz w:val="2"/>
                <w:szCs w:val="2"/>
                <w:color w:val="auto"/>
              </w:rPr>
            </w:pPr>
          </w:p>
        </w:tc>
        <w:tc>
          <w:tcPr>
            <w:tcW w:w="2380" w:type="dxa"/>
            <w:vAlign w:val="bottom"/>
            <w:tcBorders>
              <w:bottom w:val="single" w:sz="8" w:color="auto"/>
              <w:right w:val="single" w:sz="8" w:color="auto"/>
            </w:tcBorders>
          </w:tcPr>
          <w:p>
            <w:pPr>
              <w:spacing w:after="0"/>
              <w:rPr>
                <w:sz w:val="2"/>
                <w:szCs w:val="2"/>
                <w:color w:val="auto"/>
              </w:rPr>
            </w:pPr>
          </w:p>
        </w:tc>
        <w:tc>
          <w:tcPr>
            <w:tcW w:w="2400" w:type="dxa"/>
            <w:vAlign w:val="bottom"/>
            <w:tcBorders>
              <w:bottom w:val="single" w:sz="8" w:color="auto"/>
              <w:right w:val="single" w:sz="8" w:color="auto"/>
            </w:tcBorders>
          </w:tcPr>
          <w:p>
            <w:pPr>
              <w:spacing w:after="0"/>
              <w:rPr>
                <w:sz w:val="2"/>
                <w:szCs w:val="2"/>
                <w:color w:val="auto"/>
              </w:rPr>
            </w:pPr>
          </w:p>
        </w:tc>
      </w:tr>
      <w:tr>
        <w:trPr>
          <w:trHeight w:val="242"/>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1-4</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-0.365493</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1.94383</w:t>
            </w:r>
          </w:p>
        </w:tc>
      </w:tr>
      <w:tr>
        <w:trPr>
          <w:trHeight w:val="24"/>
        </w:trPr>
        <w:tc>
          <w:tcPr>
            <w:tcW w:w="2420" w:type="dxa"/>
            <w:vAlign w:val="bottom"/>
            <w:tcBorders>
              <w:left w:val="single" w:sz="8" w:color="auto"/>
              <w:bottom w:val="single" w:sz="8" w:color="auto"/>
              <w:right w:val="single" w:sz="8" w:color="auto"/>
            </w:tcBorders>
          </w:tcPr>
          <w:p>
            <w:pPr>
              <w:spacing w:after="0"/>
              <w:rPr>
                <w:sz w:val="2"/>
                <w:szCs w:val="2"/>
                <w:color w:val="auto"/>
              </w:rPr>
            </w:pPr>
          </w:p>
        </w:tc>
        <w:tc>
          <w:tcPr>
            <w:tcW w:w="2380" w:type="dxa"/>
            <w:vAlign w:val="bottom"/>
            <w:tcBorders>
              <w:bottom w:val="single" w:sz="8" w:color="auto"/>
              <w:right w:val="single" w:sz="8" w:color="auto"/>
            </w:tcBorders>
          </w:tcPr>
          <w:p>
            <w:pPr>
              <w:spacing w:after="0"/>
              <w:rPr>
                <w:sz w:val="2"/>
                <w:szCs w:val="2"/>
                <w:color w:val="auto"/>
              </w:rPr>
            </w:pPr>
          </w:p>
        </w:tc>
        <w:tc>
          <w:tcPr>
            <w:tcW w:w="2400" w:type="dxa"/>
            <w:vAlign w:val="bottom"/>
            <w:tcBorders>
              <w:bottom w:val="single" w:sz="8" w:color="auto"/>
              <w:right w:val="single" w:sz="8" w:color="auto"/>
            </w:tcBorders>
          </w:tcPr>
          <w:p>
            <w:pPr>
              <w:spacing w:after="0"/>
              <w:rPr>
                <w:sz w:val="2"/>
                <w:szCs w:val="2"/>
                <w:color w:val="auto"/>
              </w:rPr>
            </w:pPr>
          </w:p>
        </w:tc>
      </w:tr>
      <w:tr>
        <w:trPr>
          <w:trHeight w:val="242"/>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2-3</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6"/>
              </w:rPr>
              <w:t>*2.42184</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1.81852</w:t>
            </w:r>
          </w:p>
        </w:tc>
      </w:tr>
      <w:tr>
        <w:trPr>
          <w:trHeight w:val="24"/>
        </w:trPr>
        <w:tc>
          <w:tcPr>
            <w:tcW w:w="2420" w:type="dxa"/>
            <w:vAlign w:val="bottom"/>
            <w:tcBorders>
              <w:left w:val="single" w:sz="8" w:color="auto"/>
              <w:bottom w:val="single" w:sz="8" w:color="auto"/>
              <w:right w:val="single" w:sz="8" w:color="auto"/>
            </w:tcBorders>
          </w:tcPr>
          <w:p>
            <w:pPr>
              <w:spacing w:after="0"/>
              <w:rPr>
                <w:sz w:val="2"/>
                <w:szCs w:val="2"/>
                <w:color w:val="auto"/>
              </w:rPr>
            </w:pPr>
          </w:p>
        </w:tc>
        <w:tc>
          <w:tcPr>
            <w:tcW w:w="2380" w:type="dxa"/>
            <w:vAlign w:val="bottom"/>
            <w:tcBorders>
              <w:bottom w:val="single" w:sz="8" w:color="auto"/>
              <w:right w:val="single" w:sz="8" w:color="auto"/>
            </w:tcBorders>
          </w:tcPr>
          <w:p>
            <w:pPr>
              <w:spacing w:after="0"/>
              <w:rPr>
                <w:sz w:val="2"/>
                <w:szCs w:val="2"/>
                <w:color w:val="auto"/>
              </w:rPr>
            </w:pPr>
          </w:p>
        </w:tc>
        <w:tc>
          <w:tcPr>
            <w:tcW w:w="2400" w:type="dxa"/>
            <w:vAlign w:val="bottom"/>
            <w:tcBorders>
              <w:bottom w:val="single" w:sz="8" w:color="auto"/>
              <w:right w:val="single" w:sz="8" w:color="auto"/>
            </w:tcBorders>
          </w:tcPr>
          <w:p>
            <w:pPr>
              <w:spacing w:after="0"/>
              <w:rPr>
                <w:sz w:val="2"/>
                <w:szCs w:val="2"/>
                <w:color w:val="auto"/>
              </w:rPr>
            </w:pPr>
          </w:p>
        </w:tc>
      </w:tr>
      <w:tr>
        <w:trPr>
          <w:trHeight w:val="242"/>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2-4</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6"/>
              </w:rPr>
              <w:t>*4.97889</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1.8078</w:t>
            </w:r>
          </w:p>
        </w:tc>
      </w:tr>
      <w:tr>
        <w:trPr>
          <w:trHeight w:val="24"/>
        </w:trPr>
        <w:tc>
          <w:tcPr>
            <w:tcW w:w="2420" w:type="dxa"/>
            <w:vAlign w:val="bottom"/>
            <w:tcBorders>
              <w:left w:val="single" w:sz="8" w:color="auto"/>
              <w:bottom w:val="single" w:sz="8" w:color="auto"/>
              <w:right w:val="single" w:sz="8" w:color="auto"/>
            </w:tcBorders>
          </w:tcPr>
          <w:p>
            <w:pPr>
              <w:spacing w:after="0"/>
              <w:rPr>
                <w:sz w:val="2"/>
                <w:szCs w:val="2"/>
                <w:color w:val="auto"/>
              </w:rPr>
            </w:pPr>
          </w:p>
        </w:tc>
        <w:tc>
          <w:tcPr>
            <w:tcW w:w="2380" w:type="dxa"/>
            <w:vAlign w:val="bottom"/>
            <w:tcBorders>
              <w:bottom w:val="single" w:sz="8" w:color="auto"/>
              <w:right w:val="single" w:sz="8" w:color="auto"/>
            </w:tcBorders>
          </w:tcPr>
          <w:p>
            <w:pPr>
              <w:spacing w:after="0"/>
              <w:rPr>
                <w:sz w:val="2"/>
                <w:szCs w:val="2"/>
                <w:color w:val="auto"/>
              </w:rPr>
            </w:pPr>
          </w:p>
        </w:tc>
        <w:tc>
          <w:tcPr>
            <w:tcW w:w="2400" w:type="dxa"/>
            <w:vAlign w:val="bottom"/>
            <w:tcBorders>
              <w:bottom w:val="single" w:sz="8" w:color="auto"/>
              <w:right w:val="single" w:sz="8" w:color="auto"/>
            </w:tcBorders>
          </w:tcPr>
          <w:p>
            <w:pPr>
              <w:spacing w:after="0"/>
              <w:rPr>
                <w:sz w:val="2"/>
                <w:szCs w:val="2"/>
                <w:color w:val="auto"/>
              </w:rPr>
            </w:pPr>
          </w:p>
        </w:tc>
      </w:tr>
      <w:tr>
        <w:trPr>
          <w:trHeight w:val="242"/>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3-4</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6"/>
              </w:rPr>
              <w:t>*2.55705</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1.40787</w:t>
            </w:r>
          </w:p>
        </w:tc>
      </w:tr>
      <w:tr>
        <w:trPr>
          <w:trHeight w:val="24"/>
        </w:trPr>
        <w:tc>
          <w:tcPr>
            <w:tcW w:w="2420" w:type="dxa"/>
            <w:vAlign w:val="bottom"/>
            <w:tcBorders>
              <w:left w:val="single" w:sz="8" w:color="auto"/>
              <w:bottom w:val="single" w:sz="8" w:color="auto"/>
              <w:right w:val="single" w:sz="8" w:color="auto"/>
            </w:tcBorders>
          </w:tcPr>
          <w:p>
            <w:pPr>
              <w:spacing w:after="0"/>
              <w:rPr>
                <w:sz w:val="2"/>
                <w:szCs w:val="2"/>
                <w:color w:val="auto"/>
              </w:rPr>
            </w:pPr>
          </w:p>
        </w:tc>
        <w:tc>
          <w:tcPr>
            <w:tcW w:w="2380" w:type="dxa"/>
            <w:vAlign w:val="bottom"/>
            <w:tcBorders>
              <w:bottom w:val="single" w:sz="8" w:color="auto"/>
              <w:right w:val="single" w:sz="8" w:color="auto"/>
            </w:tcBorders>
          </w:tcPr>
          <w:p>
            <w:pPr>
              <w:spacing w:after="0"/>
              <w:rPr>
                <w:sz w:val="2"/>
                <w:szCs w:val="2"/>
                <w:color w:val="auto"/>
              </w:rPr>
            </w:pPr>
          </w:p>
        </w:tc>
        <w:tc>
          <w:tcPr>
            <w:tcW w:w="2400" w:type="dxa"/>
            <w:vAlign w:val="bottom"/>
            <w:tcBorders>
              <w:bottom w:val="single" w:sz="8" w:color="auto"/>
              <w:right w:val="single" w:sz="8" w:color="auto"/>
            </w:tcBorders>
          </w:tcPr>
          <w:p>
            <w:pPr>
              <w:spacing w:after="0"/>
              <w:rPr>
                <w:sz w:val="2"/>
                <w:szCs w:val="2"/>
                <w:color w:val="auto"/>
              </w:rPr>
            </w:pPr>
          </w:p>
        </w:tc>
      </w:tr>
    </w:tbl>
    <w:p>
      <w:pPr>
        <w:spacing w:after="0" w:line="163"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Nota: el asterisco denota diferencias estadísticamente significativas (Fuente: Ruiz, 2010).</w:t>
      </w:r>
    </w:p>
    <w:p>
      <w:pPr>
        <w:sectPr>
          <w:pgSz w:w="9360" w:h="13039" w:orient="portrait"/>
          <w:cols w:equalWidth="0" w:num="1">
            <w:col w:w="7180"/>
          </w:cols>
          <w:pgMar w:left="1080" w:top="906" w:right="110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43"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80" name="Shape 28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80" o:spid="_x0000_s130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81" name="Shape 28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81" o:spid="_x0000_s130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82" name="Shape 28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82" o:spid="_x0000_s130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19" w:name="page120"/>
    <w:bookmarkEnd w:id="119"/>
    <w:p>
      <w:pPr>
        <w:ind w:left="1180"/>
        <w:spacing w:after="0"/>
        <w:tabs>
          <w:tab w:leader="dot" w:pos="6960" w:val="left"/>
        </w:tabs>
        <w:rPr>
          <w:sz w:val="20"/>
          <w:szCs w:val="20"/>
          <w:color w:val="auto"/>
        </w:rPr>
      </w:pPr>
      <w:r>
        <w:rPr>
          <w:rFonts w:ascii="Arial Narrow" w:cs="Arial Narrow" w:eastAsia="Arial Narrow" w:hAnsi="Arial Narrow"/>
          <w:sz w:val="11"/>
          <w:szCs w:val="11"/>
          <w:color w:val="auto"/>
        </w:rPr>
        <w:t>morfometría externa del corazón de dos especies hermanas del grupo scalaris</w:t>
      </w:r>
      <w:r>
        <w:rPr>
          <w:sz w:val="20"/>
          <w:szCs w:val="20"/>
          <w:color w:val="auto"/>
        </w:rPr>
        <w:tab/>
      </w:r>
      <w:r>
        <w:rPr>
          <w:rFonts w:ascii="Arial Narrow" w:cs="Arial Narrow" w:eastAsia="Arial Narrow" w:hAnsi="Arial Narrow"/>
          <w:sz w:val="16"/>
          <w:szCs w:val="16"/>
          <w:color w:val="auto"/>
        </w:rPr>
        <w:t>119</w:t>
      </w:r>
    </w:p>
    <w:p>
      <w:pPr>
        <w:spacing w:after="0" w:line="200" w:lineRule="exact"/>
        <w:rPr>
          <w:sz w:val="20"/>
          <w:szCs w:val="20"/>
          <w:color w:val="auto"/>
        </w:rPr>
      </w:pPr>
    </w:p>
    <w:p>
      <w:pPr>
        <w:spacing w:after="0" w:line="349"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Morfometría corporal y morfometría del corazón (conjunta)</w:t>
      </w:r>
    </w:p>
    <w:p>
      <w:pPr>
        <w:spacing w:after="0" w:line="38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El último acp se realizó utilizando todas las medidas tanto de morfología como del corazón. En este caso, el CP1 explica 30.50% del total de la variabilidad de los datos; mientras que el CP2 aporta 13.34%, lo que hace un total de 43.84%.</w:t>
      </w:r>
    </w:p>
    <w:p>
      <w:pPr>
        <w:spacing w:after="0" w:line="2"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En cuanto al CP1, las variables ancho del ventrículo (anv), alto del ventrículo (alv) y ancho de la aurícula derecha (anad) separan hacia valores positivos; en cuanto a los negativos, las variables de mayor peso fueron ancho de las narinas (ann), longitud de las narinas (lonn) y distancia internarinar (din). Además, sobre este último componente se observó la separación de los tres mismos grupos resultantes para el análisis utilizando únicamente las medidas del corazón. En el CP2, las medidas de mayor peso fueron alto del cráneo (alcr) y ancho del cráneo (ancr) en sentido positivo; en tanto que longitud de narinas (lonn), distancia internarinar (dinn) y ancho de la aurícula izquierda (anai) se ubicaron en el sentido negativo (figura 7, cuadro 5).</w:t>
      </w:r>
    </w:p>
    <w:p>
      <w:pPr>
        <w:spacing w:after="0" w:line="6" w:lineRule="exact"/>
        <w:rPr>
          <w:sz w:val="20"/>
          <w:szCs w:val="20"/>
          <w:color w:val="auto"/>
        </w:rPr>
      </w:pPr>
    </w:p>
    <w:p>
      <w:pPr>
        <w:jc w:val="both"/>
        <w:ind w:firstLine="360"/>
        <w:spacing w:after="0" w:line="333" w:lineRule="auto"/>
        <w:rPr>
          <w:sz w:val="20"/>
          <w:szCs w:val="20"/>
          <w:color w:val="auto"/>
        </w:rPr>
      </w:pPr>
      <w:r>
        <w:rPr>
          <w:rFonts w:ascii="Times New Roman" w:cs="Times New Roman" w:eastAsia="Times New Roman" w:hAnsi="Times New Roman"/>
          <w:sz w:val="20"/>
          <w:szCs w:val="20"/>
          <w:color w:val="auto"/>
        </w:rPr>
        <w:t>La figura 8 ilustra el Anova del CP1 que confirmó las diferencias entre las poblaciones (</w:t>
      </w:r>
      <w:r>
        <w:rPr>
          <w:rFonts w:ascii="Times New Roman" w:cs="Times New Roman" w:eastAsia="Times New Roman" w:hAnsi="Times New Roman"/>
          <w:sz w:val="20"/>
          <w:szCs w:val="20"/>
          <w:i w:val="1"/>
          <w:iCs w:val="1"/>
          <w:color w:val="auto"/>
        </w:rPr>
        <w:t>F</w:t>
      </w:r>
      <w:r>
        <w:rPr>
          <w:rFonts w:ascii="Times New Roman" w:cs="Times New Roman" w:eastAsia="Times New Roman" w:hAnsi="Times New Roman"/>
          <w:sz w:val="23"/>
          <w:szCs w:val="23"/>
          <w:color w:val="auto"/>
          <w:vertAlign w:val="subscript"/>
        </w:rPr>
        <w:t>3.66</w:t>
      </w:r>
      <w:r>
        <w:rPr>
          <w:rFonts w:ascii="Times New Roman" w:cs="Times New Roman" w:eastAsia="Times New Roman" w:hAnsi="Times New Roman"/>
          <w:sz w:val="20"/>
          <w:szCs w:val="20"/>
          <w:color w:val="auto"/>
        </w:rPr>
        <w:t xml:space="preserve"> = 25.12, </w:t>
      </w:r>
      <w:r>
        <w:rPr>
          <w:rFonts w:ascii="Times New Roman" w:cs="Times New Roman" w:eastAsia="Times New Roman" w:hAnsi="Times New Roman"/>
          <w:sz w:val="20"/>
          <w:szCs w:val="20"/>
          <w:i w:val="1"/>
          <w:iCs w:val="1"/>
          <w:color w:val="auto"/>
        </w:rPr>
        <w:t>p</w:t>
      </w:r>
      <w:r>
        <w:rPr>
          <w:rFonts w:ascii="Times New Roman" w:cs="Times New Roman" w:eastAsia="Times New Roman" w:hAnsi="Times New Roman"/>
          <w:sz w:val="20"/>
          <w:szCs w:val="20"/>
          <w:color w:val="auto"/>
        </w:rPr>
        <w:t xml:space="preserve"> = 0.000), así como la integración de los grupos predichos por el acp; por lo tanto, si se trasladan las variables de CP1, se puede decir que los organismos a 2 857 msnm conforman el grupo 1 y las variables de mayor importancia que dividen a este grupo están relacionadas con el corazón, ancho y alto del ventrículo, y ancho de la aurícula; la población ubicada a 3 245 msnm integra el segundo grupo con valores medios tanto de corazón como de tamaño corporal; finalmente, no se presentaron diferencias significativas en morfometría morfológica ni en la del corazón en los organismos encontrados a 4 200 y 2 645 msnm respectivamente, por lo que conformaron un tercer grupo donde las variables de mayor peso son morfológicas, como ancho de las narinas, longitud de las narinas y distancia internarinar.</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6"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120" w:name="page121"/>
    <w:bookmarkEnd w:id="120"/>
    <w:tbl>
      <w:tblPr>
        <w:tblLayout w:type="fixed"/>
        <w:tblInd w:w="0" w:type="dxa"/>
        <w:tblCellMar>
          <w:top w:w="0" w:type="dxa"/>
          <w:left w:w="0" w:type="dxa"/>
          <w:bottom w:w="0" w:type="dxa"/>
          <w:right w:w="0" w:type="dxa"/>
        </w:tblCellMar>
      </w:tblPr>
      <w:tr>
        <w:trPr>
          <w:trHeight w:val="62"/>
        </w:trPr>
        <w:tc>
          <w:tcPr>
            <w:tcW w:w="1160" w:type="dxa"/>
            <w:vAlign w:val="bottom"/>
            <w:vMerge w:val="restart"/>
          </w:tcPr>
          <w:p>
            <w:pPr>
              <w:jc w:val="right"/>
              <w:ind w:right="860"/>
              <w:spacing w:after="0"/>
              <w:rPr>
                <w:sz w:val="20"/>
                <w:szCs w:val="20"/>
                <w:color w:val="auto"/>
              </w:rPr>
            </w:pPr>
            <w:r>
              <w:rPr>
                <w:rFonts w:ascii="Arial Narrow" w:cs="Arial Narrow" w:eastAsia="Arial Narrow" w:hAnsi="Arial Narrow"/>
                <w:sz w:val="16"/>
                <w:szCs w:val="16"/>
                <w:color w:val="auto"/>
                <w:w w:val="91"/>
              </w:rPr>
              <w:t>120</w:t>
            </w:r>
          </w:p>
        </w:tc>
        <w:tc>
          <w:tcPr>
            <w:tcW w:w="1760" w:type="dxa"/>
            <w:vAlign w:val="bottom"/>
            <w:vMerge w:val="restart"/>
          </w:tcPr>
          <w:p>
            <w:pPr>
              <w:ind w:left="960"/>
              <w:spacing w:after="0"/>
              <w:rPr>
                <w:sz w:val="20"/>
                <w:szCs w:val="20"/>
                <w:color w:val="auto"/>
              </w:rPr>
            </w:pPr>
            <w:r>
              <w:rPr>
                <w:rFonts w:ascii="Arial Narrow" w:cs="Arial Narrow" w:eastAsia="Arial Narrow" w:hAnsi="Arial Narrow"/>
                <w:sz w:val="11"/>
                <w:szCs w:val="11"/>
                <w:color w:val="auto"/>
              </w:rPr>
              <w:t>ruiz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valencia</w:t>
            </w:r>
          </w:p>
        </w:tc>
        <w:tc>
          <w:tcPr>
            <w:tcW w:w="20" w:type="dxa"/>
            <w:vAlign w:val="bottom"/>
          </w:tcPr>
          <w:p>
            <w:pPr>
              <w:spacing w:after="0"/>
              <w:rPr>
                <w:sz w:val="5"/>
                <w:szCs w:val="5"/>
                <w:color w:val="auto"/>
              </w:rPr>
            </w:pPr>
          </w:p>
        </w:tc>
        <w:tc>
          <w:tcPr>
            <w:tcW w:w="1160" w:type="dxa"/>
            <w:vAlign w:val="bottom"/>
            <w:vMerge w:val="restart"/>
          </w:tcPr>
          <w:p>
            <w:pPr>
              <w:ind w:left="40"/>
              <w:spacing w:after="0"/>
              <w:rPr>
                <w:sz w:val="20"/>
                <w:szCs w:val="20"/>
                <w:color w:val="auto"/>
              </w:rPr>
            </w:pP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p>
        </w:tc>
        <w:tc>
          <w:tcPr>
            <w:tcW w:w="20" w:type="dxa"/>
            <w:vAlign w:val="bottom"/>
          </w:tcPr>
          <w:p>
            <w:pPr>
              <w:spacing w:after="0"/>
              <w:rPr>
                <w:sz w:val="5"/>
                <w:szCs w:val="5"/>
                <w:color w:val="auto"/>
              </w:rPr>
            </w:pPr>
          </w:p>
        </w:tc>
        <w:tc>
          <w:tcPr>
            <w:tcW w:w="960" w:type="dxa"/>
            <w:vAlign w:val="bottom"/>
            <w:vMerge w:val="restart"/>
          </w:tcPr>
          <w:p>
            <w:pPr>
              <w:ind w:left="20"/>
              <w:spacing w:after="0"/>
              <w:rPr>
                <w:sz w:val="20"/>
                <w:szCs w:val="20"/>
                <w:color w:val="auto"/>
              </w:rPr>
            </w:pP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tc>
        <w:tc>
          <w:tcPr>
            <w:tcW w:w="0" w:type="dxa"/>
            <w:vAlign w:val="bottom"/>
          </w:tcPr>
          <w:p>
            <w:pPr>
              <w:spacing w:after="0"/>
              <w:rPr>
                <w:sz w:val="1"/>
                <w:szCs w:val="1"/>
                <w:color w:val="auto"/>
              </w:rPr>
            </w:pPr>
          </w:p>
        </w:tc>
      </w:tr>
      <w:tr>
        <w:trPr>
          <w:trHeight w:val="140"/>
        </w:trPr>
        <w:tc>
          <w:tcPr>
            <w:tcW w:w="1160" w:type="dxa"/>
            <w:vAlign w:val="bottom"/>
            <w:vMerge w:val="continue"/>
          </w:tcPr>
          <w:p>
            <w:pPr>
              <w:spacing w:after="0"/>
              <w:rPr>
                <w:sz w:val="12"/>
                <w:szCs w:val="12"/>
                <w:color w:val="auto"/>
              </w:rPr>
            </w:pPr>
          </w:p>
        </w:tc>
        <w:tc>
          <w:tcPr>
            <w:tcW w:w="176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116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960" w:type="dxa"/>
            <w:vAlign w:val="bottom"/>
            <w:vMerge w:val="continue"/>
          </w:tcPr>
          <w:p>
            <w:pPr>
              <w:spacing w:after="0"/>
              <w:rPr>
                <w:sz w:val="12"/>
                <w:szCs w:val="12"/>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336" w:lineRule="exact"/>
        <w:rPr>
          <w:sz w:val="20"/>
          <w:szCs w:val="20"/>
          <w:color w:val="auto"/>
        </w:rPr>
      </w:pPr>
    </w:p>
    <w:p>
      <w:pPr>
        <w:ind w:left="3280"/>
        <w:spacing w:after="0"/>
        <w:rPr>
          <w:sz w:val="20"/>
          <w:szCs w:val="20"/>
          <w:color w:val="auto"/>
        </w:rPr>
      </w:pPr>
      <w:r>
        <w:rPr>
          <w:rFonts w:ascii="Times New Roman" w:cs="Times New Roman" w:eastAsia="Times New Roman" w:hAnsi="Times New Roman"/>
          <w:sz w:val="18"/>
          <w:szCs w:val="18"/>
          <w:i w:val="1"/>
          <w:iCs w:val="1"/>
          <w:color w:val="auto"/>
        </w:rPr>
        <w:t>Cuadro 9</w:t>
      </w:r>
    </w:p>
    <w:p>
      <w:pPr>
        <w:spacing w:after="0" w:line="15" w:lineRule="exact"/>
        <w:rPr>
          <w:sz w:val="20"/>
          <w:szCs w:val="20"/>
          <w:color w:val="auto"/>
        </w:rPr>
      </w:pPr>
    </w:p>
    <w:p>
      <w:pPr>
        <w:ind w:left="1180"/>
        <w:spacing w:after="0"/>
        <w:rPr>
          <w:sz w:val="20"/>
          <w:szCs w:val="20"/>
          <w:color w:val="auto"/>
        </w:rPr>
      </w:pPr>
      <w:r>
        <w:rPr>
          <w:rFonts w:ascii="Times New Roman" w:cs="Times New Roman" w:eastAsia="Times New Roman" w:hAnsi="Times New Roman"/>
          <w:sz w:val="20"/>
          <w:szCs w:val="20"/>
          <w:color w:val="auto"/>
        </w:rPr>
        <w:t>Peso de las variables para los dos primeros componentes</w:t>
      </w:r>
    </w:p>
    <w:p>
      <w:pPr>
        <w:spacing w:after="0" w:line="184" w:lineRule="exact"/>
        <w:rPr>
          <w:sz w:val="20"/>
          <w:szCs w:val="20"/>
          <w:color w:val="auto"/>
        </w:rPr>
      </w:pPr>
    </w:p>
    <w:tbl>
      <w:tblPr>
        <w:tblLayout w:type="fixed"/>
        <w:tblInd w:w="10" w:type="dxa"/>
        <w:tblCellMar>
          <w:top w:w="0" w:type="dxa"/>
          <w:left w:w="0" w:type="dxa"/>
          <w:bottom w:w="0" w:type="dxa"/>
          <w:right w:w="0" w:type="dxa"/>
        </w:tblCellMar>
      </w:tblPr>
      <w:tr>
        <w:trPr>
          <w:trHeight w:val="271"/>
        </w:trPr>
        <w:tc>
          <w:tcPr>
            <w:tcW w:w="2420" w:type="dxa"/>
            <w:vAlign w:val="bottom"/>
            <w:tcBorders>
              <w:top w:val="single" w:sz="8" w:color="auto"/>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4"/>
              </w:rPr>
              <w:t>Medida</w:t>
            </w:r>
          </w:p>
        </w:tc>
        <w:tc>
          <w:tcPr>
            <w:tcW w:w="2380" w:type="dxa"/>
            <w:vAlign w:val="bottom"/>
            <w:tcBorders>
              <w:top w:val="single" w:sz="8" w:color="auto"/>
              <w:right w:val="single" w:sz="8" w:color="auto"/>
            </w:tcBorders>
          </w:tcPr>
          <w:p>
            <w:pPr>
              <w:ind w:left="740"/>
              <w:spacing w:after="0"/>
              <w:rPr>
                <w:sz w:val="20"/>
                <w:szCs w:val="20"/>
                <w:color w:val="auto"/>
              </w:rPr>
            </w:pPr>
            <w:r>
              <w:rPr>
                <w:rFonts w:ascii="Times New Roman" w:cs="Times New Roman" w:eastAsia="Times New Roman" w:hAnsi="Times New Roman"/>
                <w:sz w:val="16"/>
                <w:szCs w:val="16"/>
                <w:i w:val="1"/>
                <w:iCs w:val="1"/>
                <w:color w:val="auto"/>
              </w:rPr>
              <w:t>Componente 1</w:t>
            </w:r>
          </w:p>
        </w:tc>
        <w:tc>
          <w:tcPr>
            <w:tcW w:w="2400" w:type="dxa"/>
            <w:vAlign w:val="bottom"/>
            <w:tcBorders>
              <w:top w:val="single" w:sz="8" w:color="auto"/>
              <w:right w:val="single" w:sz="8" w:color="auto"/>
            </w:tcBorders>
          </w:tcPr>
          <w:p>
            <w:pPr>
              <w:ind w:left="760"/>
              <w:spacing w:after="0"/>
              <w:rPr>
                <w:sz w:val="20"/>
                <w:szCs w:val="20"/>
                <w:color w:val="auto"/>
              </w:rPr>
            </w:pPr>
            <w:r>
              <w:rPr>
                <w:rFonts w:ascii="Times New Roman" w:cs="Times New Roman" w:eastAsia="Times New Roman" w:hAnsi="Times New Roman"/>
                <w:sz w:val="16"/>
                <w:szCs w:val="16"/>
                <w:i w:val="1"/>
                <w:iCs w:val="1"/>
                <w:color w:val="auto"/>
              </w:rPr>
              <w:t>Componente 2</w:t>
            </w:r>
          </w:p>
        </w:tc>
      </w:tr>
      <w:tr>
        <w:trPr>
          <w:trHeight w:val="63"/>
        </w:trPr>
        <w:tc>
          <w:tcPr>
            <w:tcW w:w="2420" w:type="dxa"/>
            <w:vAlign w:val="bottom"/>
            <w:tcBorders>
              <w:left w:val="single" w:sz="8" w:color="auto"/>
              <w:bottom w:val="single" w:sz="8" w:color="auto"/>
              <w:right w:val="single" w:sz="8" w:color="auto"/>
            </w:tcBorders>
          </w:tcPr>
          <w:p>
            <w:pPr>
              <w:spacing w:after="0"/>
              <w:rPr>
                <w:sz w:val="5"/>
                <w:szCs w:val="5"/>
                <w:color w:val="auto"/>
              </w:rPr>
            </w:pPr>
          </w:p>
        </w:tc>
        <w:tc>
          <w:tcPr>
            <w:tcW w:w="2380" w:type="dxa"/>
            <w:vAlign w:val="bottom"/>
            <w:tcBorders>
              <w:bottom w:val="single" w:sz="8" w:color="auto"/>
              <w:right w:val="single" w:sz="8" w:color="auto"/>
            </w:tcBorders>
          </w:tcPr>
          <w:p>
            <w:pPr>
              <w:spacing w:after="0"/>
              <w:rPr>
                <w:sz w:val="5"/>
                <w:szCs w:val="5"/>
                <w:color w:val="auto"/>
              </w:rPr>
            </w:pPr>
          </w:p>
        </w:tc>
        <w:tc>
          <w:tcPr>
            <w:tcW w:w="2400" w:type="dxa"/>
            <w:vAlign w:val="bottom"/>
            <w:tcBorders>
              <w:bottom w:val="single" w:sz="8" w:color="auto"/>
              <w:right w:val="single" w:sz="8" w:color="auto"/>
            </w:tcBorders>
          </w:tcPr>
          <w:p>
            <w:pPr>
              <w:spacing w:after="0"/>
              <w:rPr>
                <w:sz w:val="5"/>
                <w:szCs w:val="5"/>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anad</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0.28324</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-0.18012</w:t>
            </w:r>
          </w:p>
        </w:tc>
      </w:tr>
      <w:tr>
        <w:trPr>
          <w:trHeight w:val="61"/>
        </w:trPr>
        <w:tc>
          <w:tcPr>
            <w:tcW w:w="2420" w:type="dxa"/>
            <w:vAlign w:val="bottom"/>
            <w:tcBorders>
              <w:left w:val="single" w:sz="8" w:color="auto"/>
              <w:bottom w:val="single" w:sz="8" w:color="auto"/>
              <w:right w:val="single" w:sz="8" w:color="auto"/>
            </w:tcBorders>
          </w:tcPr>
          <w:p>
            <w:pPr>
              <w:spacing w:after="0"/>
              <w:rPr>
                <w:sz w:val="5"/>
                <w:szCs w:val="5"/>
                <w:color w:val="auto"/>
              </w:rPr>
            </w:pPr>
          </w:p>
        </w:tc>
        <w:tc>
          <w:tcPr>
            <w:tcW w:w="2380" w:type="dxa"/>
            <w:vAlign w:val="bottom"/>
            <w:tcBorders>
              <w:bottom w:val="single" w:sz="8" w:color="auto"/>
              <w:right w:val="single" w:sz="8" w:color="auto"/>
            </w:tcBorders>
          </w:tcPr>
          <w:p>
            <w:pPr>
              <w:spacing w:after="0"/>
              <w:rPr>
                <w:sz w:val="5"/>
                <w:szCs w:val="5"/>
                <w:color w:val="auto"/>
              </w:rPr>
            </w:pPr>
          </w:p>
        </w:tc>
        <w:tc>
          <w:tcPr>
            <w:tcW w:w="2400" w:type="dxa"/>
            <w:vAlign w:val="bottom"/>
            <w:tcBorders>
              <w:bottom w:val="single" w:sz="8" w:color="auto"/>
              <w:right w:val="single" w:sz="8" w:color="auto"/>
            </w:tcBorders>
          </w:tcPr>
          <w:p>
            <w:pPr>
              <w:spacing w:after="0"/>
              <w:rPr>
                <w:sz w:val="5"/>
                <w:szCs w:val="5"/>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alad</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0.2233</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0.0293</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anai</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0.272</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-0.2405</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alai</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0.2249</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0.2249</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alv</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0.28807</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-0.1445</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anv</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0.31069</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-0.06634</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anald</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0.2819</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0.2819</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anvld</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0.2718</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0.29187</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anali</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0.27549</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0.2654</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anvli</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0.270009</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0.27009</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lc</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-0.05722</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0.04873</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li</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-0.2425</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0.01539</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ann</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-0.646</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-0.237</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lonn</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-0.1492</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-0.3633</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din</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-0.1496</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i w:val="1"/>
                <w:iCs w:val="1"/>
                <w:color w:val="auto"/>
                <w:w w:val="99"/>
              </w:rPr>
              <w:t>0.3633</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ancr</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-0.1178</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0.07444</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alcr</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-0.09379</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0.1333</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larcr</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-0.09379</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-0.12148</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hom-cod</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-0.1554</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-0.3521</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cod-muñ</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-0.06289</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b w:val="1"/>
                <w:bCs w:val="1"/>
                <w:color w:val="auto"/>
              </w:rPr>
              <w:t>-0.32894</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lmuñ-fa</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-0.1479</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-0.1745</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anmuñ-fa</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0.00196</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-0.09964</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doma</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-0.15735</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-0.3136</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cad-rod</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-0.147548</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-0.16761</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rod-tob</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-0.03383</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-0.1491</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tob-ddo</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-0.07611</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-0.05754</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r>
        <w:trPr>
          <w:trHeight w:val="253"/>
        </w:trPr>
        <w:tc>
          <w:tcPr>
            <w:tcW w:w="242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dopa</w:t>
            </w:r>
          </w:p>
        </w:tc>
        <w:tc>
          <w:tcPr>
            <w:tcW w:w="238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7"/>
              </w:rPr>
              <w:t>-0.10812</w:t>
            </w:r>
          </w:p>
        </w:tc>
        <w:tc>
          <w:tcPr>
            <w:tcW w:w="24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rPr>
              <w:t>-0.08088</w:t>
            </w:r>
          </w:p>
        </w:tc>
      </w:tr>
      <w:tr>
        <w:trPr>
          <w:trHeight w:val="35"/>
        </w:trPr>
        <w:tc>
          <w:tcPr>
            <w:tcW w:w="2420" w:type="dxa"/>
            <w:vAlign w:val="bottom"/>
            <w:tcBorders>
              <w:left w:val="single" w:sz="8" w:color="auto"/>
              <w:bottom w:val="single" w:sz="8" w:color="auto"/>
              <w:right w:val="single" w:sz="8" w:color="auto"/>
            </w:tcBorders>
          </w:tcPr>
          <w:p>
            <w:pPr>
              <w:spacing w:after="0"/>
              <w:rPr>
                <w:sz w:val="3"/>
                <w:szCs w:val="3"/>
                <w:color w:val="auto"/>
              </w:rPr>
            </w:pPr>
          </w:p>
        </w:tc>
        <w:tc>
          <w:tcPr>
            <w:tcW w:w="2380" w:type="dxa"/>
            <w:vAlign w:val="bottom"/>
            <w:tcBorders>
              <w:bottom w:val="single" w:sz="8" w:color="auto"/>
              <w:right w:val="single" w:sz="8" w:color="auto"/>
            </w:tcBorders>
          </w:tcPr>
          <w:p>
            <w:pPr>
              <w:spacing w:after="0"/>
              <w:rPr>
                <w:sz w:val="3"/>
                <w:szCs w:val="3"/>
                <w:color w:val="auto"/>
              </w:rPr>
            </w:pPr>
          </w:p>
        </w:tc>
        <w:tc>
          <w:tcPr>
            <w:tcW w:w="2400" w:type="dxa"/>
            <w:vAlign w:val="bottom"/>
            <w:tcBorders>
              <w:bottom w:val="single" w:sz="8" w:color="auto"/>
              <w:right w:val="single" w:sz="8" w:color="auto"/>
            </w:tcBorders>
          </w:tcPr>
          <w:p>
            <w:pPr>
              <w:spacing w:after="0"/>
              <w:rPr>
                <w:sz w:val="3"/>
                <w:szCs w:val="3"/>
                <w:color w:val="auto"/>
              </w:rPr>
            </w:pPr>
          </w:p>
        </w:tc>
      </w:tr>
    </w:tbl>
    <w:p>
      <w:pPr>
        <w:spacing w:after="0" w:line="102" w:lineRule="exact"/>
        <w:rPr>
          <w:sz w:val="20"/>
          <w:szCs w:val="20"/>
          <w:color w:val="auto"/>
        </w:rPr>
      </w:pPr>
    </w:p>
    <w:p>
      <w:pPr>
        <w:jc w:val="both"/>
        <w:ind w:right="780"/>
        <w:spacing w:after="0" w:line="311" w:lineRule="auto"/>
        <w:rPr>
          <w:sz w:val="20"/>
          <w:szCs w:val="20"/>
          <w:color w:val="auto"/>
        </w:rPr>
      </w:pPr>
      <w:r>
        <w:rPr>
          <w:rFonts w:ascii="Times New Roman" w:cs="Times New Roman" w:eastAsia="Times New Roman" w:hAnsi="Times New Roman"/>
          <w:sz w:val="16"/>
          <w:szCs w:val="16"/>
          <w:color w:val="auto"/>
        </w:rPr>
        <w:t>Nota: los valores resaltados son los de mayor peso (cursivas: sentido positivo; negritas: sentido negativo). Fuente: Ruiz, 2010.</w:t>
      </w:r>
    </w:p>
    <w:p>
      <w:pPr>
        <w:sectPr>
          <w:pgSz w:w="9360" w:h="13039" w:orient="portrait"/>
          <w:cols w:equalWidth="0" w:num="1">
            <w:col w:w="7180"/>
          </w:cols>
          <w:pgMar w:left="1080" w:top="906" w:right="1100" w:bottom="437" w:gutter="0" w:footer="0" w:header="0"/>
        </w:sectPr>
      </w:pPr>
    </w:p>
    <w:p>
      <w:pPr>
        <w:spacing w:after="0" w:line="200" w:lineRule="exact"/>
        <w:rPr>
          <w:sz w:val="20"/>
          <w:szCs w:val="20"/>
          <w:color w:val="auto"/>
        </w:rPr>
      </w:pPr>
    </w:p>
    <w:p>
      <w:pPr>
        <w:spacing w:after="0" w:line="356"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83" name="Shape 28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83" o:spid="_x0000_s130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84" name="Shape 28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84" o:spid="_x0000_s130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85" name="Shape 28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85" o:spid="_x0000_s131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21" w:name="page122"/>
    <w:bookmarkEnd w:id="121"/>
    <w:p>
      <w:pPr>
        <w:ind w:left="360"/>
        <w:spacing w:after="0"/>
        <w:tabs>
          <w:tab w:leader="dot" w:pos="6140" w:val="left"/>
        </w:tabs>
        <w:rPr>
          <w:sz w:val="20"/>
          <w:szCs w:val="20"/>
          <w:color w:val="auto"/>
        </w:rPr>
      </w:pPr>
      <w:r>
        <w:rPr>
          <w:rFonts w:ascii="Arial Narrow" w:cs="Arial Narrow" w:eastAsia="Arial Narrow" w:hAnsi="Arial Narrow"/>
          <w:sz w:val="11"/>
          <w:szCs w:val="11"/>
          <w:color w:val="auto"/>
        </w:rPr>
        <w:t>morfometría externa del corazón de dos especies hermanas del grupo scalaris</w:t>
      </w:r>
      <w:r>
        <w:rPr>
          <w:sz w:val="20"/>
          <w:szCs w:val="20"/>
          <w:color w:val="auto"/>
        </w:rPr>
        <w:tab/>
      </w:r>
      <w:r>
        <w:rPr>
          <w:rFonts w:ascii="Arial Narrow" w:cs="Arial Narrow" w:eastAsia="Arial Narrow" w:hAnsi="Arial Narrow"/>
          <w:sz w:val="16"/>
          <w:szCs w:val="16"/>
          <w:color w:val="auto"/>
        </w:rPr>
        <w:t>121</w:t>
      </w:r>
    </w:p>
    <w:p>
      <w:pPr>
        <w:spacing w:after="0" w:line="200" w:lineRule="exact"/>
        <w:rPr>
          <w:sz w:val="20"/>
          <w:szCs w:val="20"/>
          <w:color w:val="auto"/>
        </w:rPr>
      </w:pPr>
    </w:p>
    <w:p>
      <w:pPr>
        <w:spacing w:after="0" w:line="352" w:lineRule="exact"/>
        <w:rPr>
          <w:sz w:val="20"/>
          <w:szCs w:val="20"/>
          <w:color w:val="auto"/>
        </w:rPr>
      </w:pPr>
    </w:p>
    <w:p>
      <w:pPr>
        <w:ind w:left="2460"/>
        <w:spacing w:after="0"/>
        <w:rPr>
          <w:sz w:val="20"/>
          <w:szCs w:val="20"/>
          <w:color w:val="auto"/>
        </w:rPr>
      </w:pPr>
      <w:r>
        <w:rPr>
          <w:rFonts w:ascii="Times New Roman" w:cs="Times New Roman" w:eastAsia="Times New Roman" w:hAnsi="Times New Roman"/>
          <w:sz w:val="20"/>
          <w:szCs w:val="20"/>
          <w:i w:val="1"/>
          <w:iCs w:val="1"/>
          <w:color w:val="auto"/>
        </w:rPr>
        <w:t>Figura 7</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-2540</wp:posOffset>
            </wp:positionH>
            <wp:positionV relativeFrom="paragraph">
              <wp:posOffset>46355</wp:posOffset>
            </wp:positionV>
            <wp:extent cx="3533775" cy="2506345"/>
            <wp:wrapNone/>
            <wp:docPr id="286" name="Pictur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57">
                      <a:extLst>
                        <a:ext uri="{28A0092B-C50C-407E-A947-70E740481C1C}"/>
                      </a:extLst>
                    </a:blip>
                    <a:srcRect/>
                    <a:stretch>
                      <a:fillRect/>
                    </a:stretch>
                  </pic:blipFill>
                  <pic:spPr bwMode="auto">
                    <a:xfrm>
                      <a:off x="0" y="0"/>
                      <a:ext cx="3533775" cy="2506345"/>
                    </a:xfrm>
                    <a:prstGeom prst="rect">
                      <a:avLst/>
                    </a:prstGeom>
                    <a:noFill/>
                  </pic:spPr>
                </pic:pic>
              </a:graphicData>
            </a:graphic>
          </wp:anchor>
        </w:drawing>
      </w:r>
    </w:p>
    <w:p>
      <w:pPr>
        <w:spacing w:after="0" w:line="268" w:lineRule="exact"/>
        <w:rPr>
          <w:sz w:val="20"/>
          <w:szCs w:val="20"/>
          <w:color w:val="auto"/>
        </w:rPr>
      </w:pPr>
    </w:p>
    <w:p>
      <w:pPr>
        <w:ind w:left="340"/>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din</w:t>
      </w:r>
    </w:p>
    <w:p>
      <w:pPr>
        <w:spacing w:after="0" w:line="39"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anvld</w:t>
      </w:r>
    </w:p>
    <w:p>
      <w:pPr>
        <w:spacing w:after="0" w:line="39"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anvli</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9"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lonn</w:t>
      </w:r>
    </w:p>
    <w:p>
      <w:pPr>
        <w:spacing w:after="0" w:line="39" w:lineRule="exact"/>
        <w:rPr>
          <w:sz w:val="20"/>
          <w:szCs w:val="20"/>
          <w:color w:val="auto"/>
        </w:rPr>
      </w:pPr>
    </w:p>
    <w:p>
      <w:pPr>
        <w:ind w:left="200" w:right="5640" w:hanging="27"/>
        <w:spacing w:after="0" w:line="253" w:lineRule="auto"/>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hom</w:t>
      </w: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cod</w:t>
      </w:r>
      <w:r>
        <w:rPr>
          <w:rFonts w:ascii="Times New Roman" w:cs="Times New Roman" w:eastAsia="Times New Roman" w:hAnsi="Times New Roman"/>
          <w:sz w:val="14"/>
          <w:szCs w:val="14"/>
          <w:b w:val="1"/>
          <w:bCs w:val="1"/>
          <w:color w:val="auto"/>
        </w:rPr>
        <w:t xml:space="preserve"> </w:t>
      </w:r>
      <w:r>
        <w:rPr>
          <w:rFonts w:ascii="Times New Roman" w:cs="Times New Roman" w:eastAsia="Times New Roman" w:hAnsi="Times New Roman"/>
          <w:sz w:val="9"/>
          <w:szCs w:val="9"/>
          <w:b w:val="1"/>
          <w:bCs w:val="1"/>
          <w:color w:val="auto"/>
        </w:rPr>
        <w:t>cod</w:t>
      </w: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muñ</w:t>
      </w:r>
    </w:p>
    <w:p>
      <w:pPr>
        <w:spacing w:after="0" w:line="1" w:lineRule="exact"/>
        <w:rPr>
          <w:sz w:val="20"/>
          <w:szCs w:val="20"/>
          <w:color w:val="auto"/>
        </w:rPr>
      </w:pPr>
    </w:p>
    <w:tbl>
      <w:tblPr>
        <w:tblLayout w:type="fixed"/>
        <w:tblInd w:w="1680" w:type="dxa"/>
        <w:tblCellMar>
          <w:top w:w="0" w:type="dxa"/>
          <w:left w:w="0" w:type="dxa"/>
          <w:bottom w:w="0" w:type="dxa"/>
          <w:right w:w="0" w:type="dxa"/>
        </w:tblCellMar>
      </w:tblPr>
      <w:tr>
        <w:trPr>
          <w:trHeight w:val="168"/>
        </w:trPr>
        <w:tc>
          <w:tcPr>
            <w:tcW w:w="900" w:type="dxa"/>
            <w:vAlign w:val="bottom"/>
          </w:tcPr>
          <w:p>
            <w:pPr>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ann</w:t>
            </w:r>
          </w:p>
        </w:tc>
        <w:tc>
          <w:tcPr>
            <w:tcW w:w="600" w:type="dxa"/>
            <w:vAlign w:val="bottom"/>
          </w:tcPr>
          <w:p>
            <w:pPr>
              <w:spacing w:after="0"/>
              <w:rPr>
                <w:sz w:val="14"/>
                <w:szCs w:val="14"/>
                <w:color w:val="auto"/>
              </w:rPr>
            </w:pPr>
          </w:p>
        </w:tc>
        <w:tc>
          <w:tcPr>
            <w:tcW w:w="580" w:type="dxa"/>
            <w:vAlign w:val="bottom"/>
          </w:tcPr>
          <w:p>
            <w:pPr>
              <w:spacing w:after="0"/>
              <w:rPr>
                <w:sz w:val="14"/>
                <w:szCs w:val="14"/>
                <w:color w:val="auto"/>
              </w:rPr>
            </w:pPr>
          </w:p>
        </w:tc>
        <w:tc>
          <w:tcPr>
            <w:tcW w:w="700" w:type="dxa"/>
            <w:vAlign w:val="bottom"/>
          </w:tcPr>
          <w:p>
            <w:pPr>
              <w:ind w:left="380"/>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anv</w:t>
            </w:r>
          </w:p>
        </w:tc>
      </w:tr>
      <w:tr>
        <w:trPr>
          <w:trHeight w:val="180"/>
        </w:trPr>
        <w:tc>
          <w:tcPr>
            <w:tcW w:w="900" w:type="dxa"/>
            <w:vAlign w:val="bottom"/>
          </w:tcPr>
          <w:p>
            <w:pPr>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lonn</w:t>
            </w:r>
          </w:p>
        </w:tc>
        <w:tc>
          <w:tcPr>
            <w:tcW w:w="600" w:type="dxa"/>
            <w:vAlign w:val="bottom"/>
          </w:tcPr>
          <w:p>
            <w:pPr>
              <w:spacing w:after="0"/>
              <w:rPr>
                <w:sz w:val="15"/>
                <w:szCs w:val="15"/>
                <w:color w:val="auto"/>
              </w:rPr>
            </w:pPr>
          </w:p>
        </w:tc>
        <w:tc>
          <w:tcPr>
            <w:tcW w:w="580" w:type="dxa"/>
            <w:vAlign w:val="bottom"/>
          </w:tcPr>
          <w:p>
            <w:pPr>
              <w:spacing w:after="0"/>
              <w:rPr>
                <w:sz w:val="15"/>
                <w:szCs w:val="15"/>
                <w:color w:val="auto"/>
              </w:rPr>
            </w:pPr>
          </w:p>
        </w:tc>
        <w:tc>
          <w:tcPr>
            <w:tcW w:w="700" w:type="dxa"/>
            <w:vAlign w:val="bottom"/>
          </w:tcPr>
          <w:p>
            <w:pPr>
              <w:ind w:left="380"/>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alv</w:t>
            </w:r>
          </w:p>
        </w:tc>
      </w:tr>
      <w:tr>
        <w:trPr>
          <w:trHeight w:val="180"/>
        </w:trPr>
        <w:tc>
          <w:tcPr>
            <w:tcW w:w="900" w:type="dxa"/>
            <w:vAlign w:val="bottom"/>
          </w:tcPr>
          <w:p>
            <w:pPr>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din</w:t>
            </w:r>
          </w:p>
        </w:tc>
        <w:tc>
          <w:tcPr>
            <w:tcW w:w="600" w:type="dxa"/>
            <w:vAlign w:val="bottom"/>
          </w:tcPr>
          <w:p>
            <w:pPr>
              <w:spacing w:after="0"/>
              <w:rPr>
                <w:sz w:val="15"/>
                <w:szCs w:val="15"/>
                <w:color w:val="auto"/>
              </w:rPr>
            </w:pPr>
          </w:p>
        </w:tc>
        <w:tc>
          <w:tcPr>
            <w:tcW w:w="580" w:type="dxa"/>
            <w:vAlign w:val="bottom"/>
          </w:tcPr>
          <w:p>
            <w:pPr>
              <w:spacing w:after="0"/>
              <w:rPr>
                <w:sz w:val="15"/>
                <w:szCs w:val="15"/>
                <w:color w:val="auto"/>
              </w:rPr>
            </w:pPr>
          </w:p>
        </w:tc>
        <w:tc>
          <w:tcPr>
            <w:tcW w:w="700" w:type="dxa"/>
            <w:vAlign w:val="bottom"/>
          </w:tcPr>
          <w:p>
            <w:pPr>
              <w:ind w:left="380"/>
              <w:spacing w:after="0"/>
              <w:rPr>
                <w:sz w:val="20"/>
                <w:szCs w:val="20"/>
                <w:color w:val="auto"/>
              </w:rPr>
            </w:pPr>
            <w:r>
              <w:rPr>
                <w:rFonts w:ascii="Times New Roman" w:cs="Times New Roman" w:eastAsia="Times New Roman" w:hAnsi="Times New Roman"/>
                <w:sz w:val="14"/>
                <w:szCs w:val="14"/>
                <w:b w:val="1"/>
                <w:bCs w:val="1"/>
                <w:color w:val="auto"/>
              </w:rPr>
              <w:t>-</w:t>
            </w:r>
            <w:r>
              <w:rPr>
                <w:rFonts w:ascii="Times New Roman" w:cs="Times New Roman" w:eastAsia="Times New Roman" w:hAnsi="Times New Roman"/>
                <w:sz w:val="9"/>
                <w:szCs w:val="9"/>
                <w:b w:val="1"/>
                <w:bCs w:val="1"/>
                <w:color w:val="auto"/>
              </w:rPr>
              <w:t>anad</w:t>
            </w:r>
          </w:p>
        </w:tc>
      </w:tr>
      <w:tr>
        <w:trPr>
          <w:trHeight w:val="276"/>
        </w:trPr>
        <w:tc>
          <w:tcPr>
            <w:tcW w:w="900" w:type="dxa"/>
            <w:vAlign w:val="bottom"/>
          </w:tcPr>
          <w:p>
            <w:pPr>
              <w:ind w:left="440"/>
              <w:spacing w:after="0"/>
              <w:rPr>
                <w:sz w:val="20"/>
                <w:szCs w:val="20"/>
                <w:color w:val="auto"/>
              </w:rPr>
            </w:pPr>
            <w:r>
              <w:rPr>
                <w:rFonts w:ascii="Times New Roman" w:cs="Times New Roman" w:eastAsia="Times New Roman" w:hAnsi="Times New Roman"/>
                <w:sz w:val="12"/>
                <w:szCs w:val="12"/>
                <w:color w:val="auto"/>
              </w:rPr>
              <w:t>2645 m</w:t>
            </w:r>
          </w:p>
        </w:tc>
        <w:tc>
          <w:tcPr>
            <w:tcW w:w="600" w:type="dxa"/>
            <w:vAlign w:val="bottom"/>
          </w:tcPr>
          <w:p>
            <w:pPr>
              <w:ind w:left="120"/>
              <w:spacing w:after="0"/>
              <w:rPr>
                <w:sz w:val="20"/>
                <w:szCs w:val="20"/>
                <w:color w:val="auto"/>
              </w:rPr>
            </w:pPr>
            <w:r>
              <w:rPr>
                <w:rFonts w:ascii="Times New Roman" w:cs="Times New Roman" w:eastAsia="Times New Roman" w:hAnsi="Times New Roman"/>
                <w:sz w:val="12"/>
                <w:szCs w:val="12"/>
                <w:color w:val="auto"/>
              </w:rPr>
              <w:t>2847 m</w:t>
            </w:r>
          </w:p>
        </w:tc>
        <w:tc>
          <w:tcPr>
            <w:tcW w:w="580" w:type="dxa"/>
            <w:vAlign w:val="bottom"/>
          </w:tcPr>
          <w:p>
            <w:pPr>
              <w:ind w:left="120"/>
              <w:spacing w:after="0"/>
              <w:rPr>
                <w:sz w:val="20"/>
                <w:szCs w:val="20"/>
                <w:color w:val="auto"/>
              </w:rPr>
            </w:pPr>
            <w:r>
              <w:rPr>
                <w:rFonts w:ascii="Times New Roman" w:cs="Times New Roman" w:eastAsia="Times New Roman" w:hAnsi="Times New Roman"/>
                <w:sz w:val="12"/>
                <w:szCs w:val="12"/>
                <w:color w:val="auto"/>
              </w:rPr>
              <w:t>3245 m</w:t>
            </w:r>
          </w:p>
        </w:tc>
        <w:tc>
          <w:tcPr>
            <w:tcW w:w="700" w:type="dxa"/>
            <w:vAlign w:val="bottom"/>
          </w:tcPr>
          <w:p>
            <w:pPr>
              <w:ind w:left="100"/>
              <w:spacing w:after="0"/>
              <w:rPr>
                <w:sz w:val="20"/>
                <w:szCs w:val="20"/>
                <w:color w:val="auto"/>
              </w:rPr>
            </w:pPr>
            <w:r>
              <w:rPr>
                <w:rFonts w:ascii="Times New Roman" w:cs="Times New Roman" w:eastAsia="Times New Roman" w:hAnsi="Times New Roman"/>
                <w:sz w:val="12"/>
                <w:szCs w:val="12"/>
                <w:color w:val="auto"/>
              </w:rPr>
              <w:t>4200 m</w:t>
            </w:r>
          </w:p>
        </w:tc>
      </w:tr>
    </w:tbl>
    <w:p>
      <w:pPr>
        <w:spacing w:after="0" w:line="164" w:lineRule="exact"/>
        <w:rPr>
          <w:sz w:val="20"/>
          <w:szCs w:val="20"/>
          <w:color w:val="auto"/>
        </w:rPr>
      </w:pPr>
    </w:p>
    <w:p>
      <w:pPr>
        <w:jc w:val="both"/>
        <w:ind w:right="820"/>
        <w:spacing w:after="0" w:line="269" w:lineRule="auto"/>
        <w:rPr>
          <w:sz w:val="20"/>
          <w:szCs w:val="20"/>
          <w:color w:val="auto"/>
        </w:rPr>
      </w:pPr>
      <w:r>
        <w:rPr>
          <w:rFonts w:ascii="Times New Roman" w:cs="Times New Roman" w:eastAsia="Times New Roman" w:hAnsi="Times New Roman"/>
          <w:sz w:val="16"/>
          <w:szCs w:val="16"/>
          <w:color w:val="auto"/>
        </w:rPr>
        <w:t>acp conjunto de la morfometría corporal y la morfología del corazón de cuatro poblaciones de lagartijas que habitan en un gradiente altitudinal. Se resalta el porcentaje de la varianza explicada, así como las variables de mayor peso para cada componente (m = altitud). Fuente: Ruiz, 2010.</w:t>
      </w:r>
    </w:p>
    <w:p>
      <w:pPr>
        <w:spacing w:after="0" w:line="153" w:lineRule="exact"/>
        <w:rPr>
          <w:sz w:val="20"/>
          <w:szCs w:val="20"/>
          <w:color w:val="auto"/>
        </w:rPr>
      </w:pPr>
    </w:p>
    <w:p>
      <w:pPr>
        <w:ind w:left="2460"/>
        <w:spacing w:after="0"/>
        <w:rPr>
          <w:sz w:val="20"/>
          <w:szCs w:val="20"/>
          <w:color w:val="auto"/>
        </w:rPr>
      </w:pPr>
      <w:r>
        <w:rPr>
          <w:rFonts w:ascii="Times New Roman" w:cs="Times New Roman" w:eastAsia="Times New Roman" w:hAnsi="Times New Roman"/>
          <w:sz w:val="20"/>
          <w:szCs w:val="20"/>
          <w:i w:val="1"/>
          <w:iCs w:val="1"/>
          <w:color w:val="auto"/>
        </w:rPr>
        <w:t>Figura 8</w:t>
      </w:r>
    </w:p>
    <w:p>
      <w:pPr>
        <w:ind w:left="2460"/>
        <w:spacing w:after="0"/>
        <w:rPr>
          <w:sz w:val="20"/>
          <w:szCs w:val="20"/>
          <w:color w:val="auto"/>
        </w:rPr>
        <w:sectPr>
          <w:pgSz w:w="9360" w:h="13039" w:orient="portrait"/>
          <w:cols w:equalWidth="0" w:num="1">
            <w:col w:w="6380"/>
          </w:cols>
          <w:pgMar w:left="1900" w:top="905" w:right="1080" w:bottom="437" w:gutter="0" w:footer="0" w:header="0"/>
        </w:sectPr>
      </w:pPr>
      <w:r>
        <w:rPr>
          <w:sz w:val="20"/>
          <w:szCs w:val="20"/>
          <w:color w:val="auto"/>
        </w:rPr>
        <w:drawing>
          <wp:anchor simplePos="0" relativeHeight="251657728" behindDoc="1" locked="0" layoutInCell="0" allowOverlap="1">
            <wp:simplePos x="0" y="0"/>
            <wp:positionH relativeFrom="column">
              <wp:posOffset>-2540</wp:posOffset>
            </wp:positionH>
            <wp:positionV relativeFrom="paragraph">
              <wp:posOffset>43815</wp:posOffset>
            </wp:positionV>
            <wp:extent cx="3628390" cy="2261235"/>
            <wp:wrapNone/>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58">
                      <a:extLst>
                        <a:ext uri="{28A0092B-C50C-407E-A947-70E740481C1C}"/>
                      </a:extLst>
                    </a:blip>
                    <a:srcRect/>
                    <a:stretch>
                      <a:fillRect/>
                    </a:stretch>
                  </pic:blipFill>
                  <pic:spPr bwMode="auto">
                    <a:xfrm>
                      <a:off x="0" y="0"/>
                      <a:ext cx="3628390" cy="2261235"/>
                    </a:xfrm>
                    <a:prstGeom prst="rect">
                      <a:avLst/>
                    </a:prstGeom>
                    <a:noFill/>
                  </pic:spPr>
                </pic:pic>
              </a:graphicData>
            </a:graphic>
          </wp:anchor>
        </w:drawing>
      </w:r>
    </w:p>
    <w:p>
      <w:pPr>
        <w:spacing w:after="0" w:line="200" w:lineRule="exact"/>
        <w:rPr>
          <w:sz w:val="20"/>
          <w:szCs w:val="20"/>
          <w:color w:val="auto"/>
        </w:rPr>
      </w:pPr>
    </w:p>
    <w:p>
      <w:pPr>
        <w:spacing w:after="0" w:line="384" w:lineRule="exact"/>
        <w:rPr>
          <w:sz w:val="20"/>
          <w:szCs w:val="20"/>
          <w:color w:val="auto"/>
        </w:rPr>
      </w:pPr>
    </w:p>
    <w:tbl>
      <w:tblPr>
        <w:tblLayout w:type="fixed"/>
        <w:tblInd w:w="0" w:type="dxa"/>
        <w:tblCellMar>
          <w:top w:w="0" w:type="dxa"/>
          <w:left w:w="0" w:type="dxa"/>
          <w:bottom w:w="0" w:type="dxa"/>
          <w:right w:w="0" w:type="dxa"/>
        </w:tblCellMar>
      </w:tblPr>
      <w:tr>
        <w:trPr>
          <w:trHeight w:val="1820"/>
          <w:jc w:val="center"/>
        </w:trPr>
        <w:tc>
          <w:tcPr>
            <w:tcW w:w="172" w:type="dxa"/>
            <w:vAlign w:val="bottom"/>
            <w:textDirection w:val="btLr"/>
          </w:tcPr>
          <w:p>
            <w:pPr>
              <w:spacing w:after="0"/>
              <w:rPr>
                <w:sz w:val="20"/>
                <w:szCs w:val="20"/>
                <w:color w:val="auto"/>
              </w:rPr>
            </w:pPr>
            <w:r>
              <w:rPr>
                <w:rFonts w:ascii="Times New Roman" w:cs="Times New Roman" w:eastAsia="Times New Roman" w:hAnsi="Times New Roman"/>
                <w:sz w:val="15"/>
                <w:szCs w:val="15"/>
                <w:b w:val="1"/>
                <w:bCs w:val="1"/>
                <w:color w:val="auto"/>
              </w:rPr>
              <w:t>C.P.1 Morfología y Corazón</w:t>
            </w:r>
          </w:p>
        </w:tc>
      </w:tr>
    </w:tbl>
    <w:p>
      <w:pPr>
        <w:spacing w:after="0" w:line="160" w:lineRule="exact"/>
        <w:rPr>
          <w:sz w:val="20"/>
          <w:szCs w:val="20"/>
          <w:color w:val="auto"/>
        </w:rPr>
      </w:pPr>
      <w:r>
        <w:rPr>
          <w:sz w:val="20"/>
          <w:szCs w:val="20"/>
          <w:color w:val="auto"/>
        </w:rPr>
        <w:br w:type="column"/>
      </w:r>
    </w:p>
    <w:p>
      <w:pPr>
        <w:jc w:val="right"/>
        <w:spacing w:after="0"/>
        <w:rPr>
          <w:sz w:val="20"/>
          <w:szCs w:val="20"/>
          <w:color w:val="auto"/>
        </w:rPr>
      </w:pPr>
      <w:r>
        <w:rPr>
          <w:rFonts w:ascii="Times New Roman" w:cs="Times New Roman" w:eastAsia="Times New Roman" w:hAnsi="Times New Roman"/>
          <w:sz w:val="16"/>
          <w:szCs w:val="16"/>
          <w:color w:val="auto"/>
        </w:rPr>
        <w:t>6.3</w:t>
      </w:r>
    </w:p>
    <w:p>
      <w:pPr>
        <w:spacing w:after="0" w:line="316"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16"/>
          <w:szCs w:val="16"/>
          <w:color w:val="auto"/>
        </w:rPr>
        <w:t>4.3</w:t>
      </w:r>
    </w:p>
    <w:p>
      <w:pPr>
        <w:spacing w:after="0" w:line="316"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16"/>
          <w:szCs w:val="16"/>
          <w:color w:val="auto"/>
        </w:rPr>
        <w:t>2.3</w:t>
      </w:r>
    </w:p>
    <w:p>
      <w:pPr>
        <w:spacing w:after="0" w:line="316"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16"/>
          <w:szCs w:val="16"/>
          <w:color w:val="auto"/>
        </w:rPr>
        <w:t>0.3</w:t>
      </w:r>
    </w:p>
    <w:p>
      <w:pPr>
        <w:spacing w:after="0" w:line="316"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-1.7</w:t>
      </w:r>
    </w:p>
    <w:p>
      <w:pPr>
        <w:spacing w:after="0" w:line="316"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-3.7</w:t>
      </w:r>
    </w:p>
    <w:p>
      <w:pPr>
        <w:spacing w:after="0" w:line="200" w:lineRule="exact"/>
        <w:rPr>
          <w:sz w:val="20"/>
          <w:szCs w:val="20"/>
          <w:color w:val="auto"/>
        </w:rPr>
      </w:pPr>
      <w:r>
        <w:rPr>
          <w:sz w:val="20"/>
          <w:szCs w:val="20"/>
          <w:color w:val="auto"/>
        </w:rPr>
        <w:br w:type="column"/>
      </w:r>
    </w:p>
    <w:p>
      <w:pPr>
        <w:spacing w:after="0" w:line="231" w:lineRule="exact"/>
        <w:rPr>
          <w:sz w:val="20"/>
          <w:szCs w:val="20"/>
          <w:color w:val="auto"/>
        </w:rPr>
      </w:pPr>
    </w:p>
    <w:p>
      <w:pPr>
        <w:ind w:left="1560"/>
        <w:spacing w:after="0"/>
        <w:rPr>
          <w:sz w:val="20"/>
          <w:szCs w:val="20"/>
          <w:color w:val="auto"/>
        </w:rPr>
      </w:pPr>
      <w:r>
        <w:rPr>
          <w:rFonts w:ascii="Times New Roman" w:cs="Times New Roman" w:eastAsia="Times New Roman" w:hAnsi="Times New Roman"/>
          <w:sz w:val="16"/>
          <w:szCs w:val="16"/>
          <w:color w:val="auto"/>
        </w:rPr>
        <w:t>1</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3" w:lineRule="exact"/>
        <w:rPr>
          <w:sz w:val="20"/>
          <w:szCs w:val="20"/>
          <w:color w:val="auto"/>
        </w:rPr>
      </w:pPr>
    </w:p>
    <w:tbl>
      <w:tblPr>
        <w:tblLayout w:type="fixed"/>
        <w:tblInd w:w="0" w:type="dxa"/>
        <w:tblCellMar>
          <w:top w:w="0" w:type="dxa"/>
          <w:left w:w="0" w:type="dxa"/>
          <w:bottom w:w="0" w:type="dxa"/>
          <w:right w:w="0" w:type="dxa"/>
        </w:tblCellMar>
      </w:tblPr>
      <w:tr>
        <w:trPr>
          <w:trHeight w:val="203"/>
        </w:trPr>
        <w:tc>
          <w:tcPr>
            <w:tcW w:w="660" w:type="dxa"/>
            <w:vAlign w:val="bottom"/>
          </w:tcPr>
          <w:p>
            <w:pPr>
              <w:spacing w:after="0"/>
              <w:rPr>
                <w:sz w:val="17"/>
                <w:szCs w:val="17"/>
                <w:color w:val="auto"/>
              </w:rPr>
            </w:pPr>
          </w:p>
        </w:tc>
        <w:tc>
          <w:tcPr>
            <w:tcW w:w="140" w:type="dxa"/>
            <w:vAlign w:val="bottom"/>
          </w:tcPr>
          <w:p>
            <w:pPr>
              <w:spacing w:after="0"/>
              <w:rPr>
                <w:sz w:val="17"/>
                <w:szCs w:val="17"/>
                <w:color w:val="auto"/>
              </w:rPr>
            </w:pPr>
          </w:p>
        </w:tc>
        <w:tc>
          <w:tcPr>
            <w:tcW w:w="900" w:type="dxa"/>
            <w:vAlign w:val="bottom"/>
          </w:tcPr>
          <w:p>
            <w:pPr>
              <w:spacing w:after="0"/>
              <w:rPr>
                <w:sz w:val="17"/>
                <w:szCs w:val="17"/>
                <w:color w:val="auto"/>
              </w:rPr>
            </w:pPr>
          </w:p>
        </w:tc>
        <w:tc>
          <w:tcPr>
            <w:tcW w:w="640" w:type="dxa"/>
            <w:vAlign w:val="bottom"/>
          </w:tcPr>
          <w:p>
            <w:pPr>
              <w:spacing w:after="0"/>
              <w:rPr>
                <w:sz w:val="17"/>
                <w:szCs w:val="17"/>
                <w:color w:val="auto"/>
              </w:rPr>
            </w:pPr>
          </w:p>
        </w:tc>
        <w:tc>
          <w:tcPr>
            <w:tcW w:w="320" w:type="dxa"/>
            <w:vAlign w:val="bottom"/>
          </w:tcPr>
          <w:p>
            <w:pPr>
              <w:jc w:val="right"/>
              <w:ind w:right="45"/>
              <w:spacing w:after="0"/>
              <w:rPr>
                <w:sz w:val="20"/>
                <w:szCs w:val="20"/>
                <w:color w:val="auto"/>
              </w:rPr>
            </w:pPr>
            <w:r>
              <w:rPr>
                <w:rFonts w:ascii="Times New Roman" w:cs="Times New Roman" w:eastAsia="Times New Roman" w:hAnsi="Times New Roman"/>
                <w:sz w:val="16"/>
                <w:szCs w:val="16"/>
                <w:color w:val="auto"/>
              </w:rPr>
              <w:t>2</w:t>
            </w:r>
          </w:p>
        </w:tc>
        <w:tc>
          <w:tcPr>
            <w:tcW w:w="400" w:type="dxa"/>
            <w:vAlign w:val="bottom"/>
          </w:tcPr>
          <w:p>
            <w:pPr>
              <w:spacing w:after="0"/>
              <w:rPr>
                <w:sz w:val="17"/>
                <w:szCs w:val="17"/>
                <w:color w:val="auto"/>
              </w:rPr>
            </w:pPr>
          </w:p>
        </w:tc>
        <w:tc>
          <w:tcPr>
            <w:tcW w:w="460" w:type="dxa"/>
            <w:vAlign w:val="bottom"/>
          </w:tcPr>
          <w:p>
            <w:pPr>
              <w:spacing w:after="0"/>
              <w:rPr>
                <w:sz w:val="17"/>
                <w:szCs w:val="17"/>
                <w:color w:val="auto"/>
              </w:rPr>
            </w:pPr>
          </w:p>
        </w:tc>
      </w:tr>
      <w:tr>
        <w:trPr>
          <w:trHeight w:val="459"/>
        </w:trPr>
        <w:tc>
          <w:tcPr>
            <w:tcW w:w="660" w:type="dxa"/>
            <w:vAlign w:val="bottom"/>
          </w:tcPr>
          <w:p>
            <w:pPr>
              <w:spacing w:after="0"/>
              <w:rPr>
                <w:sz w:val="24"/>
                <w:szCs w:val="24"/>
                <w:color w:val="auto"/>
              </w:rPr>
            </w:pPr>
          </w:p>
        </w:tc>
        <w:tc>
          <w:tcPr>
            <w:tcW w:w="140" w:type="dxa"/>
            <w:vAlign w:val="bottom"/>
          </w:tcPr>
          <w:p>
            <w:pPr>
              <w:spacing w:after="0"/>
              <w:rPr>
                <w:sz w:val="24"/>
                <w:szCs w:val="24"/>
                <w:color w:val="auto"/>
              </w:rPr>
            </w:pPr>
          </w:p>
        </w:tc>
        <w:tc>
          <w:tcPr>
            <w:tcW w:w="90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860" w:type="dxa"/>
            <w:vAlign w:val="bottom"/>
            <w:gridSpan w:val="2"/>
          </w:tcPr>
          <w:p>
            <w:pPr>
              <w:jc w:val="right"/>
              <w:ind w:right="60"/>
              <w:spacing w:after="0"/>
              <w:rPr>
                <w:sz w:val="20"/>
                <w:szCs w:val="20"/>
                <w:color w:val="auto"/>
              </w:rPr>
            </w:pPr>
            <w:r>
              <w:rPr>
                <w:rFonts w:ascii="Times New Roman" w:cs="Times New Roman" w:eastAsia="Times New Roman" w:hAnsi="Times New Roman"/>
                <w:sz w:val="16"/>
                <w:szCs w:val="16"/>
                <w:color w:val="auto"/>
              </w:rPr>
              <w:t>3</w:t>
            </w:r>
          </w:p>
        </w:tc>
      </w:tr>
      <w:tr>
        <w:trPr>
          <w:trHeight w:val="216"/>
        </w:trPr>
        <w:tc>
          <w:tcPr>
            <w:tcW w:w="800" w:type="dxa"/>
            <w:vAlign w:val="bottom"/>
            <w:gridSpan w:val="2"/>
          </w:tcPr>
          <w:p>
            <w:pPr>
              <w:jc w:val="right"/>
              <w:ind w:right="80"/>
              <w:spacing w:after="0"/>
              <w:rPr>
                <w:sz w:val="20"/>
                <w:szCs w:val="20"/>
                <w:color w:val="auto"/>
              </w:rPr>
            </w:pPr>
            <w:r>
              <w:rPr>
                <w:rFonts w:ascii="Times New Roman" w:cs="Times New Roman" w:eastAsia="Times New Roman" w:hAnsi="Times New Roman"/>
                <w:sz w:val="16"/>
                <w:szCs w:val="16"/>
                <w:color w:val="auto"/>
              </w:rPr>
              <w:t>3</w:t>
            </w:r>
          </w:p>
        </w:tc>
        <w:tc>
          <w:tcPr>
            <w:tcW w:w="900" w:type="dxa"/>
            <w:vAlign w:val="bottom"/>
          </w:tcPr>
          <w:p>
            <w:pPr>
              <w:spacing w:after="0"/>
              <w:rPr>
                <w:sz w:val="18"/>
                <w:szCs w:val="18"/>
                <w:color w:val="auto"/>
              </w:rPr>
            </w:pPr>
          </w:p>
        </w:tc>
        <w:tc>
          <w:tcPr>
            <w:tcW w:w="640" w:type="dxa"/>
            <w:vAlign w:val="bottom"/>
          </w:tcPr>
          <w:p>
            <w:pPr>
              <w:spacing w:after="0"/>
              <w:rPr>
                <w:sz w:val="18"/>
                <w:szCs w:val="18"/>
                <w:color w:val="auto"/>
              </w:rPr>
            </w:pPr>
          </w:p>
        </w:tc>
        <w:tc>
          <w:tcPr>
            <w:tcW w:w="320" w:type="dxa"/>
            <w:vAlign w:val="bottom"/>
          </w:tcPr>
          <w:p>
            <w:pPr>
              <w:spacing w:after="0"/>
              <w:rPr>
                <w:sz w:val="18"/>
                <w:szCs w:val="18"/>
                <w:color w:val="auto"/>
              </w:rPr>
            </w:pPr>
          </w:p>
        </w:tc>
        <w:tc>
          <w:tcPr>
            <w:tcW w:w="400" w:type="dxa"/>
            <w:vAlign w:val="bottom"/>
          </w:tcPr>
          <w:p>
            <w:pPr>
              <w:spacing w:after="0"/>
              <w:rPr>
                <w:sz w:val="18"/>
                <w:szCs w:val="18"/>
                <w:color w:val="auto"/>
              </w:rPr>
            </w:pPr>
          </w:p>
        </w:tc>
        <w:tc>
          <w:tcPr>
            <w:tcW w:w="460" w:type="dxa"/>
            <w:vAlign w:val="bottom"/>
          </w:tcPr>
          <w:p>
            <w:pPr>
              <w:spacing w:after="0"/>
              <w:rPr>
                <w:sz w:val="18"/>
                <w:szCs w:val="18"/>
                <w:color w:val="auto"/>
              </w:rPr>
            </w:pPr>
          </w:p>
        </w:tc>
      </w:tr>
      <w:tr>
        <w:trPr>
          <w:trHeight w:val="737"/>
        </w:trPr>
        <w:tc>
          <w:tcPr>
            <w:tcW w:w="800" w:type="dxa"/>
            <w:vAlign w:val="bottom"/>
            <w:gridSpan w:val="2"/>
          </w:tcPr>
          <w:p>
            <w:pPr>
              <w:jc w:val="center"/>
              <w:ind w:right="160"/>
              <w:spacing w:after="0"/>
              <w:rPr>
                <w:sz w:val="20"/>
                <w:szCs w:val="20"/>
                <w:color w:val="auto"/>
              </w:rPr>
            </w:pPr>
            <w:r>
              <w:rPr>
                <w:rFonts w:ascii="Times New Roman" w:cs="Times New Roman" w:eastAsia="Times New Roman" w:hAnsi="Times New Roman"/>
                <w:sz w:val="14"/>
                <w:szCs w:val="14"/>
                <w:b w:val="1"/>
                <w:bCs w:val="1"/>
                <w:i w:val="1"/>
                <w:iCs w:val="1"/>
                <w:color w:val="auto"/>
                <w:w w:val="94"/>
              </w:rPr>
              <w:t>S. aeneus</w:t>
            </w:r>
          </w:p>
        </w:tc>
        <w:tc>
          <w:tcPr>
            <w:tcW w:w="900" w:type="dxa"/>
            <w:vAlign w:val="bottom"/>
          </w:tcPr>
          <w:p>
            <w:pPr>
              <w:ind w:left="80"/>
              <w:spacing w:after="0"/>
              <w:rPr>
                <w:sz w:val="20"/>
                <w:szCs w:val="20"/>
                <w:color w:val="auto"/>
              </w:rPr>
            </w:pPr>
            <w:r>
              <w:rPr>
                <w:rFonts w:ascii="Times New Roman" w:cs="Times New Roman" w:eastAsia="Times New Roman" w:hAnsi="Times New Roman"/>
                <w:sz w:val="14"/>
                <w:szCs w:val="14"/>
                <w:b w:val="1"/>
                <w:bCs w:val="1"/>
                <w:i w:val="1"/>
                <w:iCs w:val="1"/>
                <w:color w:val="auto"/>
              </w:rPr>
              <w:t>S. bicanthalis</w:t>
            </w:r>
          </w:p>
        </w:tc>
        <w:tc>
          <w:tcPr>
            <w:tcW w:w="960" w:type="dxa"/>
            <w:vAlign w:val="bottom"/>
            <w:gridSpan w:val="2"/>
          </w:tcPr>
          <w:p>
            <w:pPr>
              <w:jc w:val="center"/>
              <w:ind w:left="10"/>
              <w:spacing w:after="0"/>
              <w:rPr>
                <w:sz w:val="20"/>
                <w:szCs w:val="20"/>
                <w:color w:val="auto"/>
              </w:rPr>
            </w:pPr>
            <w:r>
              <w:rPr>
                <w:rFonts w:ascii="Times New Roman" w:cs="Times New Roman" w:eastAsia="Times New Roman" w:hAnsi="Times New Roman"/>
                <w:sz w:val="14"/>
                <w:szCs w:val="14"/>
                <w:b w:val="1"/>
                <w:bCs w:val="1"/>
                <w:i w:val="1"/>
                <w:iCs w:val="1"/>
                <w:color w:val="auto"/>
                <w:w w:val="94"/>
              </w:rPr>
              <w:t>S. aeneus</w:t>
            </w:r>
          </w:p>
        </w:tc>
        <w:tc>
          <w:tcPr>
            <w:tcW w:w="860" w:type="dxa"/>
            <w:vAlign w:val="bottom"/>
            <w:gridSpan w:val="2"/>
          </w:tcPr>
          <w:p>
            <w:pPr>
              <w:jc w:val="right"/>
              <w:spacing w:after="0"/>
              <w:rPr>
                <w:sz w:val="20"/>
                <w:szCs w:val="20"/>
                <w:color w:val="auto"/>
              </w:rPr>
            </w:pPr>
            <w:r>
              <w:rPr>
                <w:rFonts w:ascii="Times New Roman" w:cs="Times New Roman" w:eastAsia="Times New Roman" w:hAnsi="Times New Roman"/>
                <w:sz w:val="14"/>
                <w:szCs w:val="14"/>
                <w:b w:val="1"/>
                <w:bCs w:val="1"/>
                <w:i w:val="1"/>
                <w:iCs w:val="1"/>
                <w:color w:val="auto"/>
              </w:rPr>
              <w:t>S. bicanthalis</w:t>
            </w:r>
          </w:p>
        </w:tc>
      </w:tr>
      <w:tr>
        <w:trPr>
          <w:trHeight w:val="168"/>
        </w:trPr>
        <w:tc>
          <w:tcPr>
            <w:tcW w:w="800" w:type="dxa"/>
            <w:vAlign w:val="bottom"/>
            <w:gridSpan w:val="2"/>
          </w:tcPr>
          <w:p>
            <w:pPr>
              <w:jc w:val="center"/>
              <w:ind w:right="140"/>
              <w:spacing w:after="0"/>
              <w:rPr>
                <w:sz w:val="20"/>
                <w:szCs w:val="20"/>
                <w:color w:val="auto"/>
              </w:rPr>
            </w:pPr>
            <w:r>
              <w:rPr>
                <w:rFonts w:ascii="Times New Roman" w:cs="Times New Roman" w:eastAsia="Times New Roman" w:hAnsi="Times New Roman"/>
                <w:sz w:val="14"/>
                <w:szCs w:val="14"/>
                <w:b w:val="1"/>
                <w:bCs w:val="1"/>
                <w:color w:val="auto"/>
                <w:w w:val="96"/>
              </w:rPr>
              <w:t>2645 msnm</w:t>
            </w:r>
          </w:p>
        </w:tc>
        <w:tc>
          <w:tcPr>
            <w:tcW w:w="900" w:type="dxa"/>
            <w:vAlign w:val="bottom"/>
          </w:tcPr>
          <w:p>
            <w:pPr>
              <w:ind w:left="140"/>
              <w:spacing w:after="0"/>
              <w:rPr>
                <w:sz w:val="20"/>
                <w:szCs w:val="20"/>
                <w:color w:val="auto"/>
              </w:rPr>
            </w:pPr>
            <w:r>
              <w:rPr>
                <w:rFonts w:ascii="Times New Roman" w:cs="Times New Roman" w:eastAsia="Times New Roman" w:hAnsi="Times New Roman"/>
                <w:sz w:val="14"/>
                <w:szCs w:val="14"/>
                <w:b w:val="1"/>
                <w:bCs w:val="1"/>
                <w:color w:val="auto"/>
              </w:rPr>
              <w:t>2857 msnm</w:t>
            </w:r>
          </w:p>
        </w:tc>
        <w:tc>
          <w:tcPr>
            <w:tcW w:w="960" w:type="dxa"/>
            <w:vAlign w:val="bottom"/>
            <w:gridSpan w:val="2"/>
          </w:tcPr>
          <w:p>
            <w:pPr>
              <w:jc w:val="center"/>
              <w:ind w:left="10"/>
              <w:spacing w:after="0"/>
              <w:rPr>
                <w:sz w:val="20"/>
                <w:szCs w:val="20"/>
                <w:color w:val="auto"/>
              </w:rPr>
            </w:pPr>
            <w:r>
              <w:rPr>
                <w:rFonts w:ascii="Times New Roman" w:cs="Times New Roman" w:eastAsia="Times New Roman" w:hAnsi="Times New Roman"/>
                <w:sz w:val="14"/>
                <w:szCs w:val="14"/>
                <w:b w:val="1"/>
                <w:bCs w:val="1"/>
                <w:color w:val="auto"/>
                <w:w w:val="99"/>
              </w:rPr>
              <w:t>3245 msnm</w:t>
            </w:r>
          </w:p>
        </w:tc>
        <w:tc>
          <w:tcPr>
            <w:tcW w:w="860" w:type="dxa"/>
            <w:vAlign w:val="bottom"/>
            <w:gridSpan w:val="2"/>
          </w:tcPr>
          <w:p>
            <w:pPr>
              <w:jc w:val="right"/>
              <w:ind w:right="40"/>
              <w:spacing w:after="0"/>
              <w:rPr>
                <w:sz w:val="20"/>
                <w:szCs w:val="20"/>
                <w:color w:val="auto"/>
              </w:rPr>
            </w:pPr>
            <w:r>
              <w:rPr>
                <w:rFonts w:ascii="Times New Roman" w:cs="Times New Roman" w:eastAsia="Times New Roman" w:hAnsi="Times New Roman"/>
                <w:sz w:val="14"/>
                <w:szCs w:val="14"/>
                <w:b w:val="1"/>
                <w:bCs w:val="1"/>
                <w:color w:val="auto"/>
              </w:rPr>
              <w:t>4200 msnm</w:t>
            </w:r>
          </w:p>
        </w:tc>
      </w:tr>
      <w:tr>
        <w:trPr>
          <w:trHeight w:val="58"/>
        </w:trPr>
        <w:tc>
          <w:tcPr>
            <w:tcW w:w="660" w:type="dxa"/>
            <w:vAlign w:val="bottom"/>
          </w:tcPr>
          <w:p>
            <w:pPr>
              <w:spacing w:after="0"/>
              <w:rPr>
                <w:sz w:val="5"/>
                <w:szCs w:val="5"/>
                <w:color w:val="auto"/>
              </w:rPr>
            </w:pPr>
          </w:p>
        </w:tc>
        <w:tc>
          <w:tcPr>
            <w:tcW w:w="140" w:type="dxa"/>
            <w:vAlign w:val="bottom"/>
          </w:tcPr>
          <w:p>
            <w:pPr>
              <w:spacing w:after="0"/>
              <w:rPr>
                <w:sz w:val="5"/>
                <w:szCs w:val="5"/>
                <w:color w:val="auto"/>
              </w:rPr>
            </w:pPr>
          </w:p>
        </w:tc>
        <w:tc>
          <w:tcPr>
            <w:tcW w:w="900" w:type="dxa"/>
            <w:vAlign w:val="bottom"/>
          </w:tcPr>
          <w:p>
            <w:pPr>
              <w:spacing w:after="0"/>
              <w:rPr>
                <w:sz w:val="5"/>
                <w:szCs w:val="5"/>
                <w:color w:val="auto"/>
              </w:rPr>
            </w:pPr>
          </w:p>
        </w:tc>
        <w:tc>
          <w:tcPr>
            <w:tcW w:w="640" w:type="dxa"/>
            <w:vAlign w:val="bottom"/>
          </w:tcPr>
          <w:p>
            <w:pPr>
              <w:spacing w:after="0"/>
              <w:rPr>
                <w:sz w:val="5"/>
                <w:szCs w:val="5"/>
                <w:color w:val="auto"/>
              </w:rPr>
            </w:pPr>
          </w:p>
        </w:tc>
        <w:tc>
          <w:tcPr>
            <w:tcW w:w="720" w:type="dxa"/>
            <w:vAlign w:val="bottom"/>
            <w:gridSpan w:val="2"/>
          </w:tcPr>
          <w:p>
            <w:pPr>
              <w:spacing w:after="0"/>
              <w:rPr>
                <w:sz w:val="5"/>
                <w:szCs w:val="5"/>
                <w:color w:val="auto"/>
              </w:rPr>
            </w:pPr>
          </w:p>
        </w:tc>
        <w:tc>
          <w:tcPr>
            <w:tcW w:w="460" w:type="dxa"/>
            <w:vAlign w:val="bottom"/>
          </w:tcPr>
          <w:p>
            <w:pPr>
              <w:spacing w:after="0"/>
              <w:rPr>
                <w:sz w:val="5"/>
                <w:szCs w:val="5"/>
                <w:color w:val="auto"/>
              </w:rPr>
            </w:pPr>
          </w:p>
        </w:tc>
      </w:tr>
      <w:tr>
        <w:trPr>
          <w:trHeight w:val="231"/>
        </w:trPr>
        <w:tc>
          <w:tcPr>
            <w:tcW w:w="660" w:type="dxa"/>
            <w:vAlign w:val="bottom"/>
            <w:tcBorders>
              <w:right w:val="single" w:sz="8" w:color="auto"/>
            </w:tcBorders>
          </w:tcPr>
          <w:p>
            <w:pPr>
              <w:spacing w:after="0"/>
              <w:rPr>
                <w:sz w:val="20"/>
                <w:szCs w:val="20"/>
                <w:color w:val="auto"/>
              </w:rPr>
            </w:pPr>
          </w:p>
        </w:tc>
        <w:tc>
          <w:tcPr>
            <w:tcW w:w="140" w:type="dxa"/>
            <w:vAlign w:val="bottom"/>
            <w:tcBorders>
              <w:top w:val="single" w:sz="8" w:color="auto"/>
            </w:tcBorders>
          </w:tcPr>
          <w:p>
            <w:pPr>
              <w:spacing w:after="0"/>
              <w:rPr>
                <w:sz w:val="20"/>
                <w:szCs w:val="20"/>
                <w:color w:val="auto"/>
              </w:rPr>
            </w:pPr>
          </w:p>
        </w:tc>
        <w:tc>
          <w:tcPr>
            <w:tcW w:w="900" w:type="dxa"/>
            <w:vAlign w:val="bottom"/>
            <w:tcBorders>
              <w:top w:val="single" w:sz="8" w:color="auto"/>
            </w:tcBorders>
          </w:tcPr>
          <w:p>
            <w:pPr>
              <w:ind w:left="120"/>
              <w:spacing w:after="0"/>
              <w:rPr>
                <w:sz w:val="20"/>
                <w:szCs w:val="20"/>
                <w:color w:val="auto"/>
              </w:rPr>
            </w:pPr>
            <w:r>
              <w:rPr>
                <w:rFonts w:ascii="Times New Roman" w:cs="Times New Roman" w:eastAsia="Times New Roman" w:hAnsi="Times New Roman"/>
                <w:sz w:val="14"/>
                <w:szCs w:val="14"/>
                <w:color w:val="auto"/>
              </w:rPr>
              <w:t>Grupo 1</w:t>
            </w:r>
          </w:p>
        </w:tc>
        <w:tc>
          <w:tcPr>
            <w:tcW w:w="640" w:type="dxa"/>
            <w:vAlign w:val="bottom"/>
            <w:tcBorders>
              <w:top w:val="single" w:sz="8" w:color="auto"/>
            </w:tcBorders>
          </w:tcPr>
          <w:p>
            <w:pPr>
              <w:ind w:left="40"/>
              <w:spacing w:after="0"/>
              <w:rPr>
                <w:sz w:val="20"/>
                <w:szCs w:val="20"/>
                <w:color w:val="auto"/>
              </w:rPr>
            </w:pPr>
            <w:r>
              <w:rPr>
                <w:rFonts w:ascii="Times New Roman" w:cs="Times New Roman" w:eastAsia="Times New Roman" w:hAnsi="Times New Roman"/>
                <w:sz w:val="14"/>
                <w:szCs w:val="14"/>
                <w:color w:val="auto"/>
              </w:rPr>
              <w:t>Grupo 2</w:t>
            </w:r>
          </w:p>
        </w:tc>
        <w:tc>
          <w:tcPr>
            <w:tcW w:w="720" w:type="dxa"/>
            <w:vAlign w:val="bottom"/>
            <w:tcBorders>
              <w:top w:val="single" w:sz="8" w:color="auto"/>
              <w:right w:val="single" w:sz="8" w:color="auto"/>
            </w:tcBorders>
            <w:gridSpan w:val="2"/>
          </w:tcPr>
          <w:p>
            <w:pPr>
              <w:ind w:left="180"/>
              <w:spacing w:after="0"/>
              <w:rPr>
                <w:sz w:val="20"/>
                <w:szCs w:val="20"/>
                <w:color w:val="auto"/>
              </w:rPr>
            </w:pPr>
            <w:r>
              <w:rPr>
                <w:rFonts w:ascii="Times New Roman" w:cs="Times New Roman" w:eastAsia="Times New Roman" w:hAnsi="Times New Roman"/>
                <w:sz w:val="14"/>
                <w:szCs w:val="14"/>
                <w:color w:val="auto"/>
              </w:rPr>
              <w:t>Grupo 3</w:t>
            </w:r>
          </w:p>
        </w:tc>
        <w:tc>
          <w:tcPr>
            <w:tcW w:w="460" w:type="dxa"/>
            <w:vAlign w:val="bottom"/>
          </w:tcPr>
          <w:p>
            <w:pPr>
              <w:spacing w:after="0"/>
              <w:rPr>
                <w:sz w:val="20"/>
                <w:szCs w:val="20"/>
                <w:color w:val="auto"/>
              </w:rPr>
            </w:pPr>
          </w:p>
        </w:tc>
      </w:tr>
      <w:tr>
        <w:trPr>
          <w:trHeight w:val="33"/>
        </w:trPr>
        <w:tc>
          <w:tcPr>
            <w:tcW w:w="660" w:type="dxa"/>
            <w:vAlign w:val="bottom"/>
            <w:tcBorders>
              <w:right w:val="single" w:sz="8" w:color="auto"/>
            </w:tcBorders>
          </w:tcPr>
          <w:p>
            <w:pPr>
              <w:spacing w:after="0"/>
              <w:rPr>
                <w:sz w:val="2"/>
                <w:szCs w:val="2"/>
                <w:color w:val="auto"/>
              </w:rPr>
            </w:pPr>
          </w:p>
        </w:tc>
        <w:tc>
          <w:tcPr>
            <w:tcW w:w="140" w:type="dxa"/>
            <w:vAlign w:val="bottom"/>
            <w:tcBorders>
              <w:bottom w:val="single" w:sz="8" w:color="auto"/>
            </w:tcBorders>
          </w:tcPr>
          <w:p>
            <w:pPr>
              <w:spacing w:after="0"/>
              <w:rPr>
                <w:sz w:val="2"/>
                <w:szCs w:val="2"/>
                <w:color w:val="auto"/>
              </w:rPr>
            </w:pPr>
          </w:p>
        </w:tc>
        <w:tc>
          <w:tcPr>
            <w:tcW w:w="900" w:type="dxa"/>
            <w:vAlign w:val="bottom"/>
            <w:tcBorders>
              <w:bottom w:val="single" w:sz="8" w:color="auto"/>
            </w:tcBorders>
          </w:tcPr>
          <w:p>
            <w:pPr>
              <w:spacing w:after="0"/>
              <w:rPr>
                <w:sz w:val="2"/>
                <w:szCs w:val="2"/>
                <w:color w:val="auto"/>
              </w:rPr>
            </w:pPr>
          </w:p>
        </w:tc>
        <w:tc>
          <w:tcPr>
            <w:tcW w:w="640" w:type="dxa"/>
            <w:vAlign w:val="bottom"/>
            <w:tcBorders>
              <w:bottom w:val="single" w:sz="8" w:color="auto"/>
            </w:tcBorders>
          </w:tcPr>
          <w:p>
            <w:pPr>
              <w:spacing w:after="0"/>
              <w:rPr>
                <w:sz w:val="2"/>
                <w:szCs w:val="2"/>
                <w:color w:val="auto"/>
              </w:rPr>
            </w:pPr>
          </w:p>
        </w:tc>
        <w:tc>
          <w:tcPr>
            <w:tcW w:w="320" w:type="dxa"/>
            <w:vAlign w:val="bottom"/>
            <w:tcBorders>
              <w:bottom w:val="single" w:sz="8" w:color="auto"/>
            </w:tcBorders>
          </w:tcPr>
          <w:p>
            <w:pPr>
              <w:spacing w:after="0"/>
              <w:rPr>
                <w:sz w:val="2"/>
                <w:szCs w:val="2"/>
                <w:color w:val="auto"/>
              </w:rPr>
            </w:pPr>
          </w:p>
        </w:tc>
        <w:tc>
          <w:tcPr>
            <w:tcW w:w="400" w:type="dxa"/>
            <w:vAlign w:val="bottom"/>
            <w:tcBorders>
              <w:bottom w:val="single" w:sz="8" w:color="auto"/>
              <w:right w:val="single" w:sz="8" w:color="auto"/>
            </w:tcBorders>
          </w:tcPr>
          <w:p>
            <w:pPr>
              <w:spacing w:after="0"/>
              <w:rPr>
                <w:sz w:val="2"/>
                <w:szCs w:val="2"/>
                <w:color w:val="auto"/>
              </w:rPr>
            </w:pPr>
          </w:p>
        </w:tc>
        <w:tc>
          <w:tcPr>
            <w:tcW w:w="460" w:type="dxa"/>
            <w:vAlign w:val="bottom"/>
          </w:tcPr>
          <w:p>
            <w:pPr>
              <w:spacing w:after="0"/>
              <w:rPr>
                <w:sz w:val="2"/>
                <w:szCs w:val="2"/>
                <w:color w:val="auto"/>
              </w:rPr>
            </w:pPr>
          </w:p>
        </w:tc>
      </w:tr>
      <w:p>
        <w:pPr>
          <w:sectPr>
            <w:pgSz w:w="9360" w:h="13039" w:orient="portrait"/>
            <w:cols w:equalWidth="0" w:num="3">
              <w:col w:w="172" w:space="100"/>
              <w:col w:w="260" w:space="760"/>
              <w:col w:w="3520"/>
            </w:cols>
            <w:pgMar w:left="1927" w:top="905" w:right="2620" w:bottom="437" w:gutter="0" w:footer="0" w:header="0"/>
            <w:type w:val="continuous"/>
          </w:sectPr>
        </w:pPr>
      </w:p>
    </w:tbl>
    <w:p>
      <w:pPr>
        <w:spacing w:after="0" w:line="171" w:lineRule="exact"/>
        <w:rPr>
          <w:sz w:val="20"/>
          <w:szCs w:val="20"/>
          <w:color w:val="auto"/>
        </w:rPr>
      </w:pPr>
    </w:p>
    <w:p>
      <w:pPr>
        <w:jc w:val="both"/>
        <w:spacing w:after="0" w:line="273" w:lineRule="auto"/>
        <w:rPr>
          <w:sz w:val="20"/>
          <w:szCs w:val="20"/>
          <w:color w:val="auto"/>
        </w:rPr>
      </w:pPr>
      <w:r>
        <w:rPr>
          <w:rFonts w:ascii="Times New Roman" w:cs="Times New Roman" w:eastAsia="Times New Roman" w:hAnsi="Times New Roman"/>
          <w:sz w:val="16"/>
          <w:szCs w:val="16"/>
          <w:color w:val="auto"/>
        </w:rPr>
        <w:t>Anova y prueba de Bonferroni para el CP1 de la morfometría corporal y la morfometría del corazón conjuntas de cuatro poblaciones de lagartijas que habitan en un gradiente altitudinal. Fuente: Ruiz, 2010.</w:t>
      </w:r>
    </w:p>
    <w:p>
      <w:pPr>
        <w:sectPr>
          <w:pgSz w:w="9360" w:h="13039" w:orient="portrait"/>
          <w:cols w:equalWidth="0" w:num="1">
            <w:col w:w="5700"/>
          </w:cols>
          <w:pgMar w:left="1900" w:top="905" w:right="1760" w:bottom="437" w:gutter="0" w:footer="0" w:header="0"/>
          <w:type w:val="continuous"/>
        </w:sectPr>
      </w:pPr>
    </w:p>
    <w:p>
      <w:pPr>
        <w:spacing w:after="0" w:line="200" w:lineRule="exact"/>
        <w:rPr>
          <w:sz w:val="20"/>
          <w:szCs w:val="20"/>
          <w:color w:val="auto"/>
        </w:rPr>
      </w:pPr>
    </w:p>
    <w:p>
      <w:pPr>
        <w:spacing w:after="0" w:line="386"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122" w:name="page123"/>
    <w:bookmarkEnd w:id="122"/>
    <w:tbl>
      <w:tblPr>
        <w:tblLayout w:type="fixed"/>
        <w:tblInd w:w="10" w:type="dxa"/>
        <w:tblCellMar>
          <w:top w:w="0" w:type="dxa"/>
          <w:left w:w="0" w:type="dxa"/>
          <w:bottom w:w="0" w:type="dxa"/>
          <w:right w:w="0" w:type="dxa"/>
        </w:tblCellMar>
      </w:tblPr>
      <w:tr>
        <w:trPr>
          <w:trHeight w:val="62"/>
        </w:trPr>
        <w:tc>
          <w:tcPr>
            <w:tcW w:w="1820" w:type="dxa"/>
            <w:vAlign w:val="bottom"/>
            <w:vMerge w:val="restart"/>
          </w:tcPr>
          <w:p>
            <w:pPr>
              <w:jc w:val="right"/>
              <w:ind w:right="1520"/>
              <w:spacing w:after="0"/>
              <w:rPr>
                <w:sz w:val="20"/>
                <w:szCs w:val="20"/>
                <w:color w:val="auto"/>
              </w:rPr>
            </w:pPr>
            <w:r>
              <w:rPr>
                <w:rFonts w:ascii="Arial Narrow" w:cs="Arial Narrow" w:eastAsia="Arial Narrow" w:hAnsi="Arial Narrow"/>
                <w:sz w:val="16"/>
                <w:szCs w:val="16"/>
                <w:color w:val="auto"/>
                <w:w w:val="91"/>
              </w:rPr>
              <w:t>122</w:t>
            </w:r>
          </w:p>
        </w:tc>
        <w:tc>
          <w:tcPr>
            <w:tcW w:w="1100" w:type="dxa"/>
            <w:vAlign w:val="bottom"/>
            <w:gridSpan w:val="2"/>
            <w:vMerge w:val="restart"/>
          </w:tcPr>
          <w:p>
            <w:pPr>
              <w:ind w:left="300"/>
              <w:spacing w:after="0"/>
              <w:rPr>
                <w:sz w:val="20"/>
                <w:szCs w:val="20"/>
                <w:color w:val="auto"/>
              </w:rPr>
            </w:pPr>
            <w:r>
              <w:rPr>
                <w:rFonts w:ascii="Arial Narrow" w:cs="Arial Narrow" w:eastAsia="Arial Narrow" w:hAnsi="Arial Narrow"/>
                <w:sz w:val="11"/>
                <w:szCs w:val="11"/>
                <w:color w:val="auto"/>
              </w:rPr>
              <w:t>ruiz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valencia</w:t>
            </w:r>
          </w:p>
        </w:tc>
        <w:tc>
          <w:tcPr>
            <w:tcW w:w="20" w:type="dxa"/>
            <w:vAlign w:val="bottom"/>
          </w:tcPr>
          <w:p>
            <w:pPr>
              <w:spacing w:after="0"/>
              <w:rPr>
                <w:sz w:val="5"/>
                <w:szCs w:val="5"/>
                <w:color w:val="auto"/>
              </w:rPr>
            </w:pPr>
          </w:p>
        </w:tc>
        <w:tc>
          <w:tcPr>
            <w:tcW w:w="1160" w:type="dxa"/>
            <w:vAlign w:val="bottom"/>
            <w:vMerge w:val="restart"/>
          </w:tcPr>
          <w:p>
            <w:pPr>
              <w:ind w:left="40"/>
              <w:spacing w:after="0"/>
              <w:rPr>
                <w:sz w:val="20"/>
                <w:szCs w:val="20"/>
                <w:color w:val="auto"/>
              </w:rPr>
            </w:pP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p>
        </w:tc>
        <w:tc>
          <w:tcPr>
            <w:tcW w:w="20" w:type="dxa"/>
            <w:vAlign w:val="bottom"/>
          </w:tcPr>
          <w:p>
            <w:pPr>
              <w:spacing w:after="0"/>
              <w:rPr>
                <w:sz w:val="5"/>
                <w:szCs w:val="5"/>
                <w:color w:val="auto"/>
              </w:rPr>
            </w:pPr>
          </w:p>
        </w:tc>
        <w:tc>
          <w:tcPr>
            <w:tcW w:w="1260" w:type="dxa"/>
            <w:vAlign w:val="bottom"/>
            <w:gridSpan w:val="2"/>
            <w:vMerge w:val="restart"/>
          </w:tcPr>
          <w:p>
            <w:pPr>
              <w:ind w:left="20"/>
              <w:spacing w:after="0"/>
              <w:rPr>
                <w:sz w:val="20"/>
                <w:szCs w:val="20"/>
                <w:color w:val="auto"/>
              </w:rPr>
            </w:pP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tc>
        <w:tc>
          <w:tcPr>
            <w:tcW w:w="1820" w:type="dxa"/>
            <w:vAlign w:val="bottom"/>
          </w:tcPr>
          <w:p>
            <w:pPr>
              <w:spacing w:after="0"/>
              <w:rPr>
                <w:sz w:val="5"/>
                <w:szCs w:val="5"/>
                <w:color w:val="auto"/>
              </w:rPr>
            </w:pPr>
          </w:p>
        </w:tc>
        <w:tc>
          <w:tcPr>
            <w:tcW w:w="0" w:type="dxa"/>
            <w:vAlign w:val="bottom"/>
          </w:tcPr>
          <w:p>
            <w:pPr>
              <w:spacing w:after="0"/>
              <w:rPr>
                <w:sz w:val="1"/>
                <w:szCs w:val="1"/>
                <w:color w:val="auto"/>
              </w:rPr>
            </w:pPr>
          </w:p>
        </w:tc>
      </w:tr>
      <w:tr>
        <w:trPr>
          <w:trHeight w:val="140"/>
        </w:trPr>
        <w:tc>
          <w:tcPr>
            <w:tcW w:w="1820" w:type="dxa"/>
            <w:vAlign w:val="bottom"/>
            <w:vMerge w:val="continue"/>
          </w:tcPr>
          <w:p>
            <w:pPr>
              <w:spacing w:after="0"/>
              <w:rPr>
                <w:sz w:val="12"/>
                <w:szCs w:val="12"/>
                <w:color w:val="auto"/>
              </w:rPr>
            </w:pPr>
          </w:p>
        </w:tc>
        <w:tc>
          <w:tcPr>
            <w:tcW w:w="1100" w:type="dxa"/>
            <w:vAlign w:val="bottom"/>
            <w:gridSpan w:val="2"/>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116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1260" w:type="dxa"/>
            <w:vAlign w:val="bottom"/>
            <w:gridSpan w:val="2"/>
            <w:vMerge w:val="continue"/>
          </w:tcPr>
          <w:p>
            <w:pPr>
              <w:spacing w:after="0"/>
              <w:rPr>
                <w:sz w:val="12"/>
                <w:szCs w:val="12"/>
                <w:color w:val="auto"/>
              </w:rPr>
            </w:pPr>
          </w:p>
        </w:tc>
        <w:tc>
          <w:tcPr>
            <w:tcW w:w="1820" w:type="dxa"/>
            <w:vAlign w:val="bottom"/>
          </w:tcPr>
          <w:p>
            <w:pPr>
              <w:spacing w:after="0"/>
              <w:rPr>
                <w:sz w:val="12"/>
                <w:szCs w:val="12"/>
                <w:color w:val="auto"/>
              </w:rPr>
            </w:pPr>
          </w:p>
        </w:tc>
        <w:tc>
          <w:tcPr>
            <w:tcW w:w="0" w:type="dxa"/>
            <w:vAlign w:val="bottom"/>
          </w:tcPr>
          <w:p>
            <w:pPr>
              <w:spacing w:after="0"/>
              <w:rPr>
                <w:sz w:val="1"/>
                <w:szCs w:val="1"/>
                <w:color w:val="auto"/>
              </w:rPr>
            </w:pPr>
          </w:p>
        </w:tc>
      </w:tr>
      <w:tr>
        <w:trPr>
          <w:trHeight w:val="523"/>
        </w:trPr>
        <w:tc>
          <w:tcPr>
            <w:tcW w:w="182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5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440" w:type="dxa"/>
            <w:vAlign w:val="bottom"/>
            <w:gridSpan w:val="4"/>
          </w:tcPr>
          <w:p>
            <w:pPr>
              <w:jc w:val="center"/>
              <w:ind w:right="1120"/>
              <w:spacing w:after="0"/>
              <w:rPr>
                <w:sz w:val="20"/>
                <w:szCs w:val="20"/>
                <w:color w:val="auto"/>
              </w:rPr>
            </w:pPr>
            <w:r>
              <w:rPr>
                <w:rFonts w:ascii="Times New Roman" w:cs="Times New Roman" w:eastAsia="Times New Roman" w:hAnsi="Times New Roman"/>
                <w:sz w:val="18"/>
                <w:szCs w:val="18"/>
                <w:color w:val="auto"/>
              </w:rPr>
              <w:t>Altitud</w:t>
            </w:r>
          </w:p>
        </w:tc>
        <w:tc>
          <w:tcPr>
            <w:tcW w:w="18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89"/>
        </w:trPr>
        <w:tc>
          <w:tcPr>
            <w:tcW w:w="1820" w:type="dxa"/>
            <w:vAlign w:val="bottom"/>
            <w:tcBorders>
              <w:bottom w:val="single" w:sz="8" w:color="auto"/>
            </w:tcBorders>
          </w:tcPr>
          <w:p>
            <w:pPr>
              <w:spacing w:after="0"/>
              <w:rPr>
                <w:sz w:val="16"/>
                <w:szCs w:val="16"/>
                <w:color w:val="auto"/>
              </w:rPr>
            </w:pPr>
          </w:p>
        </w:tc>
        <w:tc>
          <w:tcPr>
            <w:tcW w:w="600" w:type="dxa"/>
            <w:vAlign w:val="bottom"/>
            <w:tcBorders>
              <w:bottom w:val="single" w:sz="8" w:color="auto"/>
            </w:tcBorders>
          </w:tcPr>
          <w:p>
            <w:pPr>
              <w:spacing w:after="0"/>
              <w:rPr>
                <w:sz w:val="16"/>
                <w:szCs w:val="16"/>
                <w:color w:val="auto"/>
              </w:rPr>
            </w:pPr>
          </w:p>
        </w:tc>
        <w:tc>
          <w:tcPr>
            <w:tcW w:w="500" w:type="dxa"/>
            <w:vAlign w:val="bottom"/>
            <w:tcBorders>
              <w:bottom w:val="single" w:sz="8" w:color="auto"/>
            </w:tcBorders>
          </w:tcPr>
          <w:p>
            <w:pPr>
              <w:spacing w:after="0"/>
              <w:rPr>
                <w:sz w:val="16"/>
                <w:szCs w:val="16"/>
                <w:color w:val="auto"/>
              </w:rPr>
            </w:pPr>
          </w:p>
        </w:tc>
        <w:tc>
          <w:tcPr>
            <w:tcW w:w="20" w:type="dxa"/>
            <w:vAlign w:val="bottom"/>
            <w:tcBorders>
              <w:bottom w:val="single" w:sz="8" w:color="auto"/>
            </w:tcBorders>
          </w:tcPr>
          <w:p>
            <w:pPr>
              <w:spacing w:after="0"/>
              <w:rPr>
                <w:sz w:val="16"/>
                <w:szCs w:val="16"/>
                <w:color w:val="auto"/>
              </w:rPr>
            </w:pPr>
          </w:p>
        </w:tc>
        <w:tc>
          <w:tcPr>
            <w:tcW w:w="1860" w:type="dxa"/>
            <w:vAlign w:val="bottom"/>
            <w:tcBorders>
              <w:bottom w:val="single" w:sz="8" w:color="auto"/>
            </w:tcBorders>
            <w:gridSpan w:val="3"/>
          </w:tcPr>
          <w:p>
            <w:pPr>
              <w:spacing w:after="0"/>
              <w:rPr>
                <w:sz w:val="16"/>
                <w:szCs w:val="16"/>
                <w:color w:val="auto"/>
              </w:rPr>
            </w:pPr>
          </w:p>
        </w:tc>
        <w:tc>
          <w:tcPr>
            <w:tcW w:w="580" w:type="dxa"/>
            <w:vAlign w:val="bottom"/>
            <w:tcBorders>
              <w:bottom w:val="single" w:sz="8" w:color="auto"/>
            </w:tcBorders>
          </w:tcPr>
          <w:p>
            <w:pPr>
              <w:spacing w:after="0"/>
              <w:rPr>
                <w:sz w:val="16"/>
                <w:szCs w:val="16"/>
                <w:color w:val="auto"/>
              </w:rPr>
            </w:pPr>
          </w:p>
        </w:tc>
        <w:tc>
          <w:tcPr>
            <w:tcW w:w="1820" w:type="dxa"/>
            <w:vAlign w:val="bottom"/>
            <w:tcBorders>
              <w:bottom w:val="single" w:sz="8" w:color="auto"/>
            </w:tcBorders>
          </w:tcPr>
          <w:p>
            <w:pPr>
              <w:spacing w:after="0"/>
              <w:rPr>
                <w:sz w:val="16"/>
                <w:szCs w:val="16"/>
                <w:color w:val="auto"/>
              </w:rPr>
            </w:pPr>
          </w:p>
        </w:tc>
        <w:tc>
          <w:tcPr>
            <w:tcW w:w="0" w:type="dxa"/>
            <w:vAlign w:val="bottom"/>
          </w:tcPr>
          <w:p>
            <w:pPr>
              <w:spacing w:after="0"/>
              <w:rPr>
                <w:sz w:val="1"/>
                <w:szCs w:val="1"/>
                <w:color w:val="auto"/>
              </w:rPr>
            </w:pPr>
          </w:p>
        </w:tc>
      </w:tr>
      <w:tr>
        <w:trPr>
          <w:trHeight w:val="268"/>
        </w:trPr>
        <w:tc>
          <w:tcPr>
            <w:tcW w:w="1820" w:type="dxa"/>
            <w:vAlign w:val="bottom"/>
            <w:tcBorders>
              <w:left w:val="single" w:sz="8" w:color="auto"/>
            </w:tcBorders>
          </w:tcPr>
          <w:p>
            <w:pPr>
              <w:jc w:val="center"/>
              <w:ind w:left="500"/>
              <w:spacing w:after="0"/>
              <w:rPr>
                <w:sz w:val="20"/>
                <w:szCs w:val="20"/>
                <w:color w:val="auto"/>
              </w:rPr>
            </w:pPr>
            <w:r>
              <w:rPr>
                <w:rFonts w:ascii="Times New Roman" w:cs="Times New Roman" w:eastAsia="Times New Roman" w:hAnsi="Times New Roman"/>
                <w:sz w:val="16"/>
                <w:szCs w:val="16"/>
                <w:i w:val="1"/>
                <w:iCs w:val="1"/>
                <w:color w:val="auto"/>
                <w:w w:val="86"/>
              </w:rPr>
              <w:t>Contrastes</w:t>
            </w:r>
          </w:p>
        </w:tc>
        <w:tc>
          <w:tcPr>
            <w:tcW w:w="600" w:type="dxa"/>
            <w:vAlign w:val="bottom"/>
            <w:tcBorders>
              <w:right w:val="single" w:sz="8" w:color="auto"/>
            </w:tcBorders>
          </w:tcPr>
          <w:p>
            <w:pPr>
              <w:spacing w:after="0"/>
              <w:rPr>
                <w:sz w:val="23"/>
                <w:szCs w:val="23"/>
                <w:color w:val="auto"/>
              </w:rPr>
            </w:pPr>
          </w:p>
        </w:tc>
        <w:tc>
          <w:tcPr>
            <w:tcW w:w="50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1860" w:type="dxa"/>
            <w:vAlign w:val="bottom"/>
            <w:tcBorders>
              <w:right w:val="single" w:sz="8" w:color="auto"/>
            </w:tcBorders>
            <w:gridSpan w:val="3"/>
          </w:tcPr>
          <w:p>
            <w:pPr>
              <w:jc w:val="center"/>
              <w:ind w:right="504"/>
              <w:spacing w:after="0"/>
              <w:rPr>
                <w:sz w:val="20"/>
                <w:szCs w:val="20"/>
                <w:color w:val="auto"/>
              </w:rPr>
            </w:pPr>
            <w:r>
              <w:rPr>
                <w:rFonts w:ascii="Times New Roman" w:cs="Times New Roman" w:eastAsia="Times New Roman" w:hAnsi="Times New Roman"/>
                <w:sz w:val="16"/>
                <w:szCs w:val="16"/>
                <w:i w:val="1"/>
                <w:iCs w:val="1"/>
                <w:color w:val="auto"/>
                <w:w w:val="88"/>
              </w:rPr>
              <w:t>Diferencias</w:t>
            </w:r>
          </w:p>
        </w:tc>
        <w:tc>
          <w:tcPr>
            <w:tcW w:w="580" w:type="dxa"/>
            <w:vAlign w:val="bottom"/>
          </w:tcPr>
          <w:p>
            <w:pPr>
              <w:spacing w:after="0"/>
              <w:rPr>
                <w:sz w:val="23"/>
                <w:szCs w:val="23"/>
                <w:color w:val="auto"/>
              </w:rPr>
            </w:pPr>
          </w:p>
        </w:tc>
        <w:tc>
          <w:tcPr>
            <w:tcW w:w="1820" w:type="dxa"/>
            <w:vAlign w:val="bottom"/>
            <w:tcBorders>
              <w:right w:val="single" w:sz="8" w:color="auto"/>
            </w:tcBorders>
          </w:tcPr>
          <w:p>
            <w:pPr>
              <w:jc w:val="center"/>
              <w:ind w:right="520"/>
              <w:spacing w:after="0"/>
              <w:rPr>
                <w:sz w:val="20"/>
                <w:szCs w:val="20"/>
                <w:color w:val="auto"/>
              </w:rPr>
            </w:pPr>
            <w:r>
              <w:rPr>
                <w:rFonts w:ascii="Times New Roman" w:cs="Times New Roman" w:eastAsia="Times New Roman" w:hAnsi="Times New Roman"/>
                <w:sz w:val="16"/>
                <w:szCs w:val="16"/>
                <w:i w:val="1"/>
                <w:iCs w:val="1"/>
                <w:color w:val="auto"/>
                <w:w w:val="92"/>
              </w:rPr>
              <w:t>-/+ límites</w:t>
            </w:r>
          </w:p>
        </w:tc>
        <w:tc>
          <w:tcPr>
            <w:tcW w:w="0" w:type="dxa"/>
            <w:vAlign w:val="bottom"/>
          </w:tcPr>
          <w:p>
            <w:pPr>
              <w:spacing w:after="0"/>
              <w:rPr>
                <w:sz w:val="1"/>
                <w:szCs w:val="1"/>
                <w:color w:val="auto"/>
              </w:rPr>
            </w:pPr>
          </w:p>
        </w:tc>
      </w:tr>
      <w:tr>
        <w:trPr>
          <w:trHeight w:val="54"/>
        </w:trPr>
        <w:tc>
          <w:tcPr>
            <w:tcW w:w="1820" w:type="dxa"/>
            <w:vAlign w:val="bottom"/>
            <w:tcBorders>
              <w:left w:val="single" w:sz="8" w:color="auto"/>
              <w:bottom w:val="single" w:sz="8" w:color="auto"/>
            </w:tcBorders>
          </w:tcPr>
          <w:p>
            <w:pPr>
              <w:spacing w:after="0"/>
              <w:rPr>
                <w:sz w:val="4"/>
                <w:szCs w:val="4"/>
                <w:color w:val="auto"/>
              </w:rPr>
            </w:pPr>
          </w:p>
        </w:tc>
        <w:tc>
          <w:tcPr>
            <w:tcW w:w="600" w:type="dxa"/>
            <w:vAlign w:val="bottom"/>
            <w:tcBorders>
              <w:bottom w:val="single" w:sz="8" w:color="auto"/>
              <w:right w:val="single" w:sz="8" w:color="auto"/>
            </w:tcBorders>
          </w:tcPr>
          <w:p>
            <w:pPr>
              <w:spacing w:after="0"/>
              <w:rPr>
                <w:sz w:val="4"/>
                <w:szCs w:val="4"/>
                <w:color w:val="auto"/>
              </w:rPr>
            </w:pPr>
          </w:p>
        </w:tc>
        <w:tc>
          <w:tcPr>
            <w:tcW w:w="1680" w:type="dxa"/>
            <w:vAlign w:val="bottom"/>
            <w:tcBorders>
              <w:bottom w:val="single" w:sz="8" w:color="auto"/>
            </w:tcBorders>
            <w:gridSpan w:val="3"/>
          </w:tcPr>
          <w:p>
            <w:pPr>
              <w:spacing w:after="0"/>
              <w:rPr>
                <w:sz w:val="4"/>
                <w:szCs w:val="4"/>
                <w:color w:val="auto"/>
              </w:rPr>
            </w:pPr>
          </w:p>
        </w:tc>
        <w:tc>
          <w:tcPr>
            <w:tcW w:w="20" w:type="dxa"/>
            <w:vAlign w:val="bottom"/>
            <w:tcBorders>
              <w:bottom w:val="single" w:sz="8" w:color="auto"/>
            </w:tcBorders>
          </w:tcPr>
          <w:p>
            <w:pPr>
              <w:spacing w:after="0"/>
              <w:rPr>
                <w:sz w:val="4"/>
                <w:szCs w:val="4"/>
                <w:color w:val="auto"/>
              </w:rPr>
            </w:pPr>
          </w:p>
        </w:tc>
        <w:tc>
          <w:tcPr>
            <w:tcW w:w="680" w:type="dxa"/>
            <w:vAlign w:val="bottom"/>
            <w:tcBorders>
              <w:bottom w:val="single" w:sz="8" w:color="auto"/>
              <w:right w:val="single" w:sz="8" w:color="auto"/>
            </w:tcBorders>
          </w:tcPr>
          <w:p>
            <w:pPr>
              <w:spacing w:after="0"/>
              <w:rPr>
                <w:sz w:val="4"/>
                <w:szCs w:val="4"/>
                <w:color w:val="auto"/>
              </w:rPr>
            </w:pPr>
          </w:p>
        </w:tc>
        <w:tc>
          <w:tcPr>
            <w:tcW w:w="580" w:type="dxa"/>
            <w:vAlign w:val="bottom"/>
            <w:tcBorders>
              <w:bottom w:val="single" w:sz="8" w:color="auto"/>
            </w:tcBorders>
          </w:tcPr>
          <w:p>
            <w:pPr>
              <w:spacing w:after="0"/>
              <w:rPr>
                <w:sz w:val="4"/>
                <w:szCs w:val="4"/>
                <w:color w:val="auto"/>
              </w:rPr>
            </w:pPr>
          </w:p>
        </w:tc>
        <w:tc>
          <w:tcPr>
            <w:tcW w:w="182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70"/>
        </w:trPr>
        <w:tc>
          <w:tcPr>
            <w:tcW w:w="1820" w:type="dxa"/>
            <w:vAlign w:val="bottom"/>
            <w:tcBorders>
              <w:left w:val="single" w:sz="8" w:color="auto"/>
            </w:tcBorders>
          </w:tcPr>
          <w:p>
            <w:pPr>
              <w:jc w:val="center"/>
              <w:ind w:left="520"/>
              <w:spacing w:after="0"/>
              <w:rPr>
                <w:sz w:val="20"/>
                <w:szCs w:val="20"/>
                <w:color w:val="auto"/>
              </w:rPr>
            </w:pPr>
            <w:r>
              <w:rPr>
                <w:rFonts w:ascii="Times New Roman" w:cs="Times New Roman" w:eastAsia="Times New Roman" w:hAnsi="Times New Roman"/>
                <w:sz w:val="16"/>
                <w:szCs w:val="16"/>
                <w:color w:val="auto"/>
              </w:rPr>
              <w:t>1-2</w:t>
            </w:r>
          </w:p>
        </w:tc>
        <w:tc>
          <w:tcPr>
            <w:tcW w:w="600" w:type="dxa"/>
            <w:vAlign w:val="bottom"/>
            <w:tcBorders>
              <w:right w:val="single" w:sz="8" w:color="auto"/>
            </w:tcBorders>
          </w:tcPr>
          <w:p>
            <w:pPr>
              <w:spacing w:after="0"/>
              <w:rPr>
                <w:sz w:val="23"/>
                <w:szCs w:val="23"/>
                <w:color w:val="auto"/>
              </w:rPr>
            </w:pPr>
          </w:p>
        </w:tc>
        <w:tc>
          <w:tcPr>
            <w:tcW w:w="1680" w:type="dxa"/>
            <w:vAlign w:val="bottom"/>
            <w:gridSpan w:val="3"/>
          </w:tcPr>
          <w:p>
            <w:pPr>
              <w:jc w:val="center"/>
              <w:ind w:left="600"/>
              <w:spacing w:after="0"/>
              <w:rPr>
                <w:sz w:val="20"/>
                <w:szCs w:val="20"/>
                <w:color w:val="auto"/>
              </w:rPr>
            </w:pPr>
            <w:r>
              <w:rPr>
                <w:rFonts w:ascii="Times New Roman" w:cs="Times New Roman" w:eastAsia="Times New Roman" w:hAnsi="Times New Roman"/>
                <w:sz w:val="16"/>
                <w:szCs w:val="16"/>
                <w:color w:val="auto"/>
                <w:w w:val="97"/>
              </w:rPr>
              <w:t>*-6.6517</w:t>
            </w:r>
          </w:p>
        </w:tc>
        <w:tc>
          <w:tcPr>
            <w:tcW w:w="20" w:type="dxa"/>
            <w:vAlign w:val="bottom"/>
          </w:tcPr>
          <w:p>
            <w:pPr>
              <w:spacing w:after="0"/>
              <w:rPr>
                <w:sz w:val="23"/>
                <w:szCs w:val="23"/>
                <w:color w:val="auto"/>
              </w:rPr>
            </w:pPr>
          </w:p>
        </w:tc>
        <w:tc>
          <w:tcPr>
            <w:tcW w:w="680" w:type="dxa"/>
            <w:vAlign w:val="bottom"/>
            <w:tcBorders>
              <w:right w:val="single" w:sz="8" w:color="auto"/>
            </w:tcBorders>
          </w:tcPr>
          <w:p>
            <w:pPr>
              <w:spacing w:after="0"/>
              <w:rPr>
                <w:sz w:val="23"/>
                <w:szCs w:val="23"/>
                <w:color w:val="auto"/>
              </w:rPr>
            </w:pPr>
          </w:p>
        </w:tc>
        <w:tc>
          <w:tcPr>
            <w:tcW w:w="580" w:type="dxa"/>
            <w:vAlign w:val="bottom"/>
          </w:tcPr>
          <w:p>
            <w:pPr>
              <w:spacing w:after="0"/>
              <w:rPr>
                <w:sz w:val="23"/>
                <w:szCs w:val="23"/>
                <w:color w:val="auto"/>
              </w:rPr>
            </w:pPr>
          </w:p>
        </w:tc>
        <w:tc>
          <w:tcPr>
            <w:tcW w:w="1820" w:type="dxa"/>
            <w:vAlign w:val="bottom"/>
            <w:tcBorders>
              <w:right w:val="single" w:sz="8" w:color="auto"/>
            </w:tcBorders>
          </w:tcPr>
          <w:p>
            <w:pPr>
              <w:jc w:val="center"/>
              <w:ind w:right="540"/>
              <w:spacing w:after="0"/>
              <w:rPr>
                <w:sz w:val="20"/>
                <w:szCs w:val="20"/>
                <w:color w:val="auto"/>
              </w:rPr>
            </w:pPr>
            <w:r>
              <w:rPr>
                <w:rFonts w:ascii="Times New Roman" w:cs="Times New Roman" w:eastAsia="Times New Roman" w:hAnsi="Times New Roman"/>
                <w:sz w:val="16"/>
                <w:szCs w:val="16"/>
                <w:color w:val="auto"/>
                <w:w w:val="99"/>
              </w:rPr>
              <w:t>1.78887</w:t>
            </w:r>
          </w:p>
        </w:tc>
        <w:tc>
          <w:tcPr>
            <w:tcW w:w="0" w:type="dxa"/>
            <w:vAlign w:val="bottom"/>
          </w:tcPr>
          <w:p>
            <w:pPr>
              <w:spacing w:after="0"/>
              <w:rPr>
                <w:sz w:val="1"/>
                <w:szCs w:val="1"/>
                <w:color w:val="auto"/>
              </w:rPr>
            </w:pPr>
          </w:p>
        </w:tc>
      </w:tr>
      <w:tr>
        <w:trPr>
          <w:trHeight w:val="52"/>
        </w:trPr>
        <w:tc>
          <w:tcPr>
            <w:tcW w:w="1820" w:type="dxa"/>
            <w:vAlign w:val="bottom"/>
            <w:tcBorders>
              <w:left w:val="single" w:sz="8" w:color="auto"/>
              <w:bottom w:val="single" w:sz="8" w:color="auto"/>
            </w:tcBorders>
          </w:tcPr>
          <w:p>
            <w:pPr>
              <w:spacing w:after="0"/>
              <w:rPr>
                <w:sz w:val="4"/>
                <w:szCs w:val="4"/>
                <w:color w:val="auto"/>
              </w:rPr>
            </w:pPr>
          </w:p>
        </w:tc>
        <w:tc>
          <w:tcPr>
            <w:tcW w:w="600" w:type="dxa"/>
            <w:vAlign w:val="bottom"/>
            <w:tcBorders>
              <w:bottom w:val="single" w:sz="8" w:color="auto"/>
              <w:right w:val="single" w:sz="8" w:color="auto"/>
            </w:tcBorders>
          </w:tcPr>
          <w:p>
            <w:pPr>
              <w:spacing w:after="0"/>
              <w:rPr>
                <w:sz w:val="4"/>
                <w:szCs w:val="4"/>
                <w:color w:val="auto"/>
              </w:rPr>
            </w:pPr>
          </w:p>
        </w:tc>
        <w:tc>
          <w:tcPr>
            <w:tcW w:w="1680" w:type="dxa"/>
            <w:vAlign w:val="bottom"/>
            <w:tcBorders>
              <w:bottom w:val="single" w:sz="8" w:color="auto"/>
            </w:tcBorders>
            <w:gridSpan w:val="3"/>
          </w:tcPr>
          <w:p>
            <w:pPr>
              <w:spacing w:after="0"/>
              <w:rPr>
                <w:sz w:val="4"/>
                <w:szCs w:val="4"/>
                <w:color w:val="auto"/>
              </w:rPr>
            </w:pPr>
          </w:p>
        </w:tc>
        <w:tc>
          <w:tcPr>
            <w:tcW w:w="20" w:type="dxa"/>
            <w:vAlign w:val="bottom"/>
            <w:tcBorders>
              <w:bottom w:val="single" w:sz="8" w:color="auto"/>
            </w:tcBorders>
          </w:tcPr>
          <w:p>
            <w:pPr>
              <w:spacing w:after="0"/>
              <w:rPr>
                <w:sz w:val="4"/>
                <w:szCs w:val="4"/>
                <w:color w:val="auto"/>
              </w:rPr>
            </w:pPr>
          </w:p>
        </w:tc>
        <w:tc>
          <w:tcPr>
            <w:tcW w:w="680" w:type="dxa"/>
            <w:vAlign w:val="bottom"/>
            <w:tcBorders>
              <w:bottom w:val="single" w:sz="8" w:color="auto"/>
              <w:right w:val="single" w:sz="8" w:color="auto"/>
            </w:tcBorders>
          </w:tcPr>
          <w:p>
            <w:pPr>
              <w:spacing w:after="0"/>
              <w:rPr>
                <w:sz w:val="4"/>
                <w:szCs w:val="4"/>
                <w:color w:val="auto"/>
              </w:rPr>
            </w:pPr>
          </w:p>
        </w:tc>
        <w:tc>
          <w:tcPr>
            <w:tcW w:w="580" w:type="dxa"/>
            <w:vAlign w:val="bottom"/>
            <w:tcBorders>
              <w:bottom w:val="single" w:sz="8" w:color="auto"/>
            </w:tcBorders>
          </w:tcPr>
          <w:p>
            <w:pPr>
              <w:spacing w:after="0"/>
              <w:rPr>
                <w:sz w:val="4"/>
                <w:szCs w:val="4"/>
                <w:color w:val="auto"/>
              </w:rPr>
            </w:pPr>
          </w:p>
        </w:tc>
        <w:tc>
          <w:tcPr>
            <w:tcW w:w="182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70"/>
        </w:trPr>
        <w:tc>
          <w:tcPr>
            <w:tcW w:w="1820" w:type="dxa"/>
            <w:vAlign w:val="bottom"/>
            <w:tcBorders>
              <w:left w:val="single" w:sz="8" w:color="auto"/>
            </w:tcBorders>
          </w:tcPr>
          <w:p>
            <w:pPr>
              <w:jc w:val="center"/>
              <w:ind w:left="520"/>
              <w:spacing w:after="0"/>
              <w:rPr>
                <w:sz w:val="20"/>
                <w:szCs w:val="20"/>
                <w:color w:val="auto"/>
              </w:rPr>
            </w:pPr>
            <w:r>
              <w:rPr>
                <w:rFonts w:ascii="Times New Roman" w:cs="Times New Roman" w:eastAsia="Times New Roman" w:hAnsi="Times New Roman"/>
                <w:sz w:val="16"/>
                <w:szCs w:val="16"/>
                <w:color w:val="auto"/>
              </w:rPr>
              <w:t>1-3</w:t>
            </w:r>
          </w:p>
        </w:tc>
        <w:tc>
          <w:tcPr>
            <w:tcW w:w="600" w:type="dxa"/>
            <w:vAlign w:val="bottom"/>
            <w:tcBorders>
              <w:right w:val="single" w:sz="8" w:color="auto"/>
            </w:tcBorders>
          </w:tcPr>
          <w:p>
            <w:pPr>
              <w:spacing w:after="0"/>
              <w:rPr>
                <w:sz w:val="23"/>
                <w:szCs w:val="23"/>
                <w:color w:val="auto"/>
              </w:rPr>
            </w:pPr>
          </w:p>
        </w:tc>
        <w:tc>
          <w:tcPr>
            <w:tcW w:w="1680" w:type="dxa"/>
            <w:vAlign w:val="bottom"/>
            <w:gridSpan w:val="3"/>
          </w:tcPr>
          <w:p>
            <w:pPr>
              <w:jc w:val="center"/>
              <w:ind w:left="600"/>
              <w:spacing w:after="0"/>
              <w:rPr>
                <w:sz w:val="20"/>
                <w:szCs w:val="20"/>
                <w:color w:val="auto"/>
              </w:rPr>
            </w:pPr>
            <w:r>
              <w:rPr>
                <w:rFonts w:ascii="Times New Roman" w:cs="Times New Roman" w:eastAsia="Times New Roman" w:hAnsi="Times New Roman"/>
                <w:sz w:val="16"/>
                <w:szCs w:val="16"/>
                <w:color w:val="auto"/>
                <w:w w:val="97"/>
              </w:rPr>
              <w:t>*-2.93282</w:t>
            </w:r>
          </w:p>
        </w:tc>
        <w:tc>
          <w:tcPr>
            <w:tcW w:w="20" w:type="dxa"/>
            <w:vAlign w:val="bottom"/>
          </w:tcPr>
          <w:p>
            <w:pPr>
              <w:spacing w:after="0"/>
              <w:rPr>
                <w:sz w:val="23"/>
                <w:szCs w:val="23"/>
                <w:color w:val="auto"/>
              </w:rPr>
            </w:pPr>
          </w:p>
        </w:tc>
        <w:tc>
          <w:tcPr>
            <w:tcW w:w="680" w:type="dxa"/>
            <w:vAlign w:val="bottom"/>
            <w:tcBorders>
              <w:right w:val="single" w:sz="8" w:color="auto"/>
            </w:tcBorders>
          </w:tcPr>
          <w:p>
            <w:pPr>
              <w:spacing w:after="0"/>
              <w:rPr>
                <w:sz w:val="23"/>
                <w:szCs w:val="23"/>
                <w:color w:val="auto"/>
              </w:rPr>
            </w:pPr>
          </w:p>
        </w:tc>
        <w:tc>
          <w:tcPr>
            <w:tcW w:w="580" w:type="dxa"/>
            <w:vAlign w:val="bottom"/>
          </w:tcPr>
          <w:p>
            <w:pPr>
              <w:spacing w:after="0"/>
              <w:rPr>
                <w:sz w:val="23"/>
                <w:szCs w:val="23"/>
                <w:color w:val="auto"/>
              </w:rPr>
            </w:pPr>
          </w:p>
        </w:tc>
        <w:tc>
          <w:tcPr>
            <w:tcW w:w="1820" w:type="dxa"/>
            <w:vAlign w:val="bottom"/>
            <w:tcBorders>
              <w:right w:val="single" w:sz="8" w:color="auto"/>
            </w:tcBorders>
          </w:tcPr>
          <w:p>
            <w:pPr>
              <w:jc w:val="center"/>
              <w:ind w:right="540"/>
              <w:spacing w:after="0"/>
              <w:rPr>
                <w:sz w:val="20"/>
                <w:szCs w:val="20"/>
                <w:color w:val="auto"/>
              </w:rPr>
            </w:pPr>
            <w:r>
              <w:rPr>
                <w:rFonts w:ascii="Times New Roman" w:cs="Times New Roman" w:eastAsia="Times New Roman" w:hAnsi="Times New Roman"/>
                <w:sz w:val="16"/>
                <w:szCs w:val="16"/>
                <w:color w:val="auto"/>
                <w:w w:val="99"/>
              </w:rPr>
              <w:t>1.54714</w:t>
            </w:r>
          </w:p>
        </w:tc>
        <w:tc>
          <w:tcPr>
            <w:tcW w:w="0" w:type="dxa"/>
            <w:vAlign w:val="bottom"/>
          </w:tcPr>
          <w:p>
            <w:pPr>
              <w:spacing w:after="0"/>
              <w:rPr>
                <w:sz w:val="1"/>
                <w:szCs w:val="1"/>
                <w:color w:val="auto"/>
              </w:rPr>
            </w:pPr>
          </w:p>
        </w:tc>
      </w:tr>
      <w:tr>
        <w:trPr>
          <w:trHeight w:val="52"/>
        </w:trPr>
        <w:tc>
          <w:tcPr>
            <w:tcW w:w="1820" w:type="dxa"/>
            <w:vAlign w:val="bottom"/>
            <w:tcBorders>
              <w:left w:val="single" w:sz="8" w:color="auto"/>
              <w:bottom w:val="single" w:sz="8" w:color="auto"/>
            </w:tcBorders>
          </w:tcPr>
          <w:p>
            <w:pPr>
              <w:spacing w:after="0"/>
              <w:rPr>
                <w:sz w:val="4"/>
                <w:szCs w:val="4"/>
                <w:color w:val="auto"/>
              </w:rPr>
            </w:pPr>
          </w:p>
        </w:tc>
        <w:tc>
          <w:tcPr>
            <w:tcW w:w="600" w:type="dxa"/>
            <w:vAlign w:val="bottom"/>
            <w:tcBorders>
              <w:bottom w:val="single" w:sz="8" w:color="auto"/>
              <w:right w:val="single" w:sz="8" w:color="auto"/>
            </w:tcBorders>
          </w:tcPr>
          <w:p>
            <w:pPr>
              <w:spacing w:after="0"/>
              <w:rPr>
                <w:sz w:val="4"/>
                <w:szCs w:val="4"/>
                <w:color w:val="auto"/>
              </w:rPr>
            </w:pPr>
          </w:p>
        </w:tc>
        <w:tc>
          <w:tcPr>
            <w:tcW w:w="1680" w:type="dxa"/>
            <w:vAlign w:val="bottom"/>
            <w:tcBorders>
              <w:bottom w:val="single" w:sz="8" w:color="auto"/>
            </w:tcBorders>
            <w:gridSpan w:val="3"/>
          </w:tcPr>
          <w:p>
            <w:pPr>
              <w:spacing w:after="0"/>
              <w:rPr>
                <w:sz w:val="4"/>
                <w:szCs w:val="4"/>
                <w:color w:val="auto"/>
              </w:rPr>
            </w:pPr>
          </w:p>
        </w:tc>
        <w:tc>
          <w:tcPr>
            <w:tcW w:w="20" w:type="dxa"/>
            <w:vAlign w:val="bottom"/>
            <w:tcBorders>
              <w:bottom w:val="single" w:sz="8" w:color="auto"/>
            </w:tcBorders>
          </w:tcPr>
          <w:p>
            <w:pPr>
              <w:spacing w:after="0"/>
              <w:rPr>
                <w:sz w:val="4"/>
                <w:szCs w:val="4"/>
                <w:color w:val="auto"/>
              </w:rPr>
            </w:pPr>
          </w:p>
        </w:tc>
        <w:tc>
          <w:tcPr>
            <w:tcW w:w="680" w:type="dxa"/>
            <w:vAlign w:val="bottom"/>
            <w:tcBorders>
              <w:bottom w:val="single" w:sz="8" w:color="auto"/>
              <w:right w:val="single" w:sz="8" w:color="auto"/>
            </w:tcBorders>
          </w:tcPr>
          <w:p>
            <w:pPr>
              <w:spacing w:after="0"/>
              <w:rPr>
                <w:sz w:val="4"/>
                <w:szCs w:val="4"/>
                <w:color w:val="auto"/>
              </w:rPr>
            </w:pPr>
          </w:p>
        </w:tc>
        <w:tc>
          <w:tcPr>
            <w:tcW w:w="580" w:type="dxa"/>
            <w:vAlign w:val="bottom"/>
            <w:tcBorders>
              <w:bottom w:val="single" w:sz="8" w:color="auto"/>
            </w:tcBorders>
          </w:tcPr>
          <w:p>
            <w:pPr>
              <w:spacing w:after="0"/>
              <w:rPr>
                <w:sz w:val="4"/>
                <w:szCs w:val="4"/>
                <w:color w:val="auto"/>
              </w:rPr>
            </w:pPr>
          </w:p>
        </w:tc>
        <w:tc>
          <w:tcPr>
            <w:tcW w:w="182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70"/>
        </w:trPr>
        <w:tc>
          <w:tcPr>
            <w:tcW w:w="1820" w:type="dxa"/>
            <w:vAlign w:val="bottom"/>
            <w:tcBorders>
              <w:left w:val="single" w:sz="8" w:color="auto"/>
            </w:tcBorders>
          </w:tcPr>
          <w:p>
            <w:pPr>
              <w:jc w:val="center"/>
              <w:ind w:left="520"/>
              <w:spacing w:after="0"/>
              <w:rPr>
                <w:sz w:val="20"/>
                <w:szCs w:val="20"/>
                <w:color w:val="auto"/>
              </w:rPr>
            </w:pPr>
            <w:r>
              <w:rPr>
                <w:rFonts w:ascii="Times New Roman" w:cs="Times New Roman" w:eastAsia="Times New Roman" w:hAnsi="Times New Roman"/>
                <w:sz w:val="16"/>
                <w:szCs w:val="16"/>
                <w:color w:val="auto"/>
              </w:rPr>
              <w:t>1-4</w:t>
            </w:r>
          </w:p>
        </w:tc>
        <w:tc>
          <w:tcPr>
            <w:tcW w:w="600" w:type="dxa"/>
            <w:vAlign w:val="bottom"/>
            <w:tcBorders>
              <w:right w:val="single" w:sz="8" w:color="auto"/>
            </w:tcBorders>
          </w:tcPr>
          <w:p>
            <w:pPr>
              <w:spacing w:after="0"/>
              <w:rPr>
                <w:sz w:val="23"/>
                <w:szCs w:val="23"/>
                <w:color w:val="auto"/>
              </w:rPr>
            </w:pPr>
          </w:p>
        </w:tc>
        <w:tc>
          <w:tcPr>
            <w:tcW w:w="1680" w:type="dxa"/>
            <w:vAlign w:val="bottom"/>
            <w:gridSpan w:val="3"/>
          </w:tcPr>
          <w:p>
            <w:pPr>
              <w:jc w:val="center"/>
              <w:ind w:left="600"/>
              <w:spacing w:after="0"/>
              <w:rPr>
                <w:sz w:val="20"/>
                <w:szCs w:val="20"/>
                <w:color w:val="auto"/>
              </w:rPr>
            </w:pPr>
            <w:r>
              <w:rPr>
                <w:rFonts w:ascii="Times New Roman" w:cs="Times New Roman" w:eastAsia="Times New Roman" w:hAnsi="Times New Roman"/>
                <w:sz w:val="16"/>
                <w:szCs w:val="16"/>
                <w:color w:val="auto"/>
                <w:w w:val="97"/>
              </w:rPr>
              <w:t>-0.970671</w:t>
            </w:r>
          </w:p>
        </w:tc>
        <w:tc>
          <w:tcPr>
            <w:tcW w:w="20" w:type="dxa"/>
            <w:vAlign w:val="bottom"/>
          </w:tcPr>
          <w:p>
            <w:pPr>
              <w:spacing w:after="0"/>
              <w:rPr>
                <w:sz w:val="23"/>
                <w:szCs w:val="23"/>
                <w:color w:val="auto"/>
              </w:rPr>
            </w:pPr>
          </w:p>
        </w:tc>
        <w:tc>
          <w:tcPr>
            <w:tcW w:w="680" w:type="dxa"/>
            <w:vAlign w:val="bottom"/>
            <w:tcBorders>
              <w:right w:val="single" w:sz="8" w:color="auto"/>
            </w:tcBorders>
          </w:tcPr>
          <w:p>
            <w:pPr>
              <w:spacing w:after="0"/>
              <w:rPr>
                <w:sz w:val="23"/>
                <w:szCs w:val="23"/>
                <w:color w:val="auto"/>
              </w:rPr>
            </w:pPr>
          </w:p>
        </w:tc>
        <w:tc>
          <w:tcPr>
            <w:tcW w:w="580" w:type="dxa"/>
            <w:vAlign w:val="bottom"/>
          </w:tcPr>
          <w:p>
            <w:pPr>
              <w:spacing w:after="0"/>
              <w:rPr>
                <w:sz w:val="23"/>
                <w:szCs w:val="23"/>
                <w:color w:val="auto"/>
              </w:rPr>
            </w:pPr>
          </w:p>
        </w:tc>
        <w:tc>
          <w:tcPr>
            <w:tcW w:w="1820" w:type="dxa"/>
            <w:vAlign w:val="bottom"/>
            <w:tcBorders>
              <w:right w:val="single" w:sz="8" w:color="auto"/>
            </w:tcBorders>
          </w:tcPr>
          <w:p>
            <w:pPr>
              <w:jc w:val="center"/>
              <w:ind w:right="540"/>
              <w:spacing w:after="0"/>
              <w:rPr>
                <w:sz w:val="20"/>
                <w:szCs w:val="20"/>
                <w:color w:val="auto"/>
              </w:rPr>
            </w:pPr>
            <w:r>
              <w:rPr>
                <w:rFonts w:ascii="Times New Roman" w:cs="Times New Roman" w:eastAsia="Times New Roman" w:hAnsi="Times New Roman"/>
                <w:sz w:val="16"/>
                <w:szCs w:val="16"/>
                <w:color w:val="auto"/>
                <w:w w:val="99"/>
              </w:rPr>
              <w:t>1.53924</w:t>
            </w:r>
          </w:p>
        </w:tc>
        <w:tc>
          <w:tcPr>
            <w:tcW w:w="0" w:type="dxa"/>
            <w:vAlign w:val="bottom"/>
          </w:tcPr>
          <w:p>
            <w:pPr>
              <w:spacing w:after="0"/>
              <w:rPr>
                <w:sz w:val="1"/>
                <w:szCs w:val="1"/>
                <w:color w:val="auto"/>
              </w:rPr>
            </w:pPr>
          </w:p>
        </w:tc>
      </w:tr>
      <w:tr>
        <w:trPr>
          <w:trHeight w:val="52"/>
        </w:trPr>
        <w:tc>
          <w:tcPr>
            <w:tcW w:w="1820" w:type="dxa"/>
            <w:vAlign w:val="bottom"/>
            <w:tcBorders>
              <w:left w:val="single" w:sz="8" w:color="auto"/>
              <w:bottom w:val="single" w:sz="8" w:color="auto"/>
            </w:tcBorders>
          </w:tcPr>
          <w:p>
            <w:pPr>
              <w:spacing w:after="0"/>
              <w:rPr>
                <w:sz w:val="4"/>
                <w:szCs w:val="4"/>
                <w:color w:val="auto"/>
              </w:rPr>
            </w:pPr>
          </w:p>
        </w:tc>
        <w:tc>
          <w:tcPr>
            <w:tcW w:w="600" w:type="dxa"/>
            <w:vAlign w:val="bottom"/>
            <w:tcBorders>
              <w:bottom w:val="single" w:sz="8" w:color="auto"/>
              <w:right w:val="single" w:sz="8" w:color="auto"/>
            </w:tcBorders>
          </w:tcPr>
          <w:p>
            <w:pPr>
              <w:spacing w:after="0"/>
              <w:rPr>
                <w:sz w:val="4"/>
                <w:szCs w:val="4"/>
                <w:color w:val="auto"/>
              </w:rPr>
            </w:pPr>
          </w:p>
        </w:tc>
        <w:tc>
          <w:tcPr>
            <w:tcW w:w="1680" w:type="dxa"/>
            <w:vAlign w:val="bottom"/>
            <w:tcBorders>
              <w:bottom w:val="single" w:sz="8" w:color="auto"/>
            </w:tcBorders>
            <w:gridSpan w:val="3"/>
          </w:tcPr>
          <w:p>
            <w:pPr>
              <w:spacing w:after="0"/>
              <w:rPr>
                <w:sz w:val="4"/>
                <w:szCs w:val="4"/>
                <w:color w:val="auto"/>
              </w:rPr>
            </w:pPr>
          </w:p>
        </w:tc>
        <w:tc>
          <w:tcPr>
            <w:tcW w:w="20" w:type="dxa"/>
            <w:vAlign w:val="bottom"/>
            <w:tcBorders>
              <w:bottom w:val="single" w:sz="8" w:color="auto"/>
            </w:tcBorders>
          </w:tcPr>
          <w:p>
            <w:pPr>
              <w:spacing w:after="0"/>
              <w:rPr>
                <w:sz w:val="4"/>
                <w:szCs w:val="4"/>
                <w:color w:val="auto"/>
              </w:rPr>
            </w:pPr>
          </w:p>
        </w:tc>
        <w:tc>
          <w:tcPr>
            <w:tcW w:w="680" w:type="dxa"/>
            <w:vAlign w:val="bottom"/>
            <w:tcBorders>
              <w:bottom w:val="single" w:sz="8" w:color="auto"/>
              <w:right w:val="single" w:sz="8" w:color="auto"/>
            </w:tcBorders>
          </w:tcPr>
          <w:p>
            <w:pPr>
              <w:spacing w:after="0"/>
              <w:rPr>
                <w:sz w:val="4"/>
                <w:szCs w:val="4"/>
                <w:color w:val="auto"/>
              </w:rPr>
            </w:pPr>
          </w:p>
        </w:tc>
        <w:tc>
          <w:tcPr>
            <w:tcW w:w="580" w:type="dxa"/>
            <w:vAlign w:val="bottom"/>
            <w:tcBorders>
              <w:bottom w:val="single" w:sz="8" w:color="auto"/>
            </w:tcBorders>
          </w:tcPr>
          <w:p>
            <w:pPr>
              <w:spacing w:after="0"/>
              <w:rPr>
                <w:sz w:val="4"/>
                <w:szCs w:val="4"/>
                <w:color w:val="auto"/>
              </w:rPr>
            </w:pPr>
          </w:p>
        </w:tc>
        <w:tc>
          <w:tcPr>
            <w:tcW w:w="182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70"/>
        </w:trPr>
        <w:tc>
          <w:tcPr>
            <w:tcW w:w="1820" w:type="dxa"/>
            <w:vAlign w:val="bottom"/>
            <w:tcBorders>
              <w:left w:val="single" w:sz="8" w:color="auto"/>
            </w:tcBorders>
          </w:tcPr>
          <w:p>
            <w:pPr>
              <w:jc w:val="center"/>
              <w:ind w:left="520"/>
              <w:spacing w:after="0"/>
              <w:rPr>
                <w:sz w:val="20"/>
                <w:szCs w:val="20"/>
                <w:color w:val="auto"/>
              </w:rPr>
            </w:pPr>
            <w:r>
              <w:rPr>
                <w:rFonts w:ascii="Times New Roman" w:cs="Times New Roman" w:eastAsia="Times New Roman" w:hAnsi="Times New Roman"/>
                <w:sz w:val="16"/>
                <w:szCs w:val="16"/>
                <w:color w:val="auto"/>
              </w:rPr>
              <w:t>2-3</w:t>
            </w:r>
          </w:p>
        </w:tc>
        <w:tc>
          <w:tcPr>
            <w:tcW w:w="600" w:type="dxa"/>
            <w:vAlign w:val="bottom"/>
            <w:tcBorders>
              <w:right w:val="single" w:sz="8" w:color="auto"/>
            </w:tcBorders>
          </w:tcPr>
          <w:p>
            <w:pPr>
              <w:spacing w:after="0"/>
              <w:rPr>
                <w:sz w:val="23"/>
                <w:szCs w:val="23"/>
                <w:color w:val="auto"/>
              </w:rPr>
            </w:pPr>
          </w:p>
        </w:tc>
        <w:tc>
          <w:tcPr>
            <w:tcW w:w="1680" w:type="dxa"/>
            <w:vAlign w:val="bottom"/>
            <w:gridSpan w:val="3"/>
          </w:tcPr>
          <w:p>
            <w:pPr>
              <w:jc w:val="center"/>
              <w:ind w:left="580"/>
              <w:spacing w:after="0"/>
              <w:rPr>
                <w:sz w:val="20"/>
                <w:szCs w:val="20"/>
                <w:color w:val="auto"/>
              </w:rPr>
            </w:pPr>
            <w:r>
              <w:rPr>
                <w:rFonts w:ascii="Times New Roman" w:cs="Times New Roman" w:eastAsia="Times New Roman" w:hAnsi="Times New Roman"/>
                <w:sz w:val="16"/>
                <w:szCs w:val="16"/>
                <w:color w:val="auto"/>
                <w:w w:val="96"/>
              </w:rPr>
              <w:t>*3.7188</w:t>
            </w:r>
          </w:p>
        </w:tc>
        <w:tc>
          <w:tcPr>
            <w:tcW w:w="20" w:type="dxa"/>
            <w:vAlign w:val="bottom"/>
          </w:tcPr>
          <w:p>
            <w:pPr>
              <w:spacing w:after="0"/>
              <w:rPr>
                <w:sz w:val="23"/>
                <w:szCs w:val="23"/>
                <w:color w:val="auto"/>
              </w:rPr>
            </w:pPr>
          </w:p>
        </w:tc>
        <w:tc>
          <w:tcPr>
            <w:tcW w:w="680" w:type="dxa"/>
            <w:vAlign w:val="bottom"/>
            <w:tcBorders>
              <w:right w:val="single" w:sz="8" w:color="auto"/>
            </w:tcBorders>
          </w:tcPr>
          <w:p>
            <w:pPr>
              <w:spacing w:after="0"/>
              <w:rPr>
                <w:sz w:val="23"/>
                <w:szCs w:val="23"/>
                <w:color w:val="auto"/>
              </w:rPr>
            </w:pPr>
          </w:p>
        </w:tc>
        <w:tc>
          <w:tcPr>
            <w:tcW w:w="580" w:type="dxa"/>
            <w:vAlign w:val="bottom"/>
          </w:tcPr>
          <w:p>
            <w:pPr>
              <w:spacing w:after="0"/>
              <w:rPr>
                <w:sz w:val="23"/>
                <w:szCs w:val="23"/>
                <w:color w:val="auto"/>
              </w:rPr>
            </w:pPr>
          </w:p>
        </w:tc>
        <w:tc>
          <w:tcPr>
            <w:tcW w:w="1820" w:type="dxa"/>
            <w:vAlign w:val="bottom"/>
            <w:tcBorders>
              <w:right w:val="single" w:sz="8" w:color="auto"/>
            </w:tcBorders>
          </w:tcPr>
          <w:p>
            <w:pPr>
              <w:jc w:val="center"/>
              <w:ind w:right="540"/>
              <w:spacing w:after="0"/>
              <w:rPr>
                <w:sz w:val="20"/>
                <w:szCs w:val="20"/>
                <w:color w:val="auto"/>
              </w:rPr>
            </w:pPr>
            <w:r>
              <w:rPr>
                <w:rFonts w:ascii="Times New Roman" w:cs="Times New Roman" w:eastAsia="Times New Roman" w:hAnsi="Times New Roman"/>
                <w:sz w:val="16"/>
                <w:szCs w:val="16"/>
                <w:color w:val="auto"/>
                <w:w w:val="99"/>
              </w:rPr>
              <w:t>1.44001</w:t>
            </w:r>
          </w:p>
        </w:tc>
        <w:tc>
          <w:tcPr>
            <w:tcW w:w="0" w:type="dxa"/>
            <w:vAlign w:val="bottom"/>
          </w:tcPr>
          <w:p>
            <w:pPr>
              <w:spacing w:after="0"/>
              <w:rPr>
                <w:sz w:val="1"/>
                <w:szCs w:val="1"/>
                <w:color w:val="auto"/>
              </w:rPr>
            </w:pPr>
          </w:p>
        </w:tc>
      </w:tr>
      <w:tr>
        <w:trPr>
          <w:trHeight w:val="52"/>
        </w:trPr>
        <w:tc>
          <w:tcPr>
            <w:tcW w:w="1820" w:type="dxa"/>
            <w:vAlign w:val="bottom"/>
            <w:tcBorders>
              <w:left w:val="single" w:sz="8" w:color="auto"/>
              <w:bottom w:val="single" w:sz="8" w:color="auto"/>
            </w:tcBorders>
          </w:tcPr>
          <w:p>
            <w:pPr>
              <w:spacing w:after="0"/>
              <w:rPr>
                <w:sz w:val="4"/>
                <w:szCs w:val="4"/>
                <w:color w:val="auto"/>
              </w:rPr>
            </w:pPr>
          </w:p>
        </w:tc>
        <w:tc>
          <w:tcPr>
            <w:tcW w:w="600" w:type="dxa"/>
            <w:vAlign w:val="bottom"/>
            <w:tcBorders>
              <w:bottom w:val="single" w:sz="8" w:color="auto"/>
              <w:right w:val="single" w:sz="8" w:color="auto"/>
            </w:tcBorders>
          </w:tcPr>
          <w:p>
            <w:pPr>
              <w:spacing w:after="0"/>
              <w:rPr>
                <w:sz w:val="4"/>
                <w:szCs w:val="4"/>
                <w:color w:val="auto"/>
              </w:rPr>
            </w:pPr>
          </w:p>
        </w:tc>
        <w:tc>
          <w:tcPr>
            <w:tcW w:w="1680" w:type="dxa"/>
            <w:vAlign w:val="bottom"/>
            <w:tcBorders>
              <w:bottom w:val="single" w:sz="8" w:color="auto"/>
            </w:tcBorders>
            <w:gridSpan w:val="3"/>
          </w:tcPr>
          <w:p>
            <w:pPr>
              <w:spacing w:after="0"/>
              <w:rPr>
                <w:sz w:val="4"/>
                <w:szCs w:val="4"/>
                <w:color w:val="auto"/>
              </w:rPr>
            </w:pPr>
          </w:p>
        </w:tc>
        <w:tc>
          <w:tcPr>
            <w:tcW w:w="20" w:type="dxa"/>
            <w:vAlign w:val="bottom"/>
            <w:tcBorders>
              <w:bottom w:val="single" w:sz="8" w:color="auto"/>
            </w:tcBorders>
          </w:tcPr>
          <w:p>
            <w:pPr>
              <w:spacing w:after="0"/>
              <w:rPr>
                <w:sz w:val="4"/>
                <w:szCs w:val="4"/>
                <w:color w:val="auto"/>
              </w:rPr>
            </w:pPr>
          </w:p>
        </w:tc>
        <w:tc>
          <w:tcPr>
            <w:tcW w:w="680" w:type="dxa"/>
            <w:vAlign w:val="bottom"/>
            <w:tcBorders>
              <w:bottom w:val="single" w:sz="8" w:color="auto"/>
              <w:right w:val="single" w:sz="8" w:color="auto"/>
            </w:tcBorders>
          </w:tcPr>
          <w:p>
            <w:pPr>
              <w:spacing w:after="0"/>
              <w:rPr>
                <w:sz w:val="4"/>
                <w:szCs w:val="4"/>
                <w:color w:val="auto"/>
              </w:rPr>
            </w:pPr>
          </w:p>
        </w:tc>
        <w:tc>
          <w:tcPr>
            <w:tcW w:w="580" w:type="dxa"/>
            <w:vAlign w:val="bottom"/>
            <w:tcBorders>
              <w:bottom w:val="single" w:sz="8" w:color="auto"/>
            </w:tcBorders>
          </w:tcPr>
          <w:p>
            <w:pPr>
              <w:spacing w:after="0"/>
              <w:rPr>
                <w:sz w:val="4"/>
                <w:szCs w:val="4"/>
                <w:color w:val="auto"/>
              </w:rPr>
            </w:pPr>
          </w:p>
        </w:tc>
        <w:tc>
          <w:tcPr>
            <w:tcW w:w="182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70"/>
        </w:trPr>
        <w:tc>
          <w:tcPr>
            <w:tcW w:w="1820" w:type="dxa"/>
            <w:vAlign w:val="bottom"/>
            <w:tcBorders>
              <w:left w:val="single" w:sz="8" w:color="auto"/>
            </w:tcBorders>
          </w:tcPr>
          <w:p>
            <w:pPr>
              <w:jc w:val="center"/>
              <w:ind w:left="520"/>
              <w:spacing w:after="0"/>
              <w:rPr>
                <w:sz w:val="20"/>
                <w:szCs w:val="20"/>
                <w:color w:val="auto"/>
              </w:rPr>
            </w:pPr>
            <w:r>
              <w:rPr>
                <w:rFonts w:ascii="Times New Roman" w:cs="Times New Roman" w:eastAsia="Times New Roman" w:hAnsi="Times New Roman"/>
                <w:sz w:val="16"/>
                <w:szCs w:val="16"/>
                <w:color w:val="auto"/>
              </w:rPr>
              <w:t>2-4</w:t>
            </w:r>
          </w:p>
        </w:tc>
        <w:tc>
          <w:tcPr>
            <w:tcW w:w="600" w:type="dxa"/>
            <w:vAlign w:val="bottom"/>
            <w:tcBorders>
              <w:right w:val="single" w:sz="8" w:color="auto"/>
            </w:tcBorders>
          </w:tcPr>
          <w:p>
            <w:pPr>
              <w:spacing w:after="0"/>
              <w:rPr>
                <w:sz w:val="23"/>
                <w:szCs w:val="23"/>
                <w:color w:val="auto"/>
              </w:rPr>
            </w:pPr>
          </w:p>
        </w:tc>
        <w:tc>
          <w:tcPr>
            <w:tcW w:w="1680" w:type="dxa"/>
            <w:vAlign w:val="bottom"/>
            <w:gridSpan w:val="3"/>
          </w:tcPr>
          <w:p>
            <w:pPr>
              <w:jc w:val="center"/>
              <w:ind w:left="580"/>
              <w:spacing w:after="0"/>
              <w:rPr>
                <w:sz w:val="20"/>
                <w:szCs w:val="20"/>
                <w:color w:val="auto"/>
              </w:rPr>
            </w:pPr>
            <w:r>
              <w:rPr>
                <w:rFonts w:ascii="Times New Roman" w:cs="Times New Roman" w:eastAsia="Times New Roman" w:hAnsi="Times New Roman"/>
                <w:sz w:val="16"/>
                <w:szCs w:val="16"/>
                <w:color w:val="auto"/>
                <w:w w:val="96"/>
              </w:rPr>
              <w:t>*5.68103</w:t>
            </w:r>
          </w:p>
        </w:tc>
        <w:tc>
          <w:tcPr>
            <w:tcW w:w="20" w:type="dxa"/>
            <w:vAlign w:val="bottom"/>
          </w:tcPr>
          <w:p>
            <w:pPr>
              <w:spacing w:after="0"/>
              <w:rPr>
                <w:sz w:val="23"/>
                <w:szCs w:val="23"/>
                <w:color w:val="auto"/>
              </w:rPr>
            </w:pPr>
          </w:p>
        </w:tc>
        <w:tc>
          <w:tcPr>
            <w:tcW w:w="680" w:type="dxa"/>
            <w:vAlign w:val="bottom"/>
            <w:tcBorders>
              <w:right w:val="single" w:sz="8" w:color="auto"/>
            </w:tcBorders>
          </w:tcPr>
          <w:p>
            <w:pPr>
              <w:spacing w:after="0"/>
              <w:rPr>
                <w:sz w:val="23"/>
                <w:szCs w:val="23"/>
                <w:color w:val="auto"/>
              </w:rPr>
            </w:pPr>
          </w:p>
        </w:tc>
        <w:tc>
          <w:tcPr>
            <w:tcW w:w="580" w:type="dxa"/>
            <w:vAlign w:val="bottom"/>
          </w:tcPr>
          <w:p>
            <w:pPr>
              <w:spacing w:after="0"/>
              <w:rPr>
                <w:sz w:val="23"/>
                <w:szCs w:val="23"/>
                <w:color w:val="auto"/>
              </w:rPr>
            </w:pPr>
          </w:p>
        </w:tc>
        <w:tc>
          <w:tcPr>
            <w:tcW w:w="1820" w:type="dxa"/>
            <w:vAlign w:val="bottom"/>
            <w:tcBorders>
              <w:right w:val="single" w:sz="8" w:color="auto"/>
            </w:tcBorders>
          </w:tcPr>
          <w:p>
            <w:pPr>
              <w:jc w:val="center"/>
              <w:ind w:right="540"/>
              <w:spacing w:after="0"/>
              <w:rPr>
                <w:sz w:val="20"/>
                <w:szCs w:val="20"/>
                <w:color w:val="auto"/>
              </w:rPr>
            </w:pPr>
            <w:r>
              <w:rPr>
                <w:rFonts w:ascii="Times New Roman" w:cs="Times New Roman" w:eastAsia="Times New Roman" w:hAnsi="Times New Roman"/>
                <w:sz w:val="16"/>
                <w:szCs w:val="16"/>
                <w:color w:val="auto"/>
                <w:w w:val="99"/>
              </w:rPr>
              <w:t>1.43152</w:t>
            </w:r>
          </w:p>
        </w:tc>
        <w:tc>
          <w:tcPr>
            <w:tcW w:w="0" w:type="dxa"/>
            <w:vAlign w:val="bottom"/>
          </w:tcPr>
          <w:p>
            <w:pPr>
              <w:spacing w:after="0"/>
              <w:rPr>
                <w:sz w:val="1"/>
                <w:szCs w:val="1"/>
                <w:color w:val="auto"/>
              </w:rPr>
            </w:pPr>
          </w:p>
        </w:tc>
      </w:tr>
      <w:tr>
        <w:trPr>
          <w:trHeight w:val="52"/>
        </w:trPr>
        <w:tc>
          <w:tcPr>
            <w:tcW w:w="1820" w:type="dxa"/>
            <w:vAlign w:val="bottom"/>
            <w:tcBorders>
              <w:left w:val="single" w:sz="8" w:color="auto"/>
              <w:bottom w:val="single" w:sz="8" w:color="auto"/>
            </w:tcBorders>
          </w:tcPr>
          <w:p>
            <w:pPr>
              <w:spacing w:after="0"/>
              <w:rPr>
                <w:sz w:val="4"/>
                <w:szCs w:val="4"/>
                <w:color w:val="auto"/>
              </w:rPr>
            </w:pPr>
          </w:p>
        </w:tc>
        <w:tc>
          <w:tcPr>
            <w:tcW w:w="600" w:type="dxa"/>
            <w:vAlign w:val="bottom"/>
            <w:tcBorders>
              <w:bottom w:val="single" w:sz="8" w:color="auto"/>
              <w:right w:val="single" w:sz="8" w:color="auto"/>
            </w:tcBorders>
          </w:tcPr>
          <w:p>
            <w:pPr>
              <w:spacing w:after="0"/>
              <w:rPr>
                <w:sz w:val="4"/>
                <w:szCs w:val="4"/>
                <w:color w:val="auto"/>
              </w:rPr>
            </w:pPr>
          </w:p>
        </w:tc>
        <w:tc>
          <w:tcPr>
            <w:tcW w:w="1680" w:type="dxa"/>
            <w:vAlign w:val="bottom"/>
            <w:tcBorders>
              <w:bottom w:val="single" w:sz="8" w:color="auto"/>
            </w:tcBorders>
            <w:gridSpan w:val="3"/>
          </w:tcPr>
          <w:p>
            <w:pPr>
              <w:spacing w:after="0"/>
              <w:rPr>
                <w:sz w:val="4"/>
                <w:szCs w:val="4"/>
                <w:color w:val="auto"/>
              </w:rPr>
            </w:pPr>
          </w:p>
        </w:tc>
        <w:tc>
          <w:tcPr>
            <w:tcW w:w="20" w:type="dxa"/>
            <w:vAlign w:val="bottom"/>
            <w:tcBorders>
              <w:bottom w:val="single" w:sz="8" w:color="auto"/>
            </w:tcBorders>
          </w:tcPr>
          <w:p>
            <w:pPr>
              <w:spacing w:after="0"/>
              <w:rPr>
                <w:sz w:val="4"/>
                <w:szCs w:val="4"/>
                <w:color w:val="auto"/>
              </w:rPr>
            </w:pPr>
          </w:p>
        </w:tc>
        <w:tc>
          <w:tcPr>
            <w:tcW w:w="680" w:type="dxa"/>
            <w:vAlign w:val="bottom"/>
            <w:tcBorders>
              <w:bottom w:val="single" w:sz="8" w:color="auto"/>
              <w:right w:val="single" w:sz="8" w:color="auto"/>
            </w:tcBorders>
          </w:tcPr>
          <w:p>
            <w:pPr>
              <w:spacing w:after="0"/>
              <w:rPr>
                <w:sz w:val="4"/>
                <w:szCs w:val="4"/>
                <w:color w:val="auto"/>
              </w:rPr>
            </w:pPr>
          </w:p>
        </w:tc>
        <w:tc>
          <w:tcPr>
            <w:tcW w:w="580" w:type="dxa"/>
            <w:vAlign w:val="bottom"/>
            <w:tcBorders>
              <w:bottom w:val="single" w:sz="8" w:color="auto"/>
            </w:tcBorders>
          </w:tcPr>
          <w:p>
            <w:pPr>
              <w:spacing w:after="0"/>
              <w:rPr>
                <w:sz w:val="4"/>
                <w:szCs w:val="4"/>
                <w:color w:val="auto"/>
              </w:rPr>
            </w:pPr>
          </w:p>
        </w:tc>
        <w:tc>
          <w:tcPr>
            <w:tcW w:w="182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70"/>
        </w:trPr>
        <w:tc>
          <w:tcPr>
            <w:tcW w:w="1820" w:type="dxa"/>
            <w:vAlign w:val="bottom"/>
            <w:tcBorders>
              <w:left w:val="single" w:sz="8" w:color="auto"/>
            </w:tcBorders>
          </w:tcPr>
          <w:p>
            <w:pPr>
              <w:jc w:val="center"/>
              <w:ind w:left="520"/>
              <w:spacing w:after="0"/>
              <w:rPr>
                <w:sz w:val="20"/>
                <w:szCs w:val="20"/>
                <w:color w:val="auto"/>
              </w:rPr>
            </w:pPr>
            <w:r>
              <w:rPr>
                <w:rFonts w:ascii="Times New Roman" w:cs="Times New Roman" w:eastAsia="Times New Roman" w:hAnsi="Times New Roman"/>
                <w:sz w:val="16"/>
                <w:szCs w:val="16"/>
                <w:color w:val="auto"/>
              </w:rPr>
              <w:t>3-4</w:t>
            </w:r>
          </w:p>
        </w:tc>
        <w:tc>
          <w:tcPr>
            <w:tcW w:w="600" w:type="dxa"/>
            <w:vAlign w:val="bottom"/>
            <w:tcBorders>
              <w:right w:val="single" w:sz="8" w:color="auto"/>
            </w:tcBorders>
          </w:tcPr>
          <w:p>
            <w:pPr>
              <w:spacing w:after="0"/>
              <w:rPr>
                <w:sz w:val="23"/>
                <w:szCs w:val="23"/>
                <w:color w:val="auto"/>
              </w:rPr>
            </w:pPr>
          </w:p>
        </w:tc>
        <w:tc>
          <w:tcPr>
            <w:tcW w:w="1680" w:type="dxa"/>
            <w:vAlign w:val="bottom"/>
            <w:gridSpan w:val="3"/>
          </w:tcPr>
          <w:p>
            <w:pPr>
              <w:jc w:val="center"/>
              <w:ind w:left="580"/>
              <w:spacing w:after="0"/>
              <w:rPr>
                <w:sz w:val="20"/>
                <w:szCs w:val="20"/>
                <w:color w:val="auto"/>
              </w:rPr>
            </w:pPr>
            <w:r>
              <w:rPr>
                <w:rFonts w:ascii="Times New Roman" w:cs="Times New Roman" w:eastAsia="Times New Roman" w:hAnsi="Times New Roman"/>
                <w:sz w:val="16"/>
                <w:szCs w:val="16"/>
                <w:color w:val="auto"/>
                <w:w w:val="96"/>
              </w:rPr>
              <w:t>*1.96215</w:t>
            </w:r>
          </w:p>
        </w:tc>
        <w:tc>
          <w:tcPr>
            <w:tcW w:w="20" w:type="dxa"/>
            <w:vAlign w:val="bottom"/>
          </w:tcPr>
          <w:p>
            <w:pPr>
              <w:spacing w:after="0"/>
              <w:rPr>
                <w:sz w:val="23"/>
                <w:szCs w:val="23"/>
                <w:color w:val="auto"/>
              </w:rPr>
            </w:pPr>
          </w:p>
        </w:tc>
        <w:tc>
          <w:tcPr>
            <w:tcW w:w="680" w:type="dxa"/>
            <w:vAlign w:val="bottom"/>
            <w:tcBorders>
              <w:right w:val="single" w:sz="8" w:color="auto"/>
            </w:tcBorders>
          </w:tcPr>
          <w:p>
            <w:pPr>
              <w:spacing w:after="0"/>
              <w:rPr>
                <w:sz w:val="23"/>
                <w:szCs w:val="23"/>
                <w:color w:val="auto"/>
              </w:rPr>
            </w:pPr>
          </w:p>
        </w:tc>
        <w:tc>
          <w:tcPr>
            <w:tcW w:w="580" w:type="dxa"/>
            <w:vAlign w:val="bottom"/>
          </w:tcPr>
          <w:p>
            <w:pPr>
              <w:spacing w:after="0"/>
              <w:rPr>
                <w:sz w:val="23"/>
                <w:szCs w:val="23"/>
                <w:color w:val="auto"/>
              </w:rPr>
            </w:pPr>
          </w:p>
        </w:tc>
        <w:tc>
          <w:tcPr>
            <w:tcW w:w="1820" w:type="dxa"/>
            <w:vAlign w:val="bottom"/>
            <w:tcBorders>
              <w:right w:val="single" w:sz="8" w:color="auto"/>
            </w:tcBorders>
          </w:tcPr>
          <w:p>
            <w:pPr>
              <w:jc w:val="center"/>
              <w:ind w:right="540"/>
              <w:spacing w:after="0"/>
              <w:rPr>
                <w:sz w:val="20"/>
                <w:szCs w:val="20"/>
                <w:color w:val="auto"/>
              </w:rPr>
            </w:pPr>
            <w:r>
              <w:rPr>
                <w:rFonts w:ascii="Times New Roman" w:cs="Times New Roman" w:eastAsia="Times New Roman" w:hAnsi="Times New Roman"/>
                <w:sz w:val="16"/>
                <w:szCs w:val="16"/>
                <w:color w:val="auto"/>
                <w:w w:val="99"/>
              </w:rPr>
              <w:t>1.11483</w:t>
            </w:r>
          </w:p>
        </w:tc>
        <w:tc>
          <w:tcPr>
            <w:tcW w:w="0" w:type="dxa"/>
            <w:vAlign w:val="bottom"/>
          </w:tcPr>
          <w:p>
            <w:pPr>
              <w:spacing w:after="0"/>
              <w:rPr>
                <w:sz w:val="1"/>
                <w:szCs w:val="1"/>
                <w:color w:val="auto"/>
              </w:rPr>
            </w:pPr>
          </w:p>
        </w:tc>
      </w:tr>
      <w:tr>
        <w:trPr>
          <w:trHeight w:val="52"/>
        </w:trPr>
        <w:tc>
          <w:tcPr>
            <w:tcW w:w="1820" w:type="dxa"/>
            <w:vAlign w:val="bottom"/>
            <w:tcBorders>
              <w:left w:val="single" w:sz="8" w:color="auto"/>
              <w:bottom w:val="single" w:sz="8" w:color="auto"/>
            </w:tcBorders>
          </w:tcPr>
          <w:p>
            <w:pPr>
              <w:spacing w:after="0"/>
              <w:rPr>
                <w:sz w:val="4"/>
                <w:szCs w:val="4"/>
                <w:color w:val="auto"/>
              </w:rPr>
            </w:pPr>
          </w:p>
        </w:tc>
        <w:tc>
          <w:tcPr>
            <w:tcW w:w="600" w:type="dxa"/>
            <w:vAlign w:val="bottom"/>
            <w:tcBorders>
              <w:bottom w:val="single" w:sz="8" w:color="auto"/>
              <w:right w:val="single" w:sz="8" w:color="auto"/>
            </w:tcBorders>
          </w:tcPr>
          <w:p>
            <w:pPr>
              <w:spacing w:after="0"/>
              <w:rPr>
                <w:sz w:val="4"/>
                <w:szCs w:val="4"/>
                <w:color w:val="auto"/>
              </w:rPr>
            </w:pPr>
          </w:p>
        </w:tc>
        <w:tc>
          <w:tcPr>
            <w:tcW w:w="500" w:type="dxa"/>
            <w:vAlign w:val="bottom"/>
            <w:tcBorders>
              <w:bottom w:val="single" w:sz="8" w:color="auto"/>
            </w:tcBorders>
          </w:tcPr>
          <w:p>
            <w:pPr>
              <w:spacing w:after="0"/>
              <w:rPr>
                <w:sz w:val="4"/>
                <w:szCs w:val="4"/>
                <w:color w:val="auto"/>
              </w:rPr>
            </w:pPr>
          </w:p>
        </w:tc>
        <w:tc>
          <w:tcPr>
            <w:tcW w:w="20" w:type="dxa"/>
            <w:vAlign w:val="bottom"/>
            <w:tcBorders>
              <w:bottom w:val="single" w:sz="8" w:color="auto"/>
            </w:tcBorders>
          </w:tcPr>
          <w:p>
            <w:pPr>
              <w:spacing w:after="0"/>
              <w:rPr>
                <w:sz w:val="4"/>
                <w:szCs w:val="4"/>
                <w:color w:val="auto"/>
              </w:rPr>
            </w:pPr>
          </w:p>
        </w:tc>
        <w:tc>
          <w:tcPr>
            <w:tcW w:w="1160" w:type="dxa"/>
            <w:vAlign w:val="bottom"/>
            <w:tcBorders>
              <w:bottom w:val="single" w:sz="8" w:color="auto"/>
            </w:tcBorders>
          </w:tcPr>
          <w:p>
            <w:pPr>
              <w:spacing w:after="0"/>
              <w:rPr>
                <w:sz w:val="4"/>
                <w:szCs w:val="4"/>
                <w:color w:val="auto"/>
              </w:rPr>
            </w:pPr>
          </w:p>
        </w:tc>
        <w:tc>
          <w:tcPr>
            <w:tcW w:w="20" w:type="dxa"/>
            <w:vAlign w:val="bottom"/>
            <w:tcBorders>
              <w:bottom w:val="single" w:sz="8" w:color="auto"/>
            </w:tcBorders>
          </w:tcPr>
          <w:p>
            <w:pPr>
              <w:spacing w:after="0"/>
              <w:rPr>
                <w:sz w:val="4"/>
                <w:szCs w:val="4"/>
                <w:color w:val="auto"/>
              </w:rPr>
            </w:pPr>
          </w:p>
        </w:tc>
        <w:tc>
          <w:tcPr>
            <w:tcW w:w="680" w:type="dxa"/>
            <w:vAlign w:val="bottom"/>
            <w:tcBorders>
              <w:bottom w:val="single" w:sz="8" w:color="auto"/>
              <w:right w:val="single" w:sz="8" w:color="auto"/>
            </w:tcBorders>
          </w:tcPr>
          <w:p>
            <w:pPr>
              <w:spacing w:after="0"/>
              <w:rPr>
                <w:sz w:val="4"/>
                <w:szCs w:val="4"/>
                <w:color w:val="auto"/>
              </w:rPr>
            </w:pPr>
          </w:p>
        </w:tc>
        <w:tc>
          <w:tcPr>
            <w:tcW w:w="580" w:type="dxa"/>
            <w:vAlign w:val="bottom"/>
            <w:tcBorders>
              <w:bottom w:val="single" w:sz="8" w:color="auto"/>
            </w:tcBorders>
          </w:tcPr>
          <w:p>
            <w:pPr>
              <w:spacing w:after="0"/>
              <w:rPr>
                <w:sz w:val="4"/>
                <w:szCs w:val="4"/>
                <w:color w:val="auto"/>
              </w:rPr>
            </w:pPr>
          </w:p>
        </w:tc>
        <w:tc>
          <w:tcPr>
            <w:tcW w:w="182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bl>
    <w:p>
      <w:pPr>
        <w:spacing w:after="0" w:line="163"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Nota: el asterisco denota diferencias estadísticamente significativas.</w:t>
      </w:r>
    </w:p>
    <w:p>
      <w:pPr>
        <w:spacing w:after="0" w:line="36"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Fuente: Ruiz, 2010.</w:t>
      </w:r>
    </w:p>
    <w:p>
      <w:pPr>
        <w:spacing w:after="0" w:line="200" w:lineRule="exact"/>
        <w:rPr>
          <w:sz w:val="20"/>
          <w:szCs w:val="20"/>
          <w:color w:val="auto"/>
        </w:rPr>
      </w:pPr>
    </w:p>
    <w:p>
      <w:pPr>
        <w:spacing w:after="0" w:line="200" w:lineRule="exact"/>
        <w:rPr>
          <w:sz w:val="20"/>
          <w:szCs w:val="20"/>
          <w:color w:val="auto"/>
        </w:rPr>
      </w:pPr>
    </w:p>
    <w:p>
      <w:pPr>
        <w:spacing w:after="0" w:line="282"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Relación entre morfometría corporal y morfometría del corazón</w:t>
      </w:r>
    </w:p>
    <w:p>
      <w:pPr>
        <w:spacing w:after="0" w:line="387" w:lineRule="exact"/>
        <w:rPr>
          <w:sz w:val="20"/>
          <w:szCs w:val="20"/>
          <w:color w:val="auto"/>
        </w:rPr>
      </w:pPr>
    </w:p>
    <w:p>
      <w:pPr>
        <w:jc w:val="both"/>
        <w:spacing w:after="0" w:line="311" w:lineRule="auto"/>
        <w:rPr>
          <w:sz w:val="20"/>
          <w:szCs w:val="20"/>
          <w:color w:val="auto"/>
        </w:rPr>
      </w:pPr>
      <w:r>
        <w:rPr>
          <w:rFonts w:ascii="Times New Roman" w:cs="Times New Roman" w:eastAsia="Times New Roman" w:hAnsi="Times New Roman"/>
          <w:sz w:val="22"/>
          <w:szCs w:val="22"/>
          <w:color w:val="auto"/>
        </w:rPr>
        <w:t xml:space="preserve">Se realizó una prueba de correlación utilizando el CP1 del acp de morfometría del cuerpo y el CP1 del acp de morfometría del corazón, la cual resultó significativa con un valor de </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2"/>
          <w:szCs w:val="22"/>
          <w:color w:val="auto"/>
        </w:rPr>
        <w:t xml:space="preserve"> = 0.0012 y un coeficiente de correlación </w:t>
      </w:r>
      <w:r>
        <w:rPr>
          <w:rFonts w:ascii="Times New Roman" w:cs="Times New Roman" w:eastAsia="Times New Roman" w:hAnsi="Times New Roman"/>
          <w:sz w:val="22"/>
          <w:szCs w:val="22"/>
          <w:i w:val="1"/>
          <w:iCs w:val="1"/>
          <w:color w:val="auto"/>
        </w:rPr>
        <w:t>r</w:t>
      </w:r>
      <w:r>
        <w:rPr>
          <w:rFonts w:ascii="Times New Roman" w:cs="Times New Roman" w:eastAsia="Times New Roman" w:hAnsi="Times New Roman"/>
          <w:sz w:val="22"/>
          <w:szCs w:val="22"/>
          <w:color w:val="auto"/>
        </w:rPr>
        <w:t xml:space="preserve"> = -0.375718, lo que en la figura 9 se representa.</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1"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88" name="Shape 28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88" o:spid="_x0000_s131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89" name="Shape 28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89" o:spid="_x0000_s131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90" name="Shape 29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90" o:spid="_x0000_s131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23" w:name="page124"/>
    <w:bookmarkEnd w:id="123"/>
    <w:p>
      <w:pPr>
        <w:ind w:left="1180"/>
        <w:spacing w:after="0"/>
        <w:tabs>
          <w:tab w:leader="dot" w:pos="6960" w:val="left"/>
        </w:tabs>
        <w:rPr>
          <w:sz w:val="20"/>
          <w:szCs w:val="20"/>
          <w:color w:val="auto"/>
        </w:rPr>
      </w:pPr>
      <w:r>
        <w:rPr>
          <w:rFonts w:ascii="Arial Narrow" w:cs="Arial Narrow" w:eastAsia="Arial Narrow" w:hAnsi="Arial Narrow"/>
          <w:sz w:val="11"/>
          <w:szCs w:val="11"/>
          <w:color w:val="auto"/>
        </w:rPr>
        <w:t>morfometría externa del corazón de dos especies hermanas del grupo scalaris</w:t>
      </w:r>
      <w:r>
        <w:rPr>
          <w:sz w:val="20"/>
          <w:szCs w:val="20"/>
          <w:color w:val="auto"/>
        </w:rPr>
        <w:tab/>
      </w:r>
      <w:r>
        <w:rPr>
          <w:rFonts w:ascii="Arial Narrow" w:cs="Arial Narrow" w:eastAsia="Arial Narrow" w:hAnsi="Arial Narrow"/>
          <w:sz w:val="16"/>
          <w:szCs w:val="16"/>
          <w:color w:val="auto"/>
        </w:rPr>
        <w:t>123</w:t>
      </w:r>
    </w:p>
    <w:p>
      <w:pPr>
        <w:spacing w:after="0" w:line="200" w:lineRule="exact"/>
        <w:rPr>
          <w:sz w:val="20"/>
          <w:szCs w:val="20"/>
          <w:color w:val="auto"/>
        </w:rPr>
      </w:pPr>
    </w:p>
    <w:p>
      <w:pPr>
        <w:spacing w:after="0" w:line="388" w:lineRule="exact"/>
        <w:rPr>
          <w:sz w:val="20"/>
          <w:szCs w:val="20"/>
          <w:color w:val="auto"/>
        </w:rPr>
      </w:pPr>
    </w:p>
    <w:p>
      <w:pPr>
        <w:ind w:left="3320"/>
        <w:spacing w:after="0"/>
        <w:rPr>
          <w:sz w:val="20"/>
          <w:szCs w:val="20"/>
          <w:color w:val="auto"/>
        </w:rPr>
      </w:pPr>
      <w:r>
        <w:rPr>
          <w:rFonts w:ascii="Times New Roman" w:cs="Times New Roman" w:eastAsia="Times New Roman" w:hAnsi="Times New Roman"/>
          <w:sz w:val="18"/>
          <w:szCs w:val="18"/>
          <w:i w:val="1"/>
          <w:iCs w:val="1"/>
          <w:color w:val="auto"/>
        </w:rPr>
        <w:t>Figura 9</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92075</wp:posOffset>
            </wp:positionV>
            <wp:extent cx="4571365" cy="3690620"/>
            <wp:wrapNone/>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59">
                      <a:extLst>
                        <a:ext uri="{28A0092B-C50C-407E-A947-70E740481C1C}"/>
                      </a:extLst>
                    </a:blip>
                    <a:srcRect/>
                    <a:stretch>
                      <a:fillRect/>
                    </a:stretch>
                  </pic:blipFill>
                  <pic:spPr bwMode="auto">
                    <a:xfrm>
                      <a:off x="0" y="0"/>
                      <a:ext cx="4571365" cy="369062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5" w:lineRule="exact"/>
        <w:rPr>
          <w:sz w:val="20"/>
          <w:szCs w:val="20"/>
          <w:color w:val="auto"/>
        </w:rPr>
      </w:pPr>
    </w:p>
    <w:tbl>
      <w:tblPr>
        <w:tblLayout w:type="fixed"/>
        <w:tblInd w:w="71" w:type="dxa"/>
        <w:tblCellMar>
          <w:top w:w="0" w:type="dxa"/>
          <w:left w:w="0" w:type="dxa"/>
          <w:bottom w:w="0" w:type="dxa"/>
          <w:right w:w="0" w:type="dxa"/>
        </w:tblCellMar>
      </w:tblPr>
      <w:tr>
        <w:trPr>
          <w:trHeight w:val="1100"/>
          <w:jc w:val="center"/>
        </w:trPr>
        <w:tc>
          <w:tcPr>
            <w:tcW w:w="161" w:type="dxa"/>
            <w:vAlign w:val="bottom"/>
            <w:textDirection w:val="btLr"/>
          </w:tcPr>
          <w:p>
            <w:pPr>
              <w:spacing w:after="0"/>
              <w:rPr>
                <w:sz w:val="20"/>
                <w:szCs w:val="20"/>
                <w:color w:val="auto"/>
              </w:rPr>
            </w:pPr>
            <w:r>
              <w:rPr>
                <w:rFonts w:ascii="Times New Roman" w:cs="Times New Roman" w:eastAsia="Times New Roman" w:hAnsi="Times New Roman"/>
                <w:sz w:val="14"/>
                <w:szCs w:val="14"/>
                <w:b w:val="1"/>
                <w:bCs w:val="1"/>
                <w:color w:val="auto"/>
              </w:rPr>
              <w:t>C.P.1 Morfología</w:t>
            </w: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5" w:lineRule="exact"/>
        <w:rPr>
          <w:sz w:val="20"/>
          <w:szCs w:val="20"/>
          <w:color w:val="auto"/>
        </w:rPr>
      </w:pPr>
    </w:p>
    <w:p>
      <w:pPr>
        <w:ind w:left="2440"/>
        <w:spacing w:after="0"/>
        <w:rPr>
          <w:sz w:val="20"/>
          <w:szCs w:val="20"/>
          <w:color w:val="auto"/>
        </w:rPr>
      </w:pPr>
      <w:r>
        <w:rPr>
          <w:rFonts w:ascii="Times New Roman" w:cs="Times New Roman" w:eastAsia="Times New Roman" w:hAnsi="Times New Roman"/>
          <w:sz w:val="16"/>
          <w:szCs w:val="16"/>
          <w:b w:val="1"/>
          <w:bCs w:val="1"/>
          <w:color w:val="auto"/>
        </w:rPr>
        <w:t>C.P.1 Corazón</w:t>
      </w:r>
    </w:p>
    <w:p>
      <w:pPr>
        <w:spacing w:after="0" w:line="222" w:lineRule="exact"/>
        <w:rPr>
          <w:sz w:val="20"/>
          <w:szCs w:val="20"/>
          <w:color w:val="auto"/>
        </w:rPr>
      </w:pPr>
    </w:p>
    <w:tbl>
      <w:tblPr>
        <w:tblLayout w:type="fixed"/>
        <w:tblInd w:w="1550" w:type="dxa"/>
        <w:tblCellMar>
          <w:top w:w="0" w:type="dxa"/>
          <w:left w:w="0" w:type="dxa"/>
          <w:bottom w:w="0" w:type="dxa"/>
          <w:right w:w="0" w:type="dxa"/>
        </w:tblCellMar>
      </w:tblPr>
      <w:tr>
        <w:trPr>
          <w:trHeight w:val="248"/>
        </w:trPr>
        <w:tc>
          <w:tcPr>
            <w:tcW w:w="1540" w:type="dxa"/>
            <w:vAlign w:val="bottom"/>
            <w:tcBorders>
              <w:top w:val="single" w:sz="8" w:color="auto"/>
              <w:left w:val="single" w:sz="8" w:color="auto"/>
            </w:tcBorders>
          </w:tcPr>
          <w:p>
            <w:pPr>
              <w:ind w:left="460"/>
              <w:spacing w:after="0"/>
              <w:rPr>
                <w:sz w:val="20"/>
                <w:szCs w:val="20"/>
                <w:color w:val="auto"/>
              </w:rPr>
            </w:pPr>
            <w:r>
              <w:rPr>
                <w:rFonts w:ascii="Times New Roman" w:cs="Times New Roman" w:eastAsia="Times New Roman" w:hAnsi="Times New Roman"/>
                <w:sz w:val="16"/>
                <w:szCs w:val="16"/>
                <w:color w:val="auto"/>
              </w:rPr>
              <w:t>Modelo</w:t>
            </w:r>
          </w:p>
        </w:tc>
        <w:tc>
          <w:tcPr>
            <w:tcW w:w="1360" w:type="dxa"/>
            <w:vAlign w:val="bottom"/>
            <w:tcBorders>
              <w:top w:val="single" w:sz="8" w:color="auto"/>
            </w:tcBorders>
          </w:tcPr>
          <w:p>
            <w:pPr>
              <w:ind w:left="320"/>
              <w:spacing w:after="0"/>
              <w:rPr>
                <w:sz w:val="20"/>
                <w:szCs w:val="20"/>
                <w:color w:val="auto"/>
              </w:rPr>
            </w:pPr>
            <w:r>
              <w:rPr>
                <w:rFonts w:ascii="Times New Roman" w:cs="Times New Roman" w:eastAsia="Times New Roman" w:hAnsi="Times New Roman"/>
                <w:sz w:val="16"/>
                <w:szCs w:val="16"/>
                <w:color w:val="auto"/>
              </w:rPr>
              <w:t>2857 msnm</w:t>
            </w:r>
          </w:p>
        </w:tc>
        <w:tc>
          <w:tcPr>
            <w:tcW w:w="1180" w:type="dxa"/>
            <w:vAlign w:val="bottom"/>
            <w:tcBorders>
              <w:top w:val="single" w:sz="8" w:color="auto"/>
              <w:right w:val="single" w:sz="8" w:color="auto"/>
            </w:tcBorders>
          </w:tcPr>
          <w:p>
            <w:pPr>
              <w:ind w:left="280"/>
              <w:spacing w:after="0"/>
              <w:rPr>
                <w:sz w:val="20"/>
                <w:szCs w:val="20"/>
                <w:color w:val="auto"/>
              </w:rPr>
            </w:pPr>
            <w:r>
              <w:rPr>
                <w:rFonts w:ascii="Times New Roman" w:cs="Times New Roman" w:eastAsia="Times New Roman" w:hAnsi="Times New Roman"/>
                <w:sz w:val="16"/>
                <w:szCs w:val="16"/>
                <w:color w:val="auto"/>
              </w:rPr>
              <w:t>4200 msnm</w:t>
            </w:r>
          </w:p>
        </w:tc>
      </w:tr>
      <w:tr>
        <w:trPr>
          <w:trHeight w:val="260"/>
        </w:trPr>
        <w:tc>
          <w:tcPr>
            <w:tcW w:w="1540" w:type="dxa"/>
            <w:vAlign w:val="bottom"/>
            <w:tcBorders>
              <w:left w:val="single" w:sz="8" w:color="auto"/>
            </w:tcBorders>
          </w:tcPr>
          <w:p>
            <w:pPr>
              <w:ind w:left="460"/>
              <w:spacing w:after="0"/>
              <w:rPr>
                <w:sz w:val="20"/>
                <w:szCs w:val="20"/>
                <w:color w:val="auto"/>
              </w:rPr>
            </w:pPr>
            <w:r>
              <w:rPr>
                <w:rFonts w:ascii="Times New Roman" w:cs="Times New Roman" w:eastAsia="Times New Roman" w:hAnsi="Times New Roman"/>
                <w:sz w:val="16"/>
                <w:szCs w:val="16"/>
                <w:color w:val="auto"/>
              </w:rPr>
              <w:t>2645 msnm</w:t>
            </w:r>
          </w:p>
        </w:tc>
        <w:tc>
          <w:tcPr>
            <w:tcW w:w="1360" w:type="dxa"/>
            <w:vAlign w:val="bottom"/>
          </w:tcPr>
          <w:p>
            <w:pPr>
              <w:ind w:left="320"/>
              <w:spacing w:after="0"/>
              <w:rPr>
                <w:sz w:val="20"/>
                <w:szCs w:val="20"/>
                <w:color w:val="auto"/>
              </w:rPr>
            </w:pPr>
            <w:r>
              <w:rPr>
                <w:rFonts w:ascii="Times New Roman" w:cs="Times New Roman" w:eastAsia="Times New Roman" w:hAnsi="Times New Roman"/>
                <w:sz w:val="16"/>
                <w:szCs w:val="16"/>
                <w:color w:val="auto"/>
              </w:rPr>
              <w:t>3245 msnm</w:t>
            </w:r>
          </w:p>
        </w:tc>
        <w:tc>
          <w:tcPr>
            <w:tcW w:w="1180" w:type="dxa"/>
            <w:vAlign w:val="bottom"/>
            <w:tcBorders>
              <w:right w:val="single" w:sz="8" w:color="auto"/>
            </w:tcBorders>
          </w:tcPr>
          <w:p>
            <w:pPr>
              <w:spacing w:after="0"/>
              <w:rPr>
                <w:sz w:val="22"/>
                <w:szCs w:val="22"/>
                <w:color w:val="auto"/>
              </w:rPr>
            </w:pPr>
          </w:p>
        </w:tc>
      </w:tr>
      <w:tr>
        <w:trPr>
          <w:trHeight w:val="56"/>
        </w:trPr>
        <w:tc>
          <w:tcPr>
            <w:tcW w:w="1540" w:type="dxa"/>
            <w:vAlign w:val="bottom"/>
            <w:tcBorders>
              <w:left w:val="single" w:sz="8" w:color="auto"/>
              <w:bottom w:val="single" w:sz="8" w:color="auto"/>
            </w:tcBorders>
          </w:tcPr>
          <w:p>
            <w:pPr>
              <w:spacing w:after="0"/>
              <w:rPr>
                <w:sz w:val="4"/>
                <w:szCs w:val="4"/>
                <w:color w:val="auto"/>
              </w:rPr>
            </w:pPr>
          </w:p>
        </w:tc>
        <w:tc>
          <w:tcPr>
            <w:tcW w:w="1360" w:type="dxa"/>
            <w:vAlign w:val="bottom"/>
            <w:tcBorders>
              <w:bottom w:val="single" w:sz="8" w:color="auto"/>
            </w:tcBorders>
          </w:tcPr>
          <w:p>
            <w:pPr>
              <w:spacing w:after="0"/>
              <w:rPr>
                <w:sz w:val="4"/>
                <w:szCs w:val="4"/>
                <w:color w:val="auto"/>
              </w:rPr>
            </w:pPr>
          </w:p>
        </w:tc>
        <w:tc>
          <w:tcPr>
            <w:tcW w:w="1180" w:type="dxa"/>
            <w:vAlign w:val="bottom"/>
            <w:tcBorders>
              <w:bottom w:val="single" w:sz="8" w:color="auto"/>
              <w:right w:val="single" w:sz="8" w:color="auto"/>
            </w:tcBorders>
          </w:tcPr>
          <w:p>
            <w:pPr>
              <w:spacing w:after="0"/>
              <w:rPr>
                <w:sz w:val="4"/>
                <w:szCs w:val="4"/>
                <w:color w:val="auto"/>
              </w:rPr>
            </w:pPr>
          </w:p>
        </w:tc>
      </w:tr>
    </w:tbl>
    <w:p>
      <w:pPr>
        <w:spacing w:after="0" w:line="269" w:lineRule="exact"/>
        <w:rPr>
          <w:sz w:val="20"/>
          <w:szCs w:val="20"/>
          <w:color w:val="auto"/>
        </w:rPr>
      </w:pPr>
    </w:p>
    <w:p>
      <w:pPr>
        <w:jc w:val="both"/>
        <w:spacing w:after="0" w:line="311" w:lineRule="auto"/>
        <w:rPr>
          <w:sz w:val="20"/>
          <w:szCs w:val="20"/>
          <w:color w:val="auto"/>
        </w:rPr>
      </w:pPr>
      <w:r>
        <w:rPr>
          <w:rFonts w:ascii="Times New Roman" w:cs="Times New Roman" w:eastAsia="Times New Roman" w:hAnsi="Times New Roman"/>
          <w:sz w:val="16"/>
          <w:szCs w:val="16"/>
          <w:color w:val="auto"/>
        </w:rPr>
        <w:t>Correlación del CP1 de la morfología corporal y del CP1 de la morfometría del corazón de cuatro poblaciones de lagartijas que habitan en un gradiente altitudinal (Fuente: Ruiz, 2010).</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right="2280"/>
        <w:spacing w:after="0" w:line="381" w:lineRule="auto"/>
        <w:rPr>
          <w:sz w:val="20"/>
          <w:szCs w:val="20"/>
          <w:color w:val="auto"/>
        </w:rPr>
      </w:pPr>
      <w:r>
        <w:rPr>
          <w:rFonts w:ascii="Times New Roman" w:cs="Times New Roman" w:eastAsia="Times New Roman" w:hAnsi="Times New Roman"/>
          <w:sz w:val="20"/>
          <w:szCs w:val="20"/>
          <w:i w:val="1"/>
          <w:iCs w:val="1"/>
          <w:color w:val="auto"/>
        </w:rPr>
        <w:t>Morfometría corporal y morfometría del corazón (conjunta) en diferentes altitudes y con respecto al modo reproductor</w:t>
      </w:r>
    </w:p>
    <w:p>
      <w:pPr>
        <w:spacing w:after="0" w:line="230" w:lineRule="exact"/>
        <w:rPr>
          <w:sz w:val="20"/>
          <w:szCs w:val="20"/>
          <w:color w:val="auto"/>
        </w:rPr>
      </w:pPr>
    </w:p>
    <w:p>
      <w:pPr>
        <w:jc w:val="both"/>
        <w:spacing w:after="0" w:line="338" w:lineRule="auto"/>
        <w:rPr>
          <w:sz w:val="20"/>
          <w:szCs w:val="20"/>
          <w:color w:val="auto"/>
        </w:rPr>
      </w:pPr>
      <w:r>
        <w:rPr>
          <w:rFonts w:ascii="Times New Roman" w:cs="Times New Roman" w:eastAsia="Times New Roman" w:hAnsi="Times New Roman"/>
          <w:sz w:val="20"/>
          <w:szCs w:val="20"/>
          <w:color w:val="auto"/>
        </w:rPr>
        <w:t xml:space="preserve">Para el caso de </w:t>
      </w:r>
      <w:r>
        <w:rPr>
          <w:rFonts w:ascii="Times New Roman" w:cs="Times New Roman" w:eastAsia="Times New Roman" w:hAnsi="Times New Roman"/>
          <w:sz w:val="20"/>
          <w:szCs w:val="20"/>
          <w:i w:val="1"/>
          <w:iCs w:val="1"/>
          <w:color w:val="auto"/>
        </w:rPr>
        <w:t>S. aeneus</w:t>
      </w:r>
      <w:r>
        <w:rPr>
          <w:rFonts w:ascii="Times New Roman" w:cs="Times New Roman" w:eastAsia="Times New Roman" w:hAnsi="Times New Roman"/>
          <w:sz w:val="20"/>
          <w:szCs w:val="20"/>
          <w:color w:val="auto"/>
        </w:rPr>
        <w:t>, esta especie ovípara muestra diferencias significativas para el CP1, integrado por todas las variables, únicamente en relación con la altitud (</w:t>
      </w:r>
      <w:r>
        <w:rPr>
          <w:rFonts w:ascii="Times New Roman" w:cs="Times New Roman" w:eastAsia="Times New Roman" w:hAnsi="Times New Roman"/>
          <w:sz w:val="20"/>
          <w:szCs w:val="20"/>
          <w:i w:val="1"/>
          <w:iCs w:val="1"/>
          <w:color w:val="auto"/>
        </w:rPr>
        <w:t>t</w:t>
      </w:r>
      <w:r>
        <w:rPr>
          <w:rFonts w:ascii="Times New Roman" w:cs="Times New Roman" w:eastAsia="Times New Roman" w:hAnsi="Times New Roman"/>
          <w:sz w:val="20"/>
          <w:szCs w:val="20"/>
          <w:color w:val="auto"/>
        </w:rPr>
        <w:t xml:space="preserve"> = 8.14, </w:t>
      </w:r>
      <w:r>
        <w:rPr>
          <w:rFonts w:ascii="Times New Roman" w:cs="Times New Roman" w:eastAsia="Times New Roman" w:hAnsi="Times New Roman"/>
          <w:sz w:val="20"/>
          <w:szCs w:val="20"/>
          <w:i w:val="1"/>
          <w:iCs w:val="1"/>
          <w:color w:val="auto"/>
        </w:rPr>
        <w:t xml:space="preserve">p </w:t>
      </w:r>
      <w:r>
        <w:rPr>
          <w:rFonts w:ascii="Times New Roman" w:cs="Times New Roman" w:eastAsia="Times New Roman" w:hAnsi="Times New Roman"/>
          <w:sz w:val="20"/>
          <w:szCs w:val="20"/>
          <w:color w:val="auto"/>
        </w:rPr>
        <w:t>= 1.08E</w:t>
      </w:r>
      <w:r>
        <w:rPr>
          <w:rFonts w:ascii="Times New Roman" w:cs="Times New Roman" w:eastAsia="Times New Roman" w:hAnsi="Times New Roman"/>
          <w:sz w:val="23"/>
          <w:szCs w:val="23"/>
          <w:color w:val="auto"/>
          <w:vertAlign w:val="superscript"/>
        </w:rPr>
        <w:t>-9</w:t>
      </w:r>
      <w:r>
        <w:rPr>
          <w:rFonts w:ascii="Times New Roman" w:cs="Times New Roman" w:eastAsia="Times New Roman" w:hAnsi="Times New Roman"/>
          <w:sz w:val="20"/>
          <w:szCs w:val="20"/>
          <w:color w:val="auto"/>
        </w:rPr>
        <w:t>), pero no para el sexo. Si se colocan los valores del CP1 de morfología y</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corazón, en la figura 10 se observa que, para los organismos de una de las especies</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280"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124" w:name="page125"/>
    <w:bookmarkEnd w:id="124"/>
    <w:p>
      <w:pPr>
        <w:spacing w:after="0"/>
        <w:tabs>
          <w:tab w:leader="none" w:pos="2100" w:val="left"/>
          <w:tab w:leader="none" w:pos="2960" w:val="left"/>
          <w:tab w:leader="none" w:pos="4120" w:val="left"/>
        </w:tabs>
        <w:rPr>
          <w:sz w:val="20"/>
          <w:szCs w:val="20"/>
          <w:color w:val="auto"/>
        </w:rPr>
      </w:pPr>
      <w:r>
        <w:rPr>
          <w:rFonts w:ascii="Arial Narrow" w:cs="Arial Narrow" w:eastAsia="Arial Narrow" w:hAnsi="Arial Narrow"/>
          <w:sz w:val="16"/>
          <w:szCs w:val="16"/>
          <w:color w:val="auto"/>
        </w:rPr>
        <w:t>124</w:t>
      </w:r>
      <w:r>
        <w:rPr>
          <w:sz w:val="20"/>
          <w:szCs w:val="20"/>
          <w:color w:val="auto"/>
        </w:rPr>
        <w:tab/>
      </w:r>
      <w:r>
        <w:rPr>
          <w:rFonts w:ascii="Arial Narrow" w:cs="Arial Narrow" w:eastAsia="Arial Narrow" w:hAnsi="Arial Narrow"/>
          <w:sz w:val="11"/>
          <w:szCs w:val="11"/>
          <w:color w:val="auto"/>
        </w:rPr>
        <w:t>ruiz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valencia</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1858645</wp:posOffset>
                </wp:positionH>
                <wp:positionV relativeFrom="paragraph">
                  <wp:posOffset>-76835</wp:posOffset>
                </wp:positionV>
                <wp:extent cx="0" cy="88900"/>
                <wp:wrapNone/>
                <wp:docPr id="292" name="Shape 29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92" o:spid="_x0000_s131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6.35pt,-6.0499pt" to="146.3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2602230</wp:posOffset>
                </wp:positionH>
                <wp:positionV relativeFrom="paragraph">
                  <wp:posOffset>-76835</wp:posOffset>
                </wp:positionV>
                <wp:extent cx="0" cy="88900"/>
                <wp:wrapNone/>
                <wp:docPr id="293" name="Shape 29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93" o:spid="_x0000_s131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4.9pt,-6.0499pt" to="204.9pt,0.95pt" o:allowincell="f" strokecolor="#000000" strokeweight="0.4pt"/>
            </w:pict>
          </mc:Fallback>
        </mc:AlternateContent>
      </w:r>
    </w:p>
    <w:p>
      <w:pPr>
        <w:spacing w:after="0" w:line="347" w:lineRule="exact"/>
        <w:rPr>
          <w:sz w:val="20"/>
          <w:szCs w:val="20"/>
          <w:color w:val="auto"/>
        </w:rPr>
      </w:pPr>
    </w:p>
    <w:p>
      <w:pPr>
        <w:jc w:val="both"/>
        <w:ind w:right="20"/>
        <w:spacing w:after="0" w:line="303" w:lineRule="auto"/>
        <w:rPr>
          <w:sz w:val="20"/>
          <w:szCs w:val="20"/>
          <w:color w:val="auto"/>
        </w:rPr>
      </w:pPr>
      <w:r>
        <w:rPr>
          <w:rFonts w:ascii="Times New Roman" w:cs="Times New Roman" w:eastAsia="Times New Roman" w:hAnsi="Times New Roman"/>
          <w:sz w:val="22"/>
          <w:szCs w:val="22"/>
          <w:color w:val="auto"/>
        </w:rPr>
        <w:t>ovíparas que habita a mayor altitud, la morfometría del corazón tiende a ser de gran importancia, no las variables morfológicas, que tienen menor relevancia; mientras que en los organismos de la misma especie que habitan a una altitud más baja (2 645 m) ocurre lo contrario.</w:t>
      </w:r>
    </w:p>
    <w:p>
      <w:pPr>
        <w:spacing w:after="0" w:line="2" w:lineRule="exact"/>
        <w:rPr>
          <w:sz w:val="20"/>
          <w:szCs w:val="20"/>
          <w:color w:val="auto"/>
        </w:rPr>
      </w:pPr>
    </w:p>
    <w:p>
      <w:pPr>
        <w:jc w:val="both"/>
        <w:ind w:right="20" w:firstLine="360"/>
        <w:spacing w:after="0" w:line="325" w:lineRule="auto"/>
        <w:rPr>
          <w:sz w:val="20"/>
          <w:szCs w:val="20"/>
          <w:color w:val="auto"/>
        </w:rPr>
      </w:pPr>
      <w:r>
        <w:rPr>
          <w:rFonts w:ascii="Times New Roman" w:cs="Times New Roman" w:eastAsia="Times New Roman" w:hAnsi="Times New Roman"/>
          <w:sz w:val="21"/>
          <w:szCs w:val="21"/>
          <w:color w:val="auto"/>
        </w:rPr>
        <w:t xml:space="preserve">En cuanto a </w:t>
      </w:r>
      <w:r>
        <w:rPr>
          <w:rFonts w:ascii="Times New Roman" w:cs="Times New Roman" w:eastAsia="Times New Roman" w:hAnsi="Times New Roman"/>
          <w:sz w:val="21"/>
          <w:szCs w:val="21"/>
          <w:i w:val="1"/>
          <w:iCs w:val="1"/>
          <w:color w:val="auto"/>
        </w:rPr>
        <w:t>S. bicanthalis</w:t>
      </w:r>
      <w:r>
        <w:rPr>
          <w:rFonts w:ascii="Times New Roman" w:cs="Times New Roman" w:eastAsia="Times New Roman" w:hAnsi="Times New Roman"/>
          <w:sz w:val="21"/>
          <w:szCs w:val="21"/>
          <w:color w:val="auto"/>
        </w:rPr>
        <w:t>, especie vivípara, los resultados fueron similares, ya que se encontraron diferencias significativas entre altitudes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 -3.435,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 0.0017); sin embargo, para esta especie la variación se presentó de manera inversa, pues, al comparar la población encontrada a 4 200 msnm con una que habita a 2 857 msnm, las variables del corazón son de menor jerarquía con respecto a las morfológicas conforme se asciende en altitud, como en la figura 11 se muestra.</w:t>
      </w:r>
    </w:p>
    <w:p>
      <w:pPr>
        <w:spacing w:after="0" w:line="348" w:lineRule="exact"/>
        <w:rPr>
          <w:sz w:val="20"/>
          <w:szCs w:val="20"/>
          <w:color w:val="auto"/>
        </w:rPr>
      </w:pPr>
    </w:p>
    <w:tbl>
      <w:tblPr>
        <w:tblLayout w:type="fixed"/>
        <w:tblInd w:w="0" w:type="dxa"/>
        <w:tblCellMar>
          <w:top w:w="0" w:type="dxa"/>
          <w:left w:w="0" w:type="dxa"/>
          <w:bottom w:w="0" w:type="dxa"/>
          <w:right w:w="0" w:type="dxa"/>
        </w:tblCellMar>
      </w:tblPr>
      <w:tr>
        <w:trPr>
          <w:trHeight w:val="225"/>
        </w:trPr>
        <w:tc>
          <w:tcPr>
            <w:tcW w:w="320" w:type="dxa"/>
            <w:vAlign w:val="bottom"/>
          </w:tcPr>
          <w:p>
            <w:pPr>
              <w:spacing w:after="0"/>
              <w:rPr>
                <w:sz w:val="19"/>
                <w:szCs w:val="19"/>
                <w:color w:val="auto"/>
              </w:rPr>
            </w:pPr>
          </w:p>
        </w:tc>
        <w:tc>
          <w:tcPr>
            <w:tcW w:w="6900" w:type="dxa"/>
            <w:vAlign w:val="bottom"/>
          </w:tcPr>
          <w:p>
            <w:pPr>
              <w:jc w:val="right"/>
              <w:ind w:right="3219"/>
              <w:spacing w:after="0"/>
              <w:rPr>
                <w:sz w:val="20"/>
                <w:szCs w:val="20"/>
                <w:color w:val="auto"/>
              </w:rPr>
            </w:pPr>
            <w:r>
              <w:rPr>
                <w:rFonts w:ascii="Times New Roman" w:cs="Times New Roman" w:eastAsia="Times New Roman" w:hAnsi="Times New Roman"/>
                <w:sz w:val="18"/>
                <w:szCs w:val="18"/>
                <w:i w:val="1"/>
                <w:iCs w:val="1"/>
                <w:color w:val="auto"/>
              </w:rPr>
              <w:t>Figura 10</w:t>
            </w:r>
          </w:p>
        </w:tc>
        <w:tc>
          <w:tcPr>
            <w:tcW w:w="0" w:type="dxa"/>
            <w:vAlign w:val="bottom"/>
          </w:tcPr>
          <w:p>
            <w:pPr>
              <w:spacing w:after="0"/>
              <w:rPr>
                <w:sz w:val="1"/>
                <w:szCs w:val="1"/>
                <w:color w:val="auto"/>
              </w:rPr>
            </w:pPr>
          </w:p>
        </w:tc>
      </w:tr>
      <w:tr>
        <w:trPr>
          <w:trHeight w:val="142"/>
        </w:trPr>
        <w:tc>
          <w:tcPr>
            <w:tcW w:w="320" w:type="dxa"/>
            <w:vAlign w:val="bottom"/>
            <w:tcBorders>
              <w:bottom w:val="single" w:sz="8" w:color="auto"/>
            </w:tcBorders>
          </w:tcPr>
          <w:p>
            <w:pPr>
              <w:spacing w:after="0"/>
              <w:rPr>
                <w:sz w:val="12"/>
                <w:szCs w:val="12"/>
                <w:color w:val="auto"/>
              </w:rPr>
            </w:pPr>
          </w:p>
        </w:tc>
        <w:tc>
          <w:tcPr>
            <w:tcW w:w="6900" w:type="dxa"/>
            <w:vAlign w:val="bottom"/>
            <w:tcBorders>
              <w:bottom w:val="single" w:sz="8" w:color="auto"/>
            </w:tcBorders>
          </w:tcPr>
          <w:p>
            <w:pPr>
              <w:spacing w:after="0"/>
              <w:rPr>
                <w:sz w:val="12"/>
                <w:szCs w:val="12"/>
                <w:color w:val="auto"/>
              </w:rPr>
            </w:pPr>
          </w:p>
        </w:tc>
        <w:tc>
          <w:tcPr>
            <w:tcW w:w="0" w:type="dxa"/>
            <w:vAlign w:val="bottom"/>
          </w:tcPr>
          <w:p>
            <w:pPr>
              <w:spacing w:after="0"/>
              <w:rPr>
                <w:sz w:val="1"/>
                <w:szCs w:val="1"/>
                <w:color w:val="auto"/>
              </w:rPr>
            </w:pPr>
          </w:p>
        </w:tc>
      </w:tr>
      <w:tr>
        <w:trPr>
          <w:trHeight w:val="319"/>
        </w:trPr>
        <w:tc>
          <w:tcPr>
            <w:tcW w:w="320" w:type="dxa"/>
            <w:vAlign w:val="bottom"/>
          </w:tcPr>
          <w:p>
            <w:pPr>
              <w:spacing w:after="0"/>
              <w:rPr>
                <w:sz w:val="24"/>
                <w:szCs w:val="24"/>
                <w:color w:val="auto"/>
              </w:rPr>
            </w:pPr>
          </w:p>
        </w:tc>
        <w:tc>
          <w:tcPr>
            <w:tcW w:w="6900" w:type="dxa"/>
            <w:vAlign w:val="bottom"/>
          </w:tcPr>
          <w:p>
            <w:pPr>
              <w:jc w:val="right"/>
              <w:ind w:right="6619"/>
              <w:spacing w:after="0"/>
              <w:rPr>
                <w:sz w:val="20"/>
                <w:szCs w:val="20"/>
                <w:color w:val="auto"/>
              </w:rPr>
            </w:pPr>
            <w:r>
              <w:rPr>
                <w:rFonts w:ascii="Times New Roman" w:cs="Times New Roman" w:eastAsia="Times New Roman" w:hAnsi="Times New Roman"/>
                <w:sz w:val="16"/>
                <w:szCs w:val="16"/>
                <w:color w:val="auto"/>
              </w:rPr>
              <w:t>7</w:t>
            </w:r>
          </w:p>
        </w:tc>
        <w:tc>
          <w:tcPr>
            <w:tcW w:w="0" w:type="dxa"/>
            <w:vAlign w:val="bottom"/>
          </w:tcPr>
          <w:p>
            <w:pPr>
              <w:spacing w:after="0"/>
              <w:rPr>
                <w:sz w:val="1"/>
                <w:szCs w:val="1"/>
                <w:color w:val="auto"/>
              </w:rPr>
            </w:pPr>
          </w:p>
        </w:tc>
      </w:tr>
      <w:tr>
        <w:trPr>
          <w:trHeight w:val="680"/>
        </w:trPr>
        <w:tc>
          <w:tcPr>
            <w:tcW w:w="320" w:type="dxa"/>
            <w:vAlign w:val="bottom"/>
            <w:vMerge w:val="restart"/>
            <w:textDirection w:val="btLr"/>
          </w:tcPr>
          <w:p>
            <w:pPr>
              <w:ind w:left="109"/>
              <w:spacing w:after="0"/>
              <w:rPr>
                <w:sz w:val="20"/>
                <w:szCs w:val="20"/>
                <w:color w:val="auto"/>
              </w:rPr>
            </w:pPr>
            <w:r>
              <w:rPr>
                <w:rFonts w:ascii="Times New Roman" w:cs="Times New Roman" w:eastAsia="Times New Roman" w:hAnsi="Times New Roman"/>
                <w:sz w:val="16"/>
                <w:szCs w:val="16"/>
                <w:b w:val="1"/>
                <w:bCs w:val="1"/>
                <w:color w:val="auto"/>
                <w:w w:val="83"/>
              </w:rPr>
              <w:t>yCorazón</w:t>
            </w:r>
          </w:p>
        </w:tc>
        <w:tc>
          <w:tcPr>
            <w:tcW w:w="6900" w:type="dxa"/>
            <w:vAlign w:val="bottom"/>
          </w:tcPr>
          <w:p>
            <w:pPr>
              <w:jc w:val="right"/>
              <w:ind w:right="6619"/>
              <w:spacing w:after="0"/>
              <w:rPr>
                <w:sz w:val="20"/>
                <w:szCs w:val="20"/>
                <w:color w:val="auto"/>
              </w:rPr>
            </w:pPr>
            <w:r>
              <w:rPr>
                <w:rFonts w:ascii="Times New Roman" w:cs="Times New Roman" w:eastAsia="Times New Roman" w:hAnsi="Times New Roman"/>
                <w:sz w:val="16"/>
                <w:szCs w:val="16"/>
                <w:color w:val="auto"/>
              </w:rPr>
              <w:t>5</w:t>
            </w:r>
          </w:p>
        </w:tc>
        <w:tc>
          <w:tcPr>
            <w:tcW w:w="0" w:type="dxa"/>
            <w:vAlign w:val="bottom"/>
          </w:tcPr>
          <w:p>
            <w:pPr>
              <w:spacing w:after="0"/>
              <w:rPr>
                <w:sz w:val="1"/>
                <w:szCs w:val="1"/>
                <w:color w:val="auto"/>
              </w:rPr>
            </w:pPr>
          </w:p>
        </w:tc>
      </w:tr>
      <w:tr>
        <w:trPr>
          <w:trHeight w:val="604"/>
        </w:trPr>
        <w:tc>
          <w:tcPr>
            <w:tcW w:w="320" w:type="dxa"/>
            <w:vAlign w:val="bottom"/>
            <w:vMerge w:val="continue"/>
          </w:tcPr>
          <w:p>
            <w:pPr>
              <w:spacing w:after="0"/>
              <w:rPr>
                <w:sz w:val="24"/>
                <w:szCs w:val="24"/>
                <w:color w:val="auto"/>
              </w:rPr>
            </w:pPr>
          </w:p>
        </w:tc>
        <w:tc>
          <w:tcPr>
            <w:tcW w:w="6900" w:type="dxa"/>
            <w:vAlign w:val="bottom"/>
            <w:vMerge w:val="restart"/>
          </w:tcPr>
          <w:p>
            <w:pPr>
              <w:jc w:val="right"/>
              <w:ind w:right="6619"/>
              <w:spacing w:after="0"/>
              <w:rPr>
                <w:sz w:val="20"/>
                <w:szCs w:val="20"/>
                <w:color w:val="auto"/>
              </w:rPr>
            </w:pPr>
            <w:r>
              <w:rPr>
                <w:rFonts w:ascii="Times New Roman" w:cs="Times New Roman" w:eastAsia="Times New Roman" w:hAnsi="Times New Roman"/>
                <w:sz w:val="16"/>
                <w:szCs w:val="16"/>
                <w:color w:val="auto"/>
              </w:rPr>
              <w:t>3</w:t>
            </w:r>
          </w:p>
        </w:tc>
        <w:tc>
          <w:tcPr>
            <w:tcW w:w="0" w:type="dxa"/>
            <w:vAlign w:val="bottom"/>
          </w:tcPr>
          <w:p>
            <w:pPr>
              <w:spacing w:after="0"/>
              <w:rPr>
                <w:sz w:val="1"/>
                <w:szCs w:val="1"/>
                <w:color w:val="auto"/>
              </w:rPr>
            </w:pPr>
          </w:p>
        </w:tc>
      </w:tr>
      <w:tr>
        <w:trPr>
          <w:trHeight w:val="56"/>
        </w:trPr>
        <w:tc>
          <w:tcPr>
            <w:tcW w:w="320" w:type="dxa"/>
            <w:vAlign w:val="bottom"/>
            <w:vMerge w:val="restart"/>
            <w:textDirection w:val="btLr"/>
          </w:tcPr>
          <w:p>
            <w:pPr>
              <w:ind w:left="109"/>
              <w:spacing w:after="0"/>
              <w:rPr>
                <w:sz w:val="20"/>
                <w:szCs w:val="20"/>
                <w:color w:val="auto"/>
              </w:rPr>
            </w:pPr>
            <w:r>
              <w:rPr>
                <w:rFonts w:ascii="Times New Roman" w:cs="Times New Roman" w:eastAsia="Times New Roman" w:hAnsi="Times New Roman"/>
                <w:sz w:val="16"/>
                <w:szCs w:val="16"/>
                <w:b w:val="1"/>
                <w:bCs w:val="1"/>
                <w:color w:val="auto"/>
                <w:w w:val="91"/>
              </w:rPr>
              <w:t>Morfología</w:t>
            </w:r>
          </w:p>
        </w:tc>
        <w:tc>
          <w:tcPr>
            <w:tcW w:w="690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644"/>
        </w:trPr>
        <w:tc>
          <w:tcPr>
            <w:tcW w:w="320" w:type="dxa"/>
            <w:vAlign w:val="bottom"/>
            <w:vMerge w:val="continue"/>
          </w:tcPr>
          <w:p>
            <w:pPr>
              <w:spacing w:after="0"/>
              <w:rPr>
                <w:sz w:val="24"/>
                <w:szCs w:val="24"/>
                <w:color w:val="auto"/>
              </w:rPr>
            </w:pPr>
          </w:p>
        </w:tc>
        <w:tc>
          <w:tcPr>
            <w:tcW w:w="6900" w:type="dxa"/>
            <w:vAlign w:val="bottom"/>
            <w:vMerge w:val="restart"/>
          </w:tcPr>
          <w:p>
            <w:pPr>
              <w:jc w:val="right"/>
              <w:ind w:right="6619"/>
              <w:spacing w:after="0"/>
              <w:rPr>
                <w:sz w:val="20"/>
                <w:szCs w:val="20"/>
                <w:color w:val="auto"/>
              </w:rPr>
            </w:pPr>
            <w:r>
              <w:rPr>
                <w:rFonts w:ascii="Times New Roman" w:cs="Times New Roman" w:eastAsia="Times New Roman" w:hAnsi="Times New Roman"/>
                <w:sz w:val="16"/>
                <w:szCs w:val="16"/>
                <w:color w:val="auto"/>
              </w:rPr>
              <w:t>1</w:t>
            </w:r>
          </w:p>
        </w:tc>
        <w:tc>
          <w:tcPr>
            <w:tcW w:w="0" w:type="dxa"/>
            <w:vAlign w:val="bottom"/>
          </w:tcPr>
          <w:p>
            <w:pPr>
              <w:spacing w:after="0"/>
              <w:rPr>
                <w:sz w:val="1"/>
                <w:szCs w:val="1"/>
                <w:color w:val="auto"/>
              </w:rPr>
            </w:pPr>
          </w:p>
        </w:tc>
      </w:tr>
      <w:tr>
        <w:trPr>
          <w:trHeight w:val="56"/>
        </w:trPr>
        <w:tc>
          <w:tcPr>
            <w:tcW w:w="320" w:type="dxa"/>
            <w:vAlign w:val="bottom"/>
          </w:tcPr>
          <w:p>
            <w:pPr>
              <w:spacing w:after="0"/>
              <w:rPr>
                <w:sz w:val="4"/>
                <w:szCs w:val="4"/>
                <w:color w:val="auto"/>
              </w:rPr>
            </w:pPr>
          </w:p>
        </w:tc>
        <w:tc>
          <w:tcPr>
            <w:tcW w:w="690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680"/>
        </w:trPr>
        <w:tc>
          <w:tcPr>
            <w:tcW w:w="320" w:type="dxa"/>
            <w:vAlign w:val="bottom"/>
            <w:vMerge w:val="restart"/>
            <w:textDirection w:val="btLr"/>
          </w:tcPr>
          <w:p>
            <w:pPr>
              <w:ind w:left="109"/>
              <w:spacing w:after="0"/>
              <w:rPr>
                <w:sz w:val="20"/>
                <w:szCs w:val="20"/>
                <w:color w:val="auto"/>
              </w:rPr>
            </w:pPr>
            <w:r>
              <w:rPr>
                <w:rFonts w:ascii="Times New Roman" w:cs="Times New Roman" w:eastAsia="Times New Roman" w:hAnsi="Times New Roman"/>
                <w:sz w:val="16"/>
                <w:szCs w:val="16"/>
                <w:b w:val="1"/>
                <w:bCs w:val="1"/>
                <w:color w:val="auto"/>
                <w:w w:val="90"/>
              </w:rPr>
              <w:t>C.P.1</w:t>
            </w:r>
          </w:p>
        </w:tc>
        <w:tc>
          <w:tcPr>
            <w:tcW w:w="6900" w:type="dxa"/>
            <w:vAlign w:val="bottom"/>
          </w:tcPr>
          <w:p>
            <w:pPr>
              <w:jc w:val="right"/>
              <w:ind w:right="6619"/>
              <w:spacing w:after="0"/>
              <w:rPr>
                <w:sz w:val="20"/>
                <w:szCs w:val="20"/>
                <w:color w:val="auto"/>
              </w:rPr>
            </w:pPr>
            <w:r>
              <w:rPr>
                <w:rFonts w:ascii="Times New Roman" w:cs="Times New Roman" w:eastAsia="Times New Roman" w:hAnsi="Times New Roman"/>
                <w:sz w:val="16"/>
                <w:szCs w:val="16"/>
                <w:color w:val="auto"/>
              </w:rPr>
              <w:t>-1</w:t>
            </w:r>
          </w:p>
        </w:tc>
        <w:tc>
          <w:tcPr>
            <w:tcW w:w="0" w:type="dxa"/>
            <w:vAlign w:val="bottom"/>
          </w:tcPr>
          <w:p>
            <w:pPr>
              <w:spacing w:after="0"/>
              <w:rPr>
                <w:sz w:val="1"/>
                <w:szCs w:val="1"/>
                <w:color w:val="auto"/>
              </w:rPr>
            </w:pPr>
          </w:p>
        </w:tc>
      </w:tr>
      <w:tr>
        <w:trPr>
          <w:trHeight w:val="151"/>
        </w:trPr>
        <w:tc>
          <w:tcPr>
            <w:tcW w:w="320" w:type="dxa"/>
            <w:vAlign w:val="bottom"/>
            <w:vMerge w:val="continue"/>
          </w:tcPr>
          <w:p>
            <w:pPr>
              <w:spacing w:after="0"/>
              <w:rPr>
                <w:sz w:val="13"/>
                <w:szCs w:val="13"/>
                <w:color w:val="auto"/>
              </w:rPr>
            </w:pPr>
          </w:p>
        </w:tc>
        <w:tc>
          <w:tcPr>
            <w:tcW w:w="6900" w:type="dxa"/>
            <w:vAlign w:val="bottom"/>
          </w:tcPr>
          <w:p>
            <w:pPr>
              <w:spacing w:after="0"/>
              <w:rPr>
                <w:sz w:val="13"/>
                <w:szCs w:val="13"/>
                <w:color w:val="auto"/>
              </w:rPr>
            </w:pPr>
          </w:p>
        </w:tc>
        <w:tc>
          <w:tcPr>
            <w:tcW w:w="0" w:type="dxa"/>
            <w:vAlign w:val="bottom"/>
          </w:tcPr>
          <w:p>
            <w:pPr>
              <w:spacing w:after="0"/>
              <w:rPr>
                <w:sz w:val="1"/>
                <w:szCs w:val="1"/>
                <w:color w:val="auto"/>
              </w:rPr>
            </w:pPr>
          </w:p>
        </w:tc>
      </w:tr>
      <w:tr>
        <w:trPr>
          <w:trHeight w:val="509"/>
        </w:trPr>
        <w:tc>
          <w:tcPr>
            <w:tcW w:w="320" w:type="dxa"/>
            <w:vAlign w:val="bottom"/>
          </w:tcPr>
          <w:p>
            <w:pPr>
              <w:spacing w:after="0"/>
              <w:rPr>
                <w:sz w:val="24"/>
                <w:szCs w:val="24"/>
                <w:color w:val="auto"/>
              </w:rPr>
            </w:pPr>
          </w:p>
        </w:tc>
        <w:tc>
          <w:tcPr>
            <w:tcW w:w="6900" w:type="dxa"/>
            <w:vAlign w:val="bottom"/>
          </w:tcPr>
          <w:p>
            <w:pPr>
              <w:jc w:val="right"/>
              <w:ind w:right="6619"/>
              <w:spacing w:after="0"/>
              <w:rPr>
                <w:sz w:val="20"/>
                <w:szCs w:val="20"/>
                <w:color w:val="auto"/>
              </w:rPr>
            </w:pPr>
            <w:r>
              <w:rPr>
                <w:rFonts w:ascii="Times New Roman" w:cs="Times New Roman" w:eastAsia="Times New Roman" w:hAnsi="Times New Roman"/>
                <w:sz w:val="16"/>
                <w:szCs w:val="16"/>
                <w:color w:val="auto"/>
              </w:rPr>
              <w:t>-3</w:t>
            </w:r>
          </w:p>
        </w:tc>
        <w:tc>
          <w:tcPr>
            <w:tcW w:w="0" w:type="dxa"/>
            <w:vAlign w:val="bottom"/>
          </w:tcPr>
          <w:p>
            <w:pPr>
              <w:spacing w:after="0"/>
              <w:rPr>
                <w:sz w:val="1"/>
                <w:szCs w:val="1"/>
                <w:color w:val="auto"/>
              </w:rPr>
            </w:pPr>
          </w:p>
        </w:tc>
      </w:tr>
      <w:tr>
        <w:trPr>
          <w:trHeight w:val="680"/>
        </w:trPr>
        <w:tc>
          <w:tcPr>
            <w:tcW w:w="320" w:type="dxa"/>
            <w:vAlign w:val="bottom"/>
          </w:tcPr>
          <w:p>
            <w:pPr>
              <w:spacing w:after="0"/>
              <w:rPr>
                <w:sz w:val="24"/>
                <w:szCs w:val="24"/>
                <w:color w:val="auto"/>
              </w:rPr>
            </w:pPr>
          </w:p>
        </w:tc>
        <w:tc>
          <w:tcPr>
            <w:tcW w:w="6900" w:type="dxa"/>
            <w:vAlign w:val="bottom"/>
          </w:tcPr>
          <w:p>
            <w:pPr>
              <w:jc w:val="right"/>
              <w:ind w:right="6619"/>
              <w:spacing w:after="0"/>
              <w:rPr>
                <w:sz w:val="20"/>
                <w:szCs w:val="20"/>
                <w:color w:val="auto"/>
              </w:rPr>
            </w:pPr>
            <w:r>
              <w:rPr>
                <w:rFonts w:ascii="Times New Roman" w:cs="Times New Roman" w:eastAsia="Times New Roman" w:hAnsi="Times New Roman"/>
                <w:sz w:val="16"/>
                <w:szCs w:val="16"/>
                <w:color w:val="auto"/>
              </w:rPr>
              <w:t>-5</w:t>
            </w:r>
          </w:p>
        </w:tc>
        <w:tc>
          <w:tcPr>
            <w:tcW w:w="0" w:type="dxa"/>
            <w:vAlign w:val="bottom"/>
          </w:tcPr>
          <w:p>
            <w:pPr>
              <w:spacing w:after="0"/>
              <w:rPr>
                <w:sz w:val="1"/>
                <w:szCs w:val="1"/>
                <w:color w:val="auto"/>
              </w:rPr>
            </w:pPr>
          </w:p>
        </w:tc>
      </w:tr>
    </w:tbl>
    <w:p>
      <w:pPr>
        <w:spacing w:after="0" w:line="92"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-1270</wp:posOffset>
            </wp:positionH>
            <wp:positionV relativeFrom="paragraph">
              <wp:posOffset>-2792730</wp:posOffset>
            </wp:positionV>
            <wp:extent cx="4580890" cy="3368040"/>
            <wp:wrapNone/>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60">
                      <a:extLst>
                        <a:ext uri="{28A0092B-C50C-407E-A947-70E740481C1C}"/>
                      </a:extLst>
                    </a:blip>
                    <a:srcRect/>
                    <a:stretch>
                      <a:fillRect/>
                    </a:stretch>
                  </pic:blipFill>
                  <pic:spPr bwMode="auto">
                    <a:xfrm>
                      <a:off x="0" y="0"/>
                      <a:ext cx="4580890" cy="3368040"/>
                    </a:xfrm>
                    <a:prstGeom prst="rect">
                      <a:avLst/>
                    </a:prstGeom>
                    <a:noFill/>
                  </pic:spPr>
                </pic:pic>
              </a:graphicData>
            </a:graphic>
          </wp:anchor>
        </w:drawing>
      </w:r>
    </w:p>
    <w:tbl>
      <w:tblPr>
        <w:tblLayout w:type="fixed"/>
        <w:tblInd w:w="1900" w:type="dxa"/>
        <w:tblCellMar>
          <w:top w:w="0" w:type="dxa"/>
          <w:left w:w="0" w:type="dxa"/>
          <w:bottom w:w="0" w:type="dxa"/>
          <w:right w:w="0" w:type="dxa"/>
        </w:tblCellMar>
      </w:tblPr>
      <w:tr>
        <w:trPr>
          <w:trHeight w:val="192"/>
        </w:trPr>
        <w:tc>
          <w:tcPr>
            <w:tcW w:w="1240" w:type="dxa"/>
            <w:vAlign w:val="bottom"/>
          </w:tcPr>
          <w:p>
            <w:pPr>
              <w:jc w:val="center"/>
              <w:ind w:right="380"/>
              <w:spacing w:after="0"/>
              <w:rPr>
                <w:sz w:val="20"/>
                <w:szCs w:val="20"/>
                <w:color w:val="auto"/>
              </w:rPr>
            </w:pPr>
            <w:r>
              <w:rPr>
                <w:rFonts w:ascii="Times New Roman" w:cs="Times New Roman" w:eastAsia="Times New Roman" w:hAnsi="Times New Roman"/>
                <w:sz w:val="16"/>
                <w:szCs w:val="16"/>
                <w:b w:val="1"/>
                <w:bCs w:val="1"/>
                <w:color w:val="auto"/>
                <w:w w:val="94"/>
              </w:rPr>
              <w:t>Milpa Alta</w:t>
            </w:r>
          </w:p>
        </w:tc>
        <w:tc>
          <w:tcPr>
            <w:tcW w:w="2620" w:type="dxa"/>
            <w:vAlign w:val="bottom"/>
          </w:tcPr>
          <w:p>
            <w:pPr>
              <w:jc w:val="center"/>
              <w:ind w:left="1760"/>
              <w:spacing w:after="0"/>
              <w:rPr>
                <w:sz w:val="20"/>
                <w:szCs w:val="20"/>
                <w:color w:val="auto"/>
              </w:rPr>
            </w:pPr>
            <w:r>
              <w:rPr>
                <w:rFonts w:ascii="Times New Roman" w:cs="Times New Roman" w:eastAsia="Times New Roman" w:hAnsi="Times New Roman"/>
                <w:sz w:val="16"/>
                <w:szCs w:val="16"/>
                <w:b w:val="1"/>
                <w:bCs w:val="1"/>
                <w:color w:val="auto"/>
                <w:w w:val="91"/>
              </w:rPr>
              <w:t>El Mapa</w:t>
            </w:r>
          </w:p>
        </w:tc>
      </w:tr>
      <w:tr>
        <w:trPr>
          <w:trHeight w:val="220"/>
        </w:trPr>
        <w:tc>
          <w:tcPr>
            <w:tcW w:w="1240" w:type="dxa"/>
            <w:vAlign w:val="bottom"/>
          </w:tcPr>
          <w:p>
            <w:pPr>
              <w:jc w:val="center"/>
              <w:ind w:right="380"/>
              <w:spacing w:after="0"/>
              <w:rPr>
                <w:sz w:val="20"/>
                <w:szCs w:val="20"/>
                <w:color w:val="auto"/>
              </w:rPr>
            </w:pPr>
            <w:r>
              <w:rPr>
                <w:rFonts w:ascii="Times New Roman" w:cs="Times New Roman" w:eastAsia="Times New Roman" w:hAnsi="Times New Roman"/>
                <w:sz w:val="16"/>
                <w:szCs w:val="16"/>
                <w:b w:val="1"/>
                <w:bCs w:val="1"/>
                <w:color w:val="auto"/>
              </w:rPr>
              <w:t>2645 msnm</w:t>
            </w:r>
          </w:p>
        </w:tc>
        <w:tc>
          <w:tcPr>
            <w:tcW w:w="2620" w:type="dxa"/>
            <w:vAlign w:val="bottom"/>
          </w:tcPr>
          <w:p>
            <w:pPr>
              <w:jc w:val="center"/>
              <w:ind w:left="1760"/>
              <w:spacing w:after="0"/>
              <w:rPr>
                <w:sz w:val="20"/>
                <w:szCs w:val="20"/>
                <w:color w:val="auto"/>
              </w:rPr>
            </w:pPr>
            <w:r>
              <w:rPr>
                <w:rFonts w:ascii="Times New Roman" w:cs="Times New Roman" w:eastAsia="Times New Roman" w:hAnsi="Times New Roman"/>
                <w:sz w:val="16"/>
                <w:szCs w:val="16"/>
                <w:b w:val="1"/>
                <w:bCs w:val="1"/>
                <w:color w:val="auto"/>
              </w:rPr>
              <w:t>3245 msnm</w:t>
            </w:r>
          </w:p>
        </w:tc>
      </w:tr>
      <w:tr>
        <w:trPr>
          <w:trHeight w:val="341"/>
        </w:trPr>
        <w:tc>
          <w:tcPr>
            <w:tcW w:w="1240" w:type="dxa"/>
            <w:vAlign w:val="bottom"/>
          </w:tcPr>
          <w:p>
            <w:pPr>
              <w:spacing w:after="0"/>
              <w:rPr>
                <w:sz w:val="24"/>
                <w:szCs w:val="24"/>
                <w:color w:val="auto"/>
              </w:rPr>
            </w:pPr>
          </w:p>
        </w:tc>
        <w:tc>
          <w:tcPr>
            <w:tcW w:w="2620" w:type="dxa"/>
            <w:vAlign w:val="bottom"/>
          </w:tcPr>
          <w:p>
            <w:pPr>
              <w:ind w:left="440"/>
              <w:spacing w:after="0"/>
              <w:rPr>
                <w:sz w:val="20"/>
                <w:szCs w:val="20"/>
                <w:color w:val="auto"/>
              </w:rPr>
            </w:pPr>
            <w:r>
              <w:rPr>
                <w:rFonts w:ascii="Times New Roman" w:cs="Times New Roman" w:eastAsia="Times New Roman" w:hAnsi="Times New Roman"/>
                <w:sz w:val="16"/>
                <w:szCs w:val="16"/>
                <w:b w:val="1"/>
                <w:bCs w:val="1"/>
                <w:color w:val="auto"/>
              </w:rPr>
              <w:t>Altitud</w:t>
            </w:r>
          </w:p>
        </w:tc>
      </w:tr>
    </w:tbl>
    <w:p>
      <w:pPr>
        <w:spacing w:after="0" w:line="245" w:lineRule="exact"/>
        <w:rPr>
          <w:sz w:val="20"/>
          <w:szCs w:val="20"/>
          <w:color w:val="auto"/>
        </w:rPr>
      </w:pPr>
    </w:p>
    <w:p>
      <w:pPr>
        <w:ind w:right="20"/>
        <w:spacing w:after="0" w:line="311" w:lineRule="auto"/>
        <w:rPr>
          <w:sz w:val="20"/>
          <w:szCs w:val="20"/>
          <w:color w:val="auto"/>
        </w:rPr>
      </w:pPr>
      <w:r>
        <w:rPr>
          <w:rFonts w:ascii="Times New Roman" w:cs="Times New Roman" w:eastAsia="Times New Roman" w:hAnsi="Times New Roman"/>
          <w:sz w:val="16"/>
          <w:szCs w:val="16"/>
          <w:color w:val="auto"/>
        </w:rPr>
        <w:t xml:space="preserve">Prueba de </w:t>
      </w:r>
      <w:r>
        <w:rPr>
          <w:rFonts w:ascii="Times New Roman" w:cs="Times New Roman" w:eastAsia="Times New Roman" w:hAnsi="Times New Roman"/>
          <w:sz w:val="16"/>
          <w:szCs w:val="16"/>
          <w:i w:val="1"/>
          <w:iCs w:val="1"/>
          <w:color w:val="auto"/>
        </w:rPr>
        <w:t>t</w:t>
      </w:r>
      <w:r>
        <w:rPr>
          <w:rFonts w:ascii="Times New Roman" w:cs="Times New Roman" w:eastAsia="Times New Roman" w:hAnsi="Times New Roman"/>
          <w:sz w:val="16"/>
          <w:szCs w:val="16"/>
          <w:color w:val="auto"/>
        </w:rPr>
        <w:t xml:space="preserve"> para el CP1 de la morfología y corazón de una especie de lagartija ovípara </w:t>
      </w:r>
      <w:r>
        <w:rPr>
          <w:rFonts w:ascii="Times New Roman" w:cs="Times New Roman" w:eastAsia="Times New Roman" w:hAnsi="Times New Roman"/>
          <w:sz w:val="16"/>
          <w:szCs w:val="16"/>
          <w:i w:val="1"/>
          <w:iCs w:val="1"/>
          <w:color w:val="auto"/>
        </w:rPr>
        <w:t>S. aeneus</w:t>
      </w:r>
      <w:r>
        <w:rPr>
          <w:rFonts w:ascii="Times New Roman" w:cs="Times New Roman" w:eastAsia="Times New Roman" w:hAnsi="Times New Roman"/>
          <w:sz w:val="16"/>
          <w:szCs w:val="16"/>
          <w:color w:val="auto"/>
        </w:rPr>
        <w:t xml:space="preserve"> que habita en diferentes altitudes (Fuente: Ruiz, 2010).</w:t>
      </w:r>
    </w:p>
    <w:p>
      <w:pPr>
        <w:sectPr>
          <w:pgSz w:w="9360" w:h="13039" w:orient="portrait"/>
          <w:cols w:equalWidth="0" w:num="1">
            <w:col w:w="7220"/>
          </w:cols>
          <w:pgMar w:left="1080" w:top="906" w:right="1060" w:bottom="437" w:gutter="0" w:footer="0" w:header="0"/>
        </w:sectPr>
      </w:pPr>
    </w:p>
    <w:p>
      <w:pPr>
        <w:spacing w:after="0" w:line="200" w:lineRule="exact"/>
        <w:rPr>
          <w:sz w:val="20"/>
          <w:szCs w:val="20"/>
          <w:color w:val="auto"/>
        </w:rPr>
      </w:pPr>
    </w:p>
    <w:p>
      <w:pPr>
        <w:spacing w:after="0" w:line="382"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295" name="Shape 29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95" o:spid="_x0000_s132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296" name="Shape 29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96" o:spid="_x0000_s132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297" name="Shape 29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97" o:spid="_x0000_s132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25" w:name="page126"/>
    <w:bookmarkEnd w:id="125"/>
    <w:tbl>
      <w:tblPr>
        <w:tblLayout w:type="fixed"/>
        <w:tblInd w:w="1180" w:type="dxa"/>
        <w:tblCellMar>
          <w:top w:w="0" w:type="dxa"/>
          <w:left w:w="0" w:type="dxa"/>
          <w:bottom w:w="0" w:type="dxa"/>
          <w:right w:w="0" w:type="dxa"/>
        </w:tblCellMar>
      </w:tblPr>
      <w:tr>
        <w:trPr>
          <w:trHeight w:val="223"/>
        </w:trPr>
        <w:tc>
          <w:tcPr>
            <w:tcW w:w="5320" w:type="dxa"/>
            <w:vAlign w:val="bottom"/>
          </w:tcPr>
          <w:p>
            <w:pPr>
              <w:spacing w:after="0"/>
              <w:rPr>
                <w:sz w:val="20"/>
                <w:szCs w:val="20"/>
                <w:color w:val="auto"/>
              </w:rPr>
            </w:pPr>
            <w:r>
              <w:rPr>
                <w:rFonts w:ascii="Arial Narrow" w:cs="Arial Narrow" w:eastAsia="Arial Narrow" w:hAnsi="Arial Narrow"/>
                <w:sz w:val="11"/>
                <w:szCs w:val="11"/>
                <w:color w:val="auto"/>
              </w:rPr>
              <w:t>morfometría externa del corazón de dos especies hermanas del grupo scalaris</w:t>
            </w:r>
            <w:r>
              <w:rPr>
                <w:rFonts w:ascii="Arial Narrow" w:cs="Arial Narrow" w:eastAsia="Arial Narrow" w:hAnsi="Arial Narrow"/>
                <w:sz w:val="16"/>
                <w:szCs w:val="16"/>
                <w:color w:val="auto"/>
              </w:rPr>
              <w:t>...</w:t>
            </w:r>
          </w:p>
        </w:tc>
        <w:tc>
          <w:tcPr>
            <w:tcW w:w="700" w:type="dxa"/>
            <w:vAlign w:val="bottom"/>
          </w:tcPr>
          <w:p>
            <w:pPr>
              <w:jc w:val="right"/>
              <w:spacing w:after="0"/>
              <w:rPr>
                <w:sz w:val="20"/>
                <w:szCs w:val="20"/>
                <w:color w:val="auto"/>
              </w:rPr>
            </w:pPr>
            <w:r>
              <w:rPr>
                <w:rFonts w:ascii="Arial Narrow" w:cs="Arial Narrow" w:eastAsia="Arial Narrow" w:hAnsi="Arial Narrow"/>
                <w:sz w:val="16"/>
                <w:szCs w:val="16"/>
                <w:color w:val="auto"/>
              </w:rPr>
              <w:t>125</w:t>
            </w:r>
          </w:p>
        </w:tc>
      </w:tr>
    </w:tbl>
    <w:p>
      <w:pPr>
        <w:spacing w:after="0" w:line="200" w:lineRule="exact"/>
        <w:rPr>
          <w:sz w:val="20"/>
          <w:szCs w:val="20"/>
          <w:color w:val="auto"/>
        </w:rPr>
      </w:pPr>
    </w:p>
    <w:p>
      <w:pPr>
        <w:spacing w:after="0" w:line="317" w:lineRule="exact"/>
        <w:rPr>
          <w:sz w:val="20"/>
          <w:szCs w:val="20"/>
          <w:color w:val="auto"/>
        </w:rPr>
      </w:pPr>
    </w:p>
    <w:p>
      <w:pPr>
        <w:ind w:left="3260"/>
        <w:spacing w:after="0"/>
        <w:rPr>
          <w:sz w:val="20"/>
          <w:szCs w:val="20"/>
          <w:color w:val="auto"/>
        </w:rPr>
      </w:pPr>
      <w:r>
        <w:rPr>
          <w:rFonts w:ascii="Times New Roman" w:cs="Times New Roman" w:eastAsia="Times New Roman" w:hAnsi="Times New Roman"/>
          <w:sz w:val="18"/>
          <w:szCs w:val="18"/>
          <w:i w:val="1"/>
          <w:iCs w:val="1"/>
          <w:color w:val="auto"/>
        </w:rPr>
        <w:t>Figura 11</w:t>
      </w:r>
    </w:p>
    <w:p>
      <w:pPr>
        <w:spacing w:after="0" w:line="272"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99060</wp:posOffset>
            </wp:positionV>
            <wp:extent cx="4578985" cy="3399790"/>
            <wp:wrapNone/>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61">
                      <a:extLst>
                        <a:ext uri="{28A0092B-C50C-407E-A947-70E740481C1C}"/>
                      </a:extLst>
                    </a:blip>
                    <a:srcRect/>
                    <a:stretch>
                      <a:fillRect/>
                    </a:stretch>
                  </pic:blipFill>
                  <pic:spPr bwMode="auto">
                    <a:xfrm>
                      <a:off x="0" y="0"/>
                      <a:ext cx="4578985" cy="3399790"/>
                    </a:xfrm>
                    <a:prstGeom prst="rect">
                      <a:avLst/>
                    </a:prstGeom>
                    <a:noFill/>
                  </pic:spPr>
                </pic:pic>
              </a:graphicData>
            </a:graphic>
          </wp:anchor>
        </w:drawing>
      </w:r>
    </w:p>
    <w:tbl>
      <w:tblPr>
        <w:tblLayout w:type="fixed"/>
        <w:tblInd w:w="100" w:type="dxa"/>
        <w:tblCellMar>
          <w:top w:w="0" w:type="dxa"/>
          <w:left w:w="0" w:type="dxa"/>
          <w:bottom w:w="0" w:type="dxa"/>
          <w:right w:w="0" w:type="dxa"/>
        </w:tblCellMar>
      </w:tblPr>
      <w:tr>
        <w:trPr>
          <w:trHeight w:val="203"/>
        </w:trPr>
        <w:tc>
          <w:tcPr>
            <w:tcW w:w="200" w:type="dxa"/>
            <w:vAlign w:val="bottom"/>
          </w:tcPr>
          <w:p>
            <w:pPr>
              <w:spacing w:after="0"/>
              <w:rPr>
                <w:sz w:val="17"/>
                <w:szCs w:val="17"/>
                <w:color w:val="auto"/>
              </w:rPr>
            </w:pPr>
          </w:p>
        </w:tc>
        <w:tc>
          <w:tcPr>
            <w:tcW w:w="220" w:type="dxa"/>
            <w:vAlign w:val="bottom"/>
          </w:tcPr>
          <w:p>
            <w:pPr>
              <w:jc w:val="right"/>
              <w:spacing w:after="0"/>
              <w:rPr>
                <w:sz w:val="20"/>
                <w:szCs w:val="20"/>
                <w:color w:val="auto"/>
              </w:rPr>
            </w:pPr>
            <w:r>
              <w:rPr>
                <w:rFonts w:ascii="Times New Roman" w:cs="Times New Roman" w:eastAsia="Times New Roman" w:hAnsi="Times New Roman"/>
                <w:sz w:val="16"/>
                <w:szCs w:val="16"/>
                <w:color w:val="auto"/>
              </w:rPr>
              <w:t>11</w:t>
            </w:r>
          </w:p>
        </w:tc>
        <w:tc>
          <w:tcPr>
            <w:tcW w:w="0" w:type="dxa"/>
            <w:vAlign w:val="bottom"/>
          </w:tcPr>
          <w:p>
            <w:pPr>
              <w:spacing w:after="0"/>
              <w:rPr>
                <w:sz w:val="1"/>
                <w:szCs w:val="1"/>
                <w:color w:val="auto"/>
              </w:rPr>
            </w:pPr>
          </w:p>
        </w:tc>
      </w:tr>
      <w:tr>
        <w:trPr>
          <w:trHeight w:val="800"/>
        </w:trPr>
        <w:tc>
          <w:tcPr>
            <w:tcW w:w="200" w:type="dxa"/>
            <w:vAlign w:val="bottom"/>
          </w:tcPr>
          <w:p>
            <w:pPr>
              <w:spacing w:after="0"/>
              <w:rPr>
                <w:sz w:val="24"/>
                <w:szCs w:val="24"/>
                <w:color w:val="auto"/>
              </w:rPr>
            </w:pPr>
          </w:p>
        </w:tc>
        <w:tc>
          <w:tcPr>
            <w:tcW w:w="220" w:type="dxa"/>
            <w:vAlign w:val="bottom"/>
          </w:tcPr>
          <w:p>
            <w:pPr>
              <w:jc w:val="right"/>
              <w:spacing w:after="0"/>
              <w:rPr>
                <w:sz w:val="20"/>
                <w:szCs w:val="20"/>
                <w:color w:val="auto"/>
              </w:rPr>
            </w:pPr>
            <w:r>
              <w:rPr>
                <w:rFonts w:ascii="Times New Roman" w:cs="Times New Roman" w:eastAsia="Times New Roman" w:hAnsi="Times New Roman"/>
                <w:sz w:val="16"/>
                <w:szCs w:val="16"/>
                <w:color w:val="auto"/>
              </w:rPr>
              <w:t>8</w:t>
            </w:r>
          </w:p>
        </w:tc>
        <w:tc>
          <w:tcPr>
            <w:tcW w:w="0" w:type="dxa"/>
            <w:vAlign w:val="bottom"/>
          </w:tcPr>
          <w:p>
            <w:pPr>
              <w:spacing w:after="0"/>
              <w:rPr>
                <w:sz w:val="1"/>
                <w:szCs w:val="1"/>
                <w:color w:val="auto"/>
              </w:rPr>
            </w:pPr>
          </w:p>
        </w:tc>
      </w:tr>
      <w:tr>
        <w:trPr>
          <w:trHeight w:val="800"/>
        </w:trPr>
        <w:tc>
          <w:tcPr>
            <w:tcW w:w="200" w:type="dxa"/>
            <w:vAlign w:val="bottom"/>
            <w:textDirection w:val="btLr"/>
          </w:tcPr>
          <w:p>
            <w:pPr>
              <w:ind w:left="9"/>
              <w:spacing w:after="0"/>
              <w:rPr>
                <w:sz w:val="20"/>
                <w:szCs w:val="20"/>
                <w:color w:val="auto"/>
              </w:rPr>
            </w:pPr>
            <w:r>
              <w:rPr>
                <w:rFonts w:ascii="Times New Roman" w:cs="Times New Roman" w:eastAsia="Times New Roman" w:hAnsi="Times New Roman"/>
                <w:sz w:val="16"/>
                <w:szCs w:val="16"/>
                <w:b w:val="1"/>
                <w:bCs w:val="1"/>
                <w:color w:val="auto"/>
                <w:w w:val="95"/>
              </w:rPr>
              <w:t>Corazón</w:t>
            </w:r>
          </w:p>
        </w:tc>
        <w:tc>
          <w:tcPr>
            <w:tcW w:w="220" w:type="dxa"/>
            <w:vAlign w:val="bottom"/>
          </w:tcPr>
          <w:p>
            <w:pPr>
              <w:jc w:val="right"/>
              <w:spacing w:after="0"/>
              <w:rPr>
                <w:sz w:val="20"/>
                <w:szCs w:val="20"/>
                <w:color w:val="auto"/>
              </w:rPr>
            </w:pPr>
            <w:r>
              <w:rPr>
                <w:rFonts w:ascii="Times New Roman" w:cs="Times New Roman" w:eastAsia="Times New Roman" w:hAnsi="Times New Roman"/>
                <w:sz w:val="16"/>
                <w:szCs w:val="16"/>
                <w:color w:val="auto"/>
              </w:rPr>
              <w:t>5</w:t>
            </w:r>
          </w:p>
        </w:tc>
        <w:tc>
          <w:tcPr>
            <w:tcW w:w="0" w:type="dxa"/>
            <w:vAlign w:val="bottom"/>
          </w:tcPr>
          <w:p>
            <w:pPr>
              <w:spacing w:after="0"/>
              <w:rPr>
                <w:sz w:val="1"/>
                <w:szCs w:val="1"/>
                <w:color w:val="auto"/>
              </w:rPr>
            </w:pPr>
          </w:p>
        </w:tc>
      </w:tr>
      <w:tr>
        <w:trPr>
          <w:trHeight w:val="113"/>
        </w:trPr>
        <w:tc>
          <w:tcPr>
            <w:tcW w:w="200" w:type="dxa"/>
            <w:vAlign w:val="bottom"/>
            <w:textDirection w:val="btLr"/>
          </w:tcPr>
          <w:p>
            <w:pPr>
              <w:ind w:left="9"/>
              <w:spacing w:after="0"/>
              <w:rPr>
                <w:sz w:val="20"/>
                <w:szCs w:val="20"/>
                <w:color w:val="auto"/>
              </w:rPr>
            </w:pPr>
            <w:r>
              <w:rPr>
                <w:rFonts w:ascii="Times New Roman" w:cs="Times New Roman" w:eastAsia="Times New Roman" w:hAnsi="Times New Roman"/>
                <w:sz w:val="16"/>
                <w:szCs w:val="16"/>
                <w:b w:val="1"/>
                <w:bCs w:val="1"/>
                <w:color w:val="auto"/>
                <w:w w:val="99"/>
              </w:rPr>
              <w:t>y</w:t>
            </w:r>
          </w:p>
        </w:tc>
        <w:tc>
          <w:tcPr>
            <w:tcW w:w="220" w:type="dxa"/>
            <w:vAlign w:val="bottom"/>
          </w:tcPr>
          <w:p>
            <w:pPr>
              <w:spacing w:after="0"/>
              <w:rPr>
                <w:sz w:val="9"/>
                <w:szCs w:val="9"/>
                <w:color w:val="auto"/>
              </w:rPr>
            </w:pPr>
          </w:p>
        </w:tc>
        <w:tc>
          <w:tcPr>
            <w:tcW w:w="0" w:type="dxa"/>
            <w:vAlign w:val="bottom"/>
          </w:tcPr>
          <w:p>
            <w:pPr>
              <w:spacing w:after="0"/>
              <w:rPr>
                <w:sz w:val="1"/>
                <w:szCs w:val="1"/>
                <w:color w:val="auto"/>
              </w:rPr>
            </w:pPr>
          </w:p>
        </w:tc>
      </w:tr>
      <w:tr>
        <w:trPr>
          <w:trHeight w:val="611"/>
        </w:trPr>
        <w:tc>
          <w:tcPr>
            <w:tcW w:w="200" w:type="dxa"/>
            <w:vAlign w:val="bottom"/>
            <w:textDirection w:val="btLr"/>
          </w:tcPr>
          <w:p>
            <w:pPr>
              <w:ind w:left="55"/>
              <w:spacing w:after="0"/>
              <w:rPr>
                <w:sz w:val="20"/>
                <w:szCs w:val="20"/>
                <w:color w:val="auto"/>
              </w:rPr>
            </w:pPr>
            <w:r>
              <w:rPr>
                <w:rFonts w:ascii="Times New Roman" w:cs="Times New Roman" w:eastAsia="Times New Roman" w:hAnsi="Times New Roman"/>
                <w:sz w:val="12"/>
                <w:szCs w:val="12"/>
                <w:b w:val="1"/>
                <w:bCs w:val="1"/>
                <w:color w:val="auto"/>
                <w:w w:val="72"/>
              </w:rPr>
              <w:t>C.P.1Morfología</w:t>
            </w:r>
          </w:p>
        </w:tc>
        <w:tc>
          <w:tcPr>
            <w:tcW w:w="220" w:type="dxa"/>
            <w:vAlign w:val="bottom"/>
            <w:vMerge w:val="restart"/>
          </w:tcPr>
          <w:p>
            <w:pPr>
              <w:jc w:val="right"/>
              <w:spacing w:after="0"/>
              <w:rPr>
                <w:sz w:val="20"/>
                <w:szCs w:val="20"/>
                <w:color w:val="auto"/>
              </w:rPr>
            </w:pPr>
            <w:r>
              <w:rPr>
                <w:rFonts w:ascii="Times New Roman" w:cs="Times New Roman" w:eastAsia="Times New Roman" w:hAnsi="Times New Roman"/>
                <w:sz w:val="16"/>
                <w:szCs w:val="16"/>
                <w:color w:val="auto"/>
              </w:rPr>
              <w:t>2</w:t>
            </w:r>
          </w:p>
        </w:tc>
        <w:tc>
          <w:tcPr>
            <w:tcW w:w="0" w:type="dxa"/>
            <w:vAlign w:val="bottom"/>
          </w:tcPr>
          <w:p>
            <w:pPr>
              <w:spacing w:after="0"/>
              <w:rPr>
                <w:sz w:val="1"/>
                <w:szCs w:val="1"/>
                <w:color w:val="auto"/>
              </w:rPr>
            </w:pPr>
          </w:p>
        </w:tc>
      </w:tr>
      <w:tr>
        <w:trPr>
          <w:trHeight w:val="56"/>
        </w:trPr>
        <w:tc>
          <w:tcPr>
            <w:tcW w:w="200" w:type="dxa"/>
            <w:vAlign w:val="bottom"/>
          </w:tcPr>
          <w:p>
            <w:pPr>
              <w:spacing w:after="0"/>
              <w:rPr>
                <w:sz w:val="4"/>
                <w:szCs w:val="4"/>
                <w:color w:val="auto"/>
              </w:rPr>
            </w:pPr>
          </w:p>
        </w:tc>
        <w:tc>
          <w:tcPr>
            <w:tcW w:w="22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800"/>
        </w:trPr>
        <w:tc>
          <w:tcPr>
            <w:tcW w:w="200" w:type="dxa"/>
            <w:vAlign w:val="bottom"/>
          </w:tcPr>
          <w:p>
            <w:pPr>
              <w:spacing w:after="0"/>
              <w:rPr>
                <w:sz w:val="24"/>
                <w:szCs w:val="24"/>
                <w:color w:val="auto"/>
              </w:rPr>
            </w:pPr>
          </w:p>
        </w:tc>
        <w:tc>
          <w:tcPr>
            <w:tcW w:w="220" w:type="dxa"/>
            <w:vAlign w:val="bottom"/>
          </w:tcPr>
          <w:p>
            <w:pPr>
              <w:jc w:val="right"/>
              <w:spacing w:after="0"/>
              <w:rPr>
                <w:sz w:val="20"/>
                <w:szCs w:val="20"/>
                <w:color w:val="auto"/>
              </w:rPr>
            </w:pPr>
            <w:r>
              <w:rPr>
                <w:rFonts w:ascii="Times New Roman" w:cs="Times New Roman" w:eastAsia="Times New Roman" w:hAnsi="Times New Roman"/>
                <w:sz w:val="16"/>
                <w:szCs w:val="16"/>
                <w:color w:val="auto"/>
              </w:rPr>
              <w:t>-1</w:t>
            </w:r>
          </w:p>
        </w:tc>
        <w:tc>
          <w:tcPr>
            <w:tcW w:w="0" w:type="dxa"/>
            <w:vAlign w:val="bottom"/>
          </w:tcPr>
          <w:p>
            <w:pPr>
              <w:spacing w:after="0"/>
              <w:rPr>
                <w:sz w:val="1"/>
                <w:szCs w:val="1"/>
                <w:color w:val="auto"/>
              </w:rPr>
            </w:pPr>
          </w:p>
        </w:tc>
      </w:tr>
      <w:tr>
        <w:trPr>
          <w:trHeight w:val="800"/>
        </w:trPr>
        <w:tc>
          <w:tcPr>
            <w:tcW w:w="200" w:type="dxa"/>
            <w:vAlign w:val="bottom"/>
          </w:tcPr>
          <w:p>
            <w:pPr>
              <w:spacing w:after="0"/>
              <w:rPr>
                <w:sz w:val="24"/>
                <w:szCs w:val="24"/>
                <w:color w:val="auto"/>
              </w:rPr>
            </w:pPr>
          </w:p>
        </w:tc>
        <w:tc>
          <w:tcPr>
            <w:tcW w:w="220" w:type="dxa"/>
            <w:vAlign w:val="bottom"/>
          </w:tcPr>
          <w:p>
            <w:pPr>
              <w:jc w:val="right"/>
              <w:spacing w:after="0"/>
              <w:rPr>
                <w:sz w:val="20"/>
                <w:szCs w:val="20"/>
                <w:color w:val="auto"/>
              </w:rPr>
            </w:pPr>
            <w:r>
              <w:rPr>
                <w:rFonts w:ascii="Times New Roman" w:cs="Times New Roman" w:eastAsia="Times New Roman" w:hAnsi="Times New Roman"/>
                <w:sz w:val="16"/>
                <w:szCs w:val="16"/>
                <w:color w:val="auto"/>
              </w:rPr>
              <w:t>-4</w:t>
            </w:r>
          </w:p>
        </w:tc>
        <w:tc>
          <w:tcPr>
            <w:tcW w:w="0" w:type="dxa"/>
            <w:vAlign w:val="bottom"/>
          </w:tcPr>
          <w:p>
            <w:pPr>
              <w:spacing w:after="0"/>
              <w:rPr>
                <w:sz w:val="1"/>
                <w:szCs w:val="1"/>
                <w:color w:val="auto"/>
              </w:rPr>
            </w:pPr>
          </w:p>
        </w:tc>
      </w:tr>
    </w:tbl>
    <w:p>
      <w:pPr>
        <w:spacing w:after="0" w:line="172" w:lineRule="exact"/>
        <w:rPr>
          <w:sz w:val="20"/>
          <w:szCs w:val="20"/>
          <w:color w:val="auto"/>
        </w:rPr>
      </w:pPr>
    </w:p>
    <w:tbl>
      <w:tblPr>
        <w:tblLayout w:type="fixed"/>
        <w:tblInd w:w="1900" w:type="dxa"/>
        <w:tblCellMar>
          <w:top w:w="0" w:type="dxa"/>
          <w:left w:w="0" w:type="dxa"/>
          <w:bottom w:w="0" w:type="dxa"/>
          <w:right w:w="0" w:type="dxa"/>
        </w:tblCellMar>
      </w:tblPr>
      <w:tr>
        <w:trPr>
          <w:trHeight w:val="192"/>
        </w:trPr>
        <w:tc>
          <w:tcPr>
            <w:tcW w:w="1320" w:type="dxa"/>
            <w:vAlign w:val="bottom"/>
          </w:tcPr>
          <w:p>
            <w:pPr>
              <w:ind w:left="120"/>
              <w:spacing w:after="0"/>
              <w:rPr>
                <w:sz w:val="20"/>
                <w:szCs w:val="20"/>
                <w:color w:val="auto"/>
              </w:rPr>
            </w:pPr>
            <w:r>
              <w:rPr>
                <w:rFonts w:ascii="Times New Roman" w:cs="Times New Roman" w:eastAsia="Times New Roman" w:hAnsi="Times New Roman"/>
                <w:sz w:val="16"/>
                <w:szCs w:val="16"/>
                <w:b w:val="1"/>
                <w:bCs w:val="1"/>
                <w:color w:val="auto"/>
              </w:rPr>
              <w:t>Nopalillo</w:t>
            </w:r>
          </w:p>
        </w:tc>
        <w:tc>
          <w:tcPr>
            <w:tcW w:w="2720" w:type="dxa"/>
            <w:vAlign w:val="bottom"/>
          </w:tcPr>
          <w:p>
            <w:pPr>
              <w:jc w:val="center"/>
              <w:ind w:left="1480"/>
              <w:spacing w:after="0"/>
              <w:rPr>
                <w:sz w:val="20"/>
                <w:szCs w:val="20"/>
                <w:color w:val="auto"/>
              </w:rPr>
            </w:pPr>
            <w:r>
              <w:rPr>
                <w:rFonts w:ascii="Times New Roman" w:cs="Times New Roman" w:eastAsia="Times New Roman" w:hAnsi="Times New Roman"/>
                <w:sz w:val="16"/>
                <w:szCs w:val="16"/>
                <w:b w:val="1"/>
                <w:bCs w:val="1"/>
                <w:color w:val="auto"/>
                <w:w w:val="94"/>
              </w:rPr>
              <w:t>Nevado de Toluca</w:t>
            </w:r>
          </w:p>
        </w:tc>
      </w:tr>
      <w:tr>
        <w:trPr>
          <w:trHeight w:val="220"/>
        </w:trPr>
        <w:tc>
          <w:tcPr>
            <w:tcW w:w="1320" w:type="dxa"/>
            <w:vAlign w:val="bottom"/>
          </w:tcPr>
          <w:p>
            <w:pPr>
              <w:spacing w:after="0"/>
              <w:rPr>
                <w:sz w:val="20"/>
                <w:szCs w:val="20"/>
                <w:color w:val="auto"/>
              </w:rPr>
            </w:pPr>
            <w:r>
              <w:rPr>
                <w:rFonts w:ascii="Times New Roman" w:cs="Times New Roman" w:eastAsia="Times New Roman" w:hAnsi="Times New Roman"/>
                <w:sz w:val="16"/>
                <w:szCs w:val="16"/>
                <w:b w:val="1"/>
                <w:bCs w:val="1"/>
                <w:color w:val="auto"/>
              </w:rPr>
              <w:t>2857 msnm</w:t>
            </w:r>
          </w:p>
        </w:tc>
        <w:tc>
          <w:tcPr>
            <w:tcW w:w="2720" w:type="dxa"/>
            <w:vAlign w:val="bottom"/>
          </w:tcPr>
          <w:p>
            <w:pPr>
              <w:jc w:val="center"/>
              <w:ind w:left="1500"/>
              <w:spacing w:after="0"/>
              <w:rPr>
                <w:sz w:val="20"/>
                <w:szCs w:val="20"/>
                <w:color w:val="auto"/>
              </w:rPr>
            </w:pPr>
            <w:r>
              <w:rPr>
                <w:rFonts w:ascii="Times New Roman" w:cs="Times New Roman" w:eastAsia="Times New Roman" w:hAnsi="Times New Roman"/>
                <w:sz w:val="16"/>
                <w:szCs w:val="16"/>
                <w:b w:val="1"/>
                <w:bCs w:val="1"/>
                <w:color w:val="auto"/>
              </w:rPr>
              <w:t>4200 msnm</w:t>
            </w:r>
          </w:p>
        </w:tc>
      </w:tr>
      <w:tr>
        <w:trPr>
          <w:trHeight w:val="341"/>
        </w:trPr>
        <w:tc>
          <w:tcPr>
            <w:tcW w:w="1320" w:type="dxa"/>
            <w:vAlign w:val="bottom"/>
          </w:tcPr>
          <w:p>
            <w:pPr>
              <w:spacing w:after="0"/>
              <w:rPr>
                <w:sz w:val="24"/>
                <w:szCs w:val="24"/>
                <w:color w:val="auto"/>
              </w:rPr>
            </w:pPr>
          </w:p>
        </w:tc>
        <w:tc>
          <w:tcPr>
            <w:tcW w:w="2720" w:type="dxa"/>
            <w:vAlign w:val="bottom"/>
          </w:tcPr>
          <w:p>
            <w:pPr>
              <w:ind w:left="520"/>
              <w:spacing w:after="0"/>
              <w:rPr>
                <w:sz w:val="20"/>
                <w:szCs w:val="20"/>
                <w:color w:val="auto"/>
              </w:rPr>
            </w:pPr>
            <w:r>
              <w:rPr>
                <w:rFonts w:ascii="Times New Roman" w:cs="Times New Roman" w:eastAsia="Times New Roman" w:hAnsi="Times New Roman"/>
                <w:sz w:val="16"/>
                <w:szCs w:val="16"/>
                <w:b w:val="1"/>
                <w:bCs w:val="1"/>
                <w:color w:val="auto"/>
              </w:rPr>
              <w:t>Altitud</w:t>
            </w:r>
          </w:p>
        </w:tc>
      </w:tr>
    </w:tbl>
    <w:p>
      <w:pPr>
        <w:spacing w:after="0" w:line="268" w:lineRule="exact"/>
        <w:rPr>
          <w:sz w:val="20"/>
          <w:szCs w:val="20"/>
          <w:color w:val="auto"/>
        </w:rPr>
      </w:pPr>
    </w:p>
    <w:p>
      <w:pPr>
        <w:jc w:val="both"/>
        <w:spacing w:after="0" w:line="311" w:lineRule="auto"/>
        <w:rPr>
          <w:sz w:val="20"/>
          <w:szCs w:val="20"/>
          <w:color w:val="auto"/>
        </w:rPr>
      </w:pPr>
      <w:r>
        <w:rPr>
          <w:rFonts w:ascii="Times New Roman" w:cs="Times New Roman" w:eastAsia="Times New Roman" w:hAnsi="Times New Roman"/>
          <w:sz w:val="16"/>
          <w:szCs w:val="16"/>
          <w:color w:val="auto"/>
        </w:rPr>
        <w:t xml:space="preserve">Prueba de </w:t>
      </w:r>
      <w:r>
        <w:rPr>
          <w:rFonts w:ascii="Times New Roman" w:cs="Times New Roman" w:eastAsia="Times New Roman" w:hAnsi="Times New Roman"/>
          <w:sz w:val="16"/>
          <w:szCs w:val="16"/>
          <w:i w:val="1"/>
          <w:iCs w:val="1"/>
          <w:color w:val="auto"/>
        </w:rPr>
        <w:t>t</w:t>
      </w:r>
      <w:r>
        <w:rPr>
          <w:rFonts w:ascii="Times New Roman" w:cs="Times New Roman" w:eastAsia="Times New Roman" w:hAnsi="Times New Roman"/>
          <w:sz w:val="16"/>
          <w:szCs w:val="16"/>
          <w:color w:val="auto"/>
        </w:rPr>
        <w:t xml:space="preserve"> para el CP1 de la morfología y corazón de una especie de lagartija vivípara </w:t>
      </w:r>
      <w:r>
        <w:rPr>
          <w:rFonts w:ascii="Times New Roman" w:cs="Times New Roman" w:eastAsia="Times New Roman" w:hAnsi="Times New Roman"/>
          <w:sz w:val="16"/>
          <w:szCs w:val="16"/>
          <w:i w:val="1"/>
          <w:iCs w:val="1"/>
          <w:color w:val="auto"/>
        </w:rPr>
        <w:t>S. bicanthalis</w:t>
      </w:r>
      <w:r>
        <w:rPr>
          <w:rFonts w:ascii="Times New Roman" w:cs="Times New Roman" w:eastAsia="Times New Roman" w:hAnsi="Times New Roman"/>
          <w:sz w:val="16"/>
          <w:szCs w:val="16"/>
          <w:color w:val="auto"/>
        </w:rPr>
        <w:t xml:space="preserve"> que habita en diferentes altitudes (Fuente: Ruiz, 2010).</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1"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Discusión</w:t>
      </w:r>
    </w:p>
    <w:p>
      <w:pPr>
        <w:spacing w:after="0" w:line="200" w:lineRule="exact"/>
        <w:rPr>
          <w:sz w:val="20"/>
          <w:szCs w:val="20"/>
          <w:color w:val="auto"/>
        </w:rPr>
      </w:pPr>
    </w:p>
    <w:p>
      <w:pPr>
        <w:spacing w:after="0" w:line="227" w:lineRule="exact"/>
        <w:rPr>
          <w:sz w:val="20"/>
          <w:szCs w:val="20"/>
          <w:color w:val="auto"/>
        </w:rPr>
      </w:pPr>
    </w:p>
    <w:p>
      <w:pPr>
        <w:jc w:val="both"/>
        <w:spacing w:after="0" w:line="345" w:lineRule="auto"/>
        <w:rPr>
          <w:sz w:val="20"/>
          <w:szCs w:val="20"/>
          <w:color w:val="auto"/>
        </w:rPr>
      </w:pPr>
      <w:r>
        <w:rPr>
          <w:rFonts w:ascii="Times New Roman" w:cs="Times New Roman" w:eastAsia="Times New Roman" w:hAnsi="Times New Roman"/>
          <w:sz w:val="21"/>
          <w:szCs w:val="21"/>
          <w:color w:val="auto"/>
        </w:rPr>
        <w:t xml:space="preserve">Los organismos deben encontrar estrategias para adaptarse a su ambiente mediante modificaciones morfológicas o hasta histológicas, bioquímicas o genéticas. Los organismos del género </w:t>
      </w:r>
      <w:r>
        <w:rPr>
          <w:rFonts w:ascii="Times New Roman" w:cs="Times New Roman" w:eastAsia="Times New Roman" w:hAnsi="Times New Roman"/>
          <w:sz w:val="21"/>
          <w:szCs w:val="21"/>
          <w:i w:val="1"/>
          <w:iCs w:val="1"/>
          <w:color w:val="auto"/>
        </w:rPr>
        <w:t>Sceloporus</w:t>
      </w:r>
      <w:r>
        <w:rPr>
          <w:rFonts w:ascii="Times New Roman" w:cs="Times New Roman" w:eastAsia="Times New Roman" w:hAnsi="Times New Roman"/>
          <w:sz w:val="21"/>
          <w:szCs w:val="21"/>
          <w:color w:val="auto"/>
        </w:rPr>
        <w:t xml:space="preserve"> se encuentran ampliamente distribuidos desde el nivel del mar hasta las grandes elevaciones, en ambientes cálidos, húmedos y fríos, lo que permite inferir que cuentan con una gran capacidad para responder a la variación de los diferentes factores que en cada ambiente se presentan.</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291"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126" w:name="page127"/>
    <w:bookmarkEnd w:id="126"/>
    <w:p>
      <w:pPr>
        <w:spacing w:after="0"/>
        <w:tabs>
          <w:tab w:leader="none" w:pos="2100" w:val="left"/>
          <w:tab w:leader="none" w:pos="2960" w:val="left"/>
          <w:tab w:leader="none" w:pos="4120" w:val="left"/>
        </w:tabs>
        <w:rPr>
          <w:sz w:val="20"/>
          <w:szCs w:val="20"/>
          <w:color w:val="auto"/>
        </w:rPr>
      </w:pPr>
      <w:r>
        <w:rPr>
          <w:rFonts w:ascii="Arial Narrow" w:cs="Arial Narrow" w:eastAsia="Arial Narrow" w:hAnsi="Arial Narrow"/>
          <w:sz w:val="16"/>
          <w:szCs w:val="16"/>
          <w:color w:val="auto"/>
        </w:rPr>
        <w:t>126</w:t>
      </w:r>
      <w:r>
        <w:rPr>
          <w:sz w:val="20"/>
          <w:szCs w:val="20"/>
          <w:color w:val="auto"/>
        </w:rPr>
        <w:tab/>
      </w:r>
      <w:r>
        <w:rPr>
          <w:rFonts w:ascii="Arial Narrow" w:cs="Arial Narrow" w:eastAsia="Arial Narrow" w:hAnsi="Arial Narrow"/>
          <w:sz w:val="11"/>
          <w:szCs w:val="11"/>
          <w:color w:val="auto"/>
        </w:rPr>
        <w:t>ruiz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valencia</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1858645</wp:posOffset>
                </wp:positionH>
                <wp:positionV relativeFrom="paragraph">
                  <wp:posOffset>-76835</wp:posOffset>
                </wp:positionV>
                <wp:extent cx="0" cy="88900"/>
                <wp:wrapNone/>
                <wp:docPr id="299" name="Shape 29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299" o:spid="_x0000_s132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6.35pt,-6.0499pt" to="146.3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2602230</wp:posOffset>
                </wp:positionH>
                <wp:positionV relativeFrom="paragraph">
                  <wp:posOffset>-76835</wp:posOffset>
                </wp:positionV>
                <wp:extent cx="0" cy="88900"/>
                <wp:wrapNone/>
                <wp:docPr id="300" name="Shape 30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00" o:spid="_x0000_s132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4.9pt,-6.0499pt" to="204.9pt,0.95pt" o:allowincell="f" strokecolor="#000000" strokeweight="0.4pt"/>
            </w:pict>
          </mc:Fallback>
        </mc:AlternateContent>
      </w:r>
    </w:p>
    <w:p>
      <w:pPr>
        <w:spacing w:after="0" w:line="347" w:lineRule="exact"/>
        <w:rPr>
          <w:sz w:val="20"/>
          <w:szCs w:val="20"/>
          <w:color w:val="auto"/>
        </w:rPr>
      </w:pPr>
    </w:p>
    <w:p>
      <w:pPr>
        <w:jc w:val="both"/>
        <w:ind w:firstLine="360"/>
        <w:spacing w:after="0" w:line="332" w:lineRule="auto"/>
        <w:rPr>
          <w:sz w:val="20"/>
          <w:szCs w:val="20"/>
          <w:color w:val="auto"/>
        </w:rPr>
      </w:pPr>
      <w:r>
        <w:rPr>
          <w:rFonts w:ascii="Times New Roman" w:cs="Times New Roman" w:eastAsia="Times New Roman" w:hAnsi="Times New Roman"/>
          <w:sz w:val="22"/>
          <w:szCs w:val="22"/>
          <w:color w:val="auto"/>
        </w:rPr>
        <w:t>Los resultados del presente estudio sugieren que los organismos, al encontrarse en distintos niveles altitudinales, experimentan una variación tanto morfológica corporal como en la morfometría del corazón. Dichas variaciones son una estrategia cuya finalidad es adaptarse y desempeñarse de una mejor manera para asegurar su sobrevivencia e incrementar su adecuación.</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Morfometría corporal</w:t>
      </w:r>
    </w:p>
    <w:p>
      <w:pPr>
        <w:spacing w:after="0" w:line="200" w:lineRule="exact"/>
        <w:rPr>
          <w:sz w:val="20"/>
          <w:szCs w:val="20"/>
          <w:color w:val="auto"/>
        </w:rPr>
      </w:pPr>
    </w:p>
    <w:p>
      <w:pPr>
        <w:spacing w:after="0" w:line="235" w:lineRule="exact"/>
        <w:rPr>
          <w:sz w:val="20"/>
          <w:szCs w:val="20"/>
          <w:color w:val="auto"/>
        </w:rPr>
      </w:pPr>
    </w:p>
    <w:p>
      <w:pPr>
        <w:jc w:val="both"/>
        <w:spacing w:after="0" w:line="320" w:lineRule="auto"/>
        <w:rPr>
          <w:sz w:val="20"/>
          <w:szCs w:val="20"/>
          <w:color w:val="auto"/>
        </w:rPr>
      </w:pPr>
      <w:r>
        <w:rPr>
          <w:rFonts w:ascii="Times New Roman" w:cs="Times New Roman" w:eastAsia="Times New Roman" w:hAnsi="Times New Roman"/>
          <w:sz w:val="22"/>
          <w:szCs w:val="22"/>
          <w:color w:val="auto"/>
        </w:rPr>
        <w:t>Los resultados de este trabajo son de las primeras contribuciones en reportar la variación morfológica de los organismos que habitan a elevadas altitudes. Básicamente se identificaron dos morfologías:</w:t>
      </w:r>
    </w:p>
    <w:p>
      <w:pPr>
        <w:spacing w:after="0" w:line="20" w:lineRule="exact"/>
        <w:rPr>
          <w:sz w:val="20"/>
          <w:szCs w:val="20"/>
          <w:color w:val="auto"/>
        </w:rPr>
      </w:pPr>
    </w:p>
    <w:p>
      <w:pPr>
        <w:jc w:val="both"/>
        <w:ind w:left="240" w:hanging="240"/>
        <w:spacing w:after="0" w:line="326" w:lineRule="auto"/>
        <w:tabs>
          <w:tab w:leader="none" w:pos="240" w:val="left"/>
        </w:tabs>
        <w:numPr>
          <w:ilvl w:val="0"/>
          <w:numId w:val="30"/>
        </w:numPr>
        <w:rPr>
          <w:rFonts w:ascii="Arial" w:cs="Arial" w:eastAsia="Arial" w:hAnsi="Arial"/>
          <w:sz w:val="22"/>
          <w:szCs w:val="22"/>
          <w:color w:val="auto"/>
        </w:rPr>
      </w:pPr>
      <w:r>
        <w:rPr>
          <w:rFonts w:ascii="Times New Roman" w:cs="Times New Roman" w:eastAsia="Times New Roman" w:hAnsi="Times New Roman"/>
          <w:sz w:val="22"/>
          <w:szCs w:val="22"/>
          <w:color w:val="auto"/>
        </w:rPr>
        <w:t>Organismos que más que determinarse con una morfología puntual principalmente tienden a incrementar el tamaño de las narinas (lonn, din, ann). Las poblaciones que habitan a 2 645, 3 245 y 4 200 msnm conformaron este conjunto. Tener narinas de mayor tamaño probablemente influya en la cantidad de aire que se capta con cada inhalación, sobre todo si se toma en cuenta que se trata de ambientes donde su disponibilidad es menor.</w:t>
      </w:r>
    </w:p>
    <w:p>
      <w:pPr>
        <w:jc w:val="both"/>
        <w:ind w:left="240" w:hanging="240"/>
        <w:spacing w:after="0" w:line="363" w:lineRule="auto"/>
        <w:tabs>
          <w:tab w:leader="none" w:pos="240" w:val="left"/>
        </w:tabs>
        <w:numPr>
          <w:ilvl w:val="0"/>
          <w:numId w:val="30"/>
        </w:numPr>
        <w:rPr>
          <w:rFonts w:ascii="Arial" w:cs="Arial" w:eastAsia="Arial" w:hAnsi="Arial"/>
          <w:sz w:val="20"/>
          <w:szCs w:val="20"/>
          <w:color w:val="auto"/>
        </w:rPr>
      </w:pPr>
      <w:r>
        <w:rPr>
          <w:rFonts w:ascii="Arial" w:cs="Arial" w:eastAsia="Arial" w:hAnsi="Arial"/>
          <w:sz w:val="20"/>
          <w:szCs w:val="20"/>
          <w:color w:val="auto"/>
        </w:rPr>
        <w:t xml:space="preserve">Organismos que tienden a presentar cuerpos alargados, como los que habitan </w:t>
      </w:r>
      <w:r>
        <w:rPr>
          <w:rFonts w:ascii="Times New Roman" w:cs="Times New Roman" w:eastAsia="Times New Roman" w:hAnsi="Times New Roman"/>
          <w:sz w:val="20"/>
          <w:szCs w:val="20"/>
          <w:color w:val="auto"/>
        </w:rPr>
        <w:t xml:space="preserve">a 2 857 msnm. Las variables de mayor peso para separar este segundo grupo fueron el largo del cráneo, la longitud rodilla-tobillo y la longitud hombro-codo. Retomando lo mencionado por Stanley </w:t>
      </w:r>
      <w:r>
        <w:rPr>
          <w:rFonts w:ascii="Times New Roman" w:cs="Times New Roman" w:eastAsia="Times New Roman" w:hAnsi="Times New Roman"/>
          <w:sz w:val="20"/>
          <w:szCs w:val="20"/>
          <w:i w:val="1"/>
          <w:iCs w:val="1"/>
          <w:color w:val="auto"/>
        </w:rPr>
        <w:t>et al.</w:t>
      </w:r>
      <w:r>
        <w:rPr>
          <w:rFonts w:ascii="Times New Roman" w:cs="Times New Roman" w:eastAsia="Times New Roman" w:hAnsi="Times New Roman"/>
          <w:sz w:val="20"/>
          <w:szCs w:val="20"/>
          <w:color w:val="auto"/>
        </w:rPr>
        <w:t xml:space="preserve"> (2003), quienes exponen que los animales se adaptan (modifican) a su ambiente a través del proceso de selección natural, y tomando en cuenta que la vegetación de la localidad en la que habitan estos organismos son principalmente los pastizales y matorrales, se concuerda con lo expuesto por Vanhooydonck y Van Damme (1999) y Valencia Flores (2008) sobre que las lagartijas terrestres que habitan en espacios abiertos y en zonas de vegetación densa presentan cabezas y cuerpos alargados, ya que esta forma del cuerpo les permite tener mayor flexión lateral para desplazarse en el hábitat.</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85"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301" name="Shape 30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01" o:spid="_x0000_s132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302" name="Shape 30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02" o:spid="_x0000_s132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303" name="Shape 30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03" o:spid="_x0000_s132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27" w:name="page128"/>
    <w:bookmarkEnd w:id="127"/>
    <w:p>
      <w:pPr>
        <w:ind w:left="1180"/>
        <w:spacing w:after="0"/>
        <w:tabs>
          <w:tab w:leader="dot" w:pos="6960" w:val="left"/>
        </w:tabs>
        <w:rPr>
          <w:sz w:val="20"/>
          <w:szCs w:val="20"/>
          <w:color w:val="auto"/>
        </w:rPr>
      </w:pPr>
      <w:r>
        <w:rPr>
          <w:rFonts w:ascii="Arial Narrow" w:cs="Arial Narrow" w:eastAsia="Arial Narrow" w:hAnsi="Arial Narrow"/>
          <w:sz w:val="11"/>
          <w:szCs w:val="11"/>
          <w:color w:val="auto"/>
        </w:rPr>
        <w:t>morfometría externa del corazón de dos especies hermanas del grupo scalaris</w:t>
      </w:r>
      <w:r>
        <w:rPr>
          <w:sz w:val="20"/>
          <w:szCs w:val="20"/>
          <w:color w:val="auto"/>
        </w:rPr>
        <w:tab/>
      </w:r>
      <w:r>
        <w:rPr>
          <w:rFonts w:ascii="Arial Narrow" w:cs="Arial Narrow" w:eastAsia="Arial Narrow" w:hAnsi="Arial Narrow"/>
          <w:sz w:val="16"/>
          <w:szCs w:val="16"/>
          <w:color w:val="auto"/>
        </w:rPr>
        <w:t>127</w:t>
      </w:r>
    </w:p>
    <w:p>
      <w:pPr>
        <w:spacing w:after="0" w:line="200" w:lineRule="exact"/>
        <w:rPr>
          <w:sz w:val="20"/>
          <w:szCs w:val="20"/>
          <w:color w:val="auto"/>
        </w:rPr>
      </w:pPr>
    </w:p>
    <w:p>
      <w:pPr>
        <w:spacing w:after="0" w:line="349"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 xml:space="preserve">Sumado a lo anterior y por tratarse de una especie vivípara, necesita tener el cuerpo más grande para mantener a sus crías durante el periodo de gestación, situación distinta a lo que ocurre con las especies ovíparas (Mathies y Andrews, 1996); en contraste, los organismos de </w:t>
      </w:r>
      <w:r>
        <w:rPr>
          <w:rFonts w:ascii="Times New Roman" w:cs="Times New Roman" w:eastAsia="Times New Roman" w:hAnsi="Times New Roman"/>
          <w:sz w:val="22"/>
          <w:szCs w:val="22"/>
          <w:i w:val="1"/>
          <w:iCs w:val="1"/>
          <w:color w:val="auto"/>
        </w:rPr>
        <w:t>S. bicanthalis</w:t>
      </w:r>
      <w:r>
        <w:rPr>
          <w:rFonts w:ascii="Times New Roman" w:cs="Times New Roman" w:eastAsia="Times New Roman" w:hAnsi="Times New Roman"/>
          <w:sz w:val="22"/>
          <w:szCs w:val="22"/>
          <w:color w:val="auto"/>
        </w:rPr>
        <w:t xml:space="preserve"> que se encuentran a mayor altitud (4 200 msnm) difieren de la población de su misma especie que habita a una altitud más baja, pues, como lo menciona Frisancho (1990), en altitudes mayores a 3 000 m, los organismos experimentan una gran descompensación fisiológica debido a que cada unidad de sangre que sale de los pulmones hacia el cuerpo tiene un déficit de 15 a 20% de oxígeno, lo que provoca pérdida de peso. Esto es complementado con lo estudiado por Mentha y Mentha en 2008, quienes exponen que el déficit de oxígeno es un factor importante para el nacimiento de crías de pollos pequeñas y deficientes en cuanto a masa muscular.</w:t>
      </w:r>
    </w:p>
    <w:p>
      <w:pPr>
        <w:spacing w:after="0" w:line="7"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En cuanto a la diferenciación entre sexos, los resultados de morfometría corporal obtenidos para este estudio contrastan con lo mencionado por Peters y Aulner (2000) y Russell (1980), autores que manifiestan la prevalencia del dimorfismo sexual interpoblacional; específicamente, comentan que las hembras de varias especies de anfibios y reptiles son de mayor tamaño que los machos; esto lo atribuyen a roles distintivos en reproducción o competencia por los recursos, como el alimento. Tampoco es consistente con lo indicado por Heinemann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(2001), quienes exponen, en el caso de humanos, las diferencias morfológicas y cardiovasculares entre hombres y mujeres.</w:t>
      </w:r>
    </w:p>
    <w:p>
      <w:pPr>
        <w:spacing w:after="0" w:line="6" w:lineRule="exact"/>
        <w:rPr>
          <w:sz w:val="20"/>
          <w:szCs w:val="20"/>
          <w:color w:val="auto"/>
        </w:rPr>
      </w:pPr>
    </w:p>
    <w:p>
      <w:pPr>
        <w:jc w:val="both"/>
        <w:ind w:firstLine="360"/>
        <w:spacing w:after="0" w:line="311" w:lineRule="auto"/>
        <w:rPr>
          <w:sz w:val="20"/>
          <w:szCs w:val="20"/>
          <w:color w:val="auto"/>
        </w:rPr>
      </w:pPr>
      <w:r>
        <w:rPr>
          <w:rFonts w:ascii="Times New Roman" w:cs="Times New Roman" w:eastAsia="Times New Roman" w:hAnsi="Times New Roman"/>
          <w:sz w:val="22"/>
          <w:szCs w:val="22"/>
          <w:color w:val="auto"/>
        </w:rPr>
        <w:t>La ausencia de variación en la morfología se debe, al parecer, a que dentro de cada población machos y hembras se encuentran expuestos a la misma presión de selección, por lo que han encontrado ciertas estrategias para manejar la distinción entre sus roles tanto en reproducción como en competencia por los recursos.</w:t>
      </w:r>
    </w:p>
    <w:p>
      <w:pPr>
        <w:spacing w:after="0" w:line="200" w:lineRule="exact"/>
        <w:rPr>
          <w:sz w:val="20"/>
          <w:szCs w:val="20"/>
          <w:color w:val="auto"/>
        </w:rPr>
      </w:pPr>
    </w:p>
    <w:p>
      <w:pPr>
        <w:spacing w:after="0" w:line="200" w:lineRule="exact"/>
        <w:rPr>
          <w:sz w:val="20"/>
          <w:szCs w:val="20"/>
          <w:color w:val="auto"/>
        </w:rPr>
      </w:pPr>
    </w:p>
    <w:p>
      <w:pPr>
        <w:spacing w:after="0" w:line="209"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Morfometría del corazón</w:t>
      </w:r>
    </w:p>
    <w:p>
      <w:pPr>
        <w:spacing w:after="0" w:line="387" w:lineRule="exact"/>
        <w:rPr>
          <w:sz w:val="20"/>
          <w:szCs w:val="20"/>
          <w:color w:val="auto"/>
        </w:rPr>
      </w:pPr>
    </w:p>
    <w:p>
      <w:pPr>
        <w:jc w:val="both"/>
        <w:spacing w:after="0" w:line="327" w:lineRule="auto"/>
        <w:rPr>
          <w:sz w:val="20"/>
          <w:szCs w:val="20"/>
          <w:color w:val="auto"/>
        </w:rPr>
      </w:pPr>
      <w:r>
        <w:rPr>
          <w:rFonts w:ascii="Times New Roman" w:cs="Times New Roman" w:eastAsia="Times New Roman" w:hAnsi="Times New Roman"/>
          <w:sz w:val="22"/>
          <w:szCs w:val="22"/>
          <w:color w:val="auto"/>
        </w:rPr>
        <w:t xml:space="preserve">La forma del corazón determinada para los organismos de </w:t>
      </w:r>
      <w:r>
        <w:rPr>
          <w:rFonts w:ascii="Times New Roman" w:cs="Times New Roman" w:eastAsia="Times New Roman" w:hAnsi="Times New Roman"/>
          <w:sz w:val="22"/>
          <w:szCs w:val="22"/>
          <w:i w:val="1"/>
          <w:iCs w:val="1"/>
          <w:color w:val="auto"/>
        </w:rPr>
        <w:t>S. bicanthalis</w:t>
      </w:r>
      <w:r>
        <w:rPr>
          <w:rFonts w:ascii="Times New Roman" w:cs="Times New Roman" w:eastAsia="Times New Roman" w:hAnsi="Times New Roman"/>
          <w:sz w:val="22"/>
          <w:szCs w:val="22"/>
          <w:color w:val="auto"/>
        </w:rPr>
        <w:t xml:space="preserve"> del Nopalillo (2 857 msnm) concuerda con los resultados obtenidos en la forma de su</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335"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128" w:name="page129"/>
    <w:bookmarkEnd w:id="128"/>
    <w:p>
      <w:pPr>
        <w:spacing w:after="0"/>
        <w:tabs>
          <w:tab w:leader="none" w:pos="2100" w:val="left"/>
          <w:tab w:leader="none" w:pos="2960" w:val="left"/>
          <w:tab w:leader="none" w:pos="4120" w:val="left"/>
        </w:tabs>
        <w:rPr>
          <w:sz w:val="20"/>
          <w:szCs w:val="20"/>
          <w:color w:val="auto"/>
        </w:rPr>
      </w:pPr>
      <w:r>
        <w:rPr>
          <w:rFonts w:ascii="Arial Narrow" w:cs="Arial Narrow" w:eastAsia="Arial Narrow" w:hAnsi="Arial Narrow"/>
          <w:sz w:val="16"/>
          <w:szCs w:val="16"/>
          <w:color w:val="auto"/>
        </w:rPr>
        <w:t>128</w:t>
      </w:r>
      <w:r>
        <w:rPr>
          <w:sz w:val="20"/>
          <w:szCs w:val="20"/>
          <w:color w:val="auto"/>
        </w:rPr>
        <w:tab/>
      </w:r>
      <w:r>
        <w:rPr>
          <w:rFonts w:ascii="Arial Narrow" w:cs="Arial Narrow" w:eastAsia="Arial Narrow" w:hAnsi="Arial Narrow"/>
          <w:sz w:val="11"/>
          <w:szCs w:val="11"/>
          <w:color w:val="auto"/>
        </w:rPr>
        <w:t>ruiz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valencia</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1858645</wp:posOffset>
                </wp:positionH>
                <wp:positionV relativeFrom="paragraph">
                  <wp:posOffset>-76835</wp:posOffset>
                </wp:positionV>
                <wp:extent cx="0" cy="88900"/>
                <wp:wrapNone/>
                <wp:docPr id="304" name="Shape 30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04" o:spid="_x0000_s132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6.35pt,-6.0499pt" to="146.3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2602230</wp:posOffset>
                </wp:positionH>
                <wp:positionV relativeFrom="paragraph">
                  <wp:posOffset>-76835</wp:posOffset>
                </wp:positionV>
                <wp:extent cx="0" cy="88900"/>
                <wp:wrapNone/>
                <wp:docPr id="305" name="Shape 30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05" o:spid="_x0000_s133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4.9pt,-6.0499pt" to="204.9pt,0.95pt" o:allowincell="f" strokecolor="#000000" strokeweight="0.4pt"/>
            </w:pict>
          </mc:Fallback>
        </mc:AlternateContent>
      </w:r>
    </w:p>
    <w:p>
      <w:pPr>
        <w:spacing w:after="0" w:line="34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cuerpo, ya que éste también presentó una forma alargada; por tanto, la morfología externa de los organismos dicta y moldea la conformación interna que los mismos deben tener. Para esta misma localidad, las variables de mayor peso dentro del acp fueron alto de la aurícula derecha y alto del ventrículo.</w:t>
      </w:r>
    </w:p>
    <w:p>
      <w:pPr>
        <w:spacing w:after="0" w:line="2" w:lineRule="exact"/>
        <w:rPr>
          <w:sz w:val="20"/>
          <w:szCs w:val="20"/>
          <w:color w:val="auto"/>
        </w:rPr>
      </w:pPr>
    </w:p>
    <w:p>
      <w:pPr>
        <w:jc w:val="both"/>
        <w:ind w:firstLine="360"/>
        <w:spacing w:after="0" w:line="318" w:lineRule="auto"/>
        <w:rPr>
          <w:sz w:val="20"/>
          <w:szCs w:val="20"/>
          <w:color w:val="auto"/>
        </w:rPr>
      </w:pPr>
      <w:r>
        <w:rPr>
          <w:rFonts w:ascii="Times New Roman" w:cs="Times New Roman" w:eastAsia="Times New Roman" w:hAnsi="Times New Roman"/>
          <w:sz w:val="21"/>
          <w:szCs w:val="21"/>
          <w:color w:val="auto"/>
        </w:rPr>
        <w:t xml:space="preserve">Para el segundo grupo, conformado por las poblaciones de mayor y menor altitud, </w:t>
      </w:r>
      <w:r>
        <w:rPr>
          <w:rFonts w:ascii="Times New Roman" w:cs="Times New Roman" w:eastAsia="Times New Roman" w:hAnsi="Times New Roman"/>
          <w:sz w:val="21"/>
          <w:szCs w:val="21"/>
          <w:i w:val="1"/>
          <w:iCs w:val="1"/>
          <w:color w:val="auto"/>
        </w:rPr>
        <w:t xml:space="preserve">S. bicanthalis </w:t>
      </w:r>
      <w:r>
        <w:rPr>
          <w:rFonts w:ascii="Times New Roman" w:cs="Times New Roman" w:eastAsia="Times New Roman" w:hAnsi="Times New Roman"/>
          <w:sz w:val="21"/>
          <w:szCs w:val="21"/>
          <w:color w:val="auto"/>
        </w:rPr>
        <w:t>(4 200 m) y</w:t>
      </w:r>
      <w:r>
        <w:rPr>
          <w:rFonts w:ascii="Times New Roman" w:cs="Times New Roman" w:eastAsia="Times New Roman" w:hAnsi="Times New Roman"/>
          <w:sz w:val="21"/>
          <w:szCs w:val="21"/>
          <w:i w:val="1"/>
          <w:iCs w:val="1"/>
          <w:color w:val="auto"/>
        </w:rPr>
        <w:t xml:space="preserve"> S. aeneus </w:t>
      </w:r>
      <w:r>
        <w:rPr>
          <w:rFonts w:ascii="Times New Roman" w:cs="Times New Roman" w:eastAsia="Times New Roman" w:hAnsi="Times New Roman"/>
          <w:sz w:val="21"/>
          <w:szCs w:val="21"/>
          <w:color w:val="auto"/>
        </w:rPr>
        <w:t>a (2 645 m) respectivamente, se observó una</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forma de corazón ensanchada; es difícil elucidar en qué aspectos biológicos les ayude a los organismos tener un corazón de esta forma, pues no se tienen antecedentes de diferenciación en cuanto a la forma del corazón; además, los resultados de este estudio en estas mismas localidades no presentaron una forma de cuerpo totalmente definida, únicamente se concluye que las características morfológicas en las que se apoyan o de mayor importancia son las narinas.</w:t>
      </w:r>
    </w:p>
    <w:p>
      <w:pPr>
        <w:jc w:val="both"/>
        <w:ind w:firstLine="360"/>
        <w:spacing w:after="0" w:line="305" w:lineRule="auto"/>
        <w:rPr>
          <w:sz w:val="20"/>
          <w:szCs w:val="20"/>
          <w:color w:val="auto"/>
        </w:rPr>
      </w:pPr>
      <w:r>
        <w:rPr>
          <w:rFonts w:ascii="Times New Roman" w:cs="Times New Roman" w:eastAsia="Times New Roman" w:hAnsi="Times New Roman"/>
          <w:sz w:val="22"/>
          <w:szCs w:val="22"/>
          <w:color w:val="auto"/>
        </w:rPr>
        <w:t xml:space="preserve">Aunado a lo anterior, en la figura 6 se observa la formación de una curva que muestra que los organismos de menor altitud (2 645 m) presentan valores menores de tamaño de corazón; los organismos que habitan a 2 857 msnm alcanzan el tamaño máximo de este órgano y, posteriormente, el tamaño desciende en la localidad ubicada a 3 250 msnm, para finalmente llegar de nuevo a valores mínimos con la población que se localiza a 4 200 msnm. Para Hill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(2008), estas curvas son el resultado de respuestas fisiológicas y se les denomina </w:t>
      </w:r>
      <w:r>
        <w:rPr>
          <w:rFonts w:ascii="Times New Roman" w:cs="Times New Roman" w:eastAsia="Times New Roman" w:hAnsi="Times New Roman"/>
          <w:sz w:val="22"/>
          <w:szCs w:val="22"/>
          <w:i w:val="1"/>
          <w:iCs w:val="1"/>
          <w:color w:val="auto"/>
        </w:rPr>
        <w:t>curvas de compensación</w:t>
      </w:r>
      <w:r>
        <w:rPr>
          <w:rFonts w:ascii="Times New Roman" w:cs="Times New Roman" w:eastAsia="Times New Roman" w:hAnsi="Times New Roman"/>
          <w:sz w:val="22"/>
          <w:szCs w:val="22"/>
          <w:color w:val="auto"/>
        </w:rPr>
        <w:t xml:space="preserve">, ya que es de gran interés que entre los organismos de mayor y menor altitud no se hayan encontrado diferencias significativas para el tamaño de corazón, lo que permite predecir algún otro tipo de modificación, ya sea en cuestiones histológicas, fisiológicas o bioquímicas (Marques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2008).</w:t>
      </w:r>
    </w:p>
    <w:p>
      <w:pPr>
        <w:spacing w:after="0" w:line="200" w:lineRule="exact"/>
        <w:rPr>
          <w:sz w:val="20"/>
          <w:szCs w:val="20"/>
          <w:color w:val="auto"/>
        </w:rPr>
      </w:pPr>
    </w:p>
    <w:p>
      <w:pPr>
        <w:spacing w:after="0" w:line="200" w:lineRule="exact"/>
        <w:rPr>
          <w:sz w:val="20"/>
          <w:szCs w:val="20"/>
          <w:color w:val="auto"/>
        </w:rPr>
      </w:pPr>
    </w:p>
    <w:p>
      <w:pPr>
        <w:spacing w:after="0" w:line="224"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Morfometría corporal y del corazón (conjunta)</w:t>
      </w:r>
    </w:p>
    <w:p>
      <w:pPr>
        <w:spacing w:after="0" w:line="387" w:lineRule="exact"/>
        <w:rPr>
          <w:sz w:val="20"/>
          <w:szCs w:val="20"/>
          <w:color w:val="auto"/>
        </w:rPr>
      </w:pPr>
    </w:p>
    <w:p>
      <w:pPr>
        <w:jc w:val="both"/>
        <w:spacing w:after="0" w:line="330" w:lineRule="auto"/>
        <w:rPr>
          <w:sz w:val="20"/>
          <w:szCs w:val="20"/>
          <w:color w:val="auto"/>
        </w:rPr>
      </w:pPr>
      <w:r>
        <w:rPr>
          <w:rFonts w:ascii="Times New Roman" w:cs="Times New Roman" w:eastAsia="Times New Roman" w:hAnsi="Times New Roman"/>
          <w:sz w:val="21"/>
          <w:szCs w:val="21"/>
          <w:color w:val="auto"/>
        </w:rPr>
        <w:t>Al incluir todas las variables en un análisis, se obtuvieron resultados similares a los alcanzados solamente con las medidas del corazón: la diferenciación de los mismos tres grupos, integrados de manera similar. A partir de esto, se puede deducir que la morfometría del corazón tiene un peso significativo, más que la morfología</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36"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306" name="Shape 30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06" o:spid="_x0000_s133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307" name="Shape 30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07" o:spid="_x0000_s133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308" name="Shape 30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08" o:spid="_x0000_s133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29" w:name="page130"/>
    <w:bookmarkEnd w:id="129"/>
    <w:p>
      <w:pPr>
        <w:ind w:left="1180"/>
        <w:spacing w:after="0"/>
        <w:tabs>
          <w:tab w:leader="dot" w:pos="6960" w:val="left"/>
        </w:tabs>
        <w:rPr>
          <w:sz w:val="20"/>
          <w:szCs w:val="20"/>
          <w:color w:val="auto"/>
        </w:rPr>
      </w:pPr>
      <w:r>
        <w:rPr>
          <w:rFonts w:ascii="Arial Narrow" w:cs="Arial Narrow" w:eastAsia="Arial Narrow" w:hAnsi="Arial Narrow"/>
          <w:sz w:val="11"/>
          <w:szCs w:val="11"/>
          <w:color w:val="auto"/>
        </w:rPr>
        <w:t>morfometría externa del corazón de dos especies hermanas del grupo scalaris</w:t>
      </w:r>
      <w:r>
        <w:rPr>
          <w:sz w:val="20"/>
          <w:szCs w:val="20"/>
          <w:color w:val="auto"/>
        </w:rPr>
        <w:tab/>
      </w:r>
      <w:r>
        <w:rPr>
          <w:rFonts w:ascii="Arial Narrow" w:cs="Arial Narrow" w:eastAsia="Arial Narrow" w:hAnsi="Arial Narrow"/>
          <w:sz w:val="16"/>
          <w:szCs w:val="16"/>
          <w:color w:val="auto"/>
        </w:rPr>
        <w:t>129</w:t>
      </w:r>
    </w:p>
    <w:p>
      <w:pPr>
        <w:spacing w:after="0" w:line="200" w:lineRule="exact"/>
        <w:rPr>
          <w:sz w:val="20"/>
          <w:szCs w:val="20"/>
          <w:color w:val="auto"/>
        </w:rPr>
      </w:pPr>
    </w:p>
    <w:p>
      <w:pPr>
        <w:spacing w:after="0" w:line="349" w:lineRule="exact"/>
        <w:rPr>
          <w:sz w:val="20"/>
          <w:szCs w:val="20"/>
          <w:color w:val="auto"/>
        </w:rPr>
      </w:pPr>
    </w:p>
    <w:p>
      <w:pPr>
        <w:jc w:val="both"/>
        <w:spacing w:after="0" w:line="318" w:lineRule="auto"/>
        <w:rPr>
          <w:sz w:val="20"/>
          <w:szCs w:val="20"/>
          <w:color w:val="auto"/>
        </w:rPr>
      </w:pPr>
      <w:r>
        <w:rPr>
          <w:rFonts w:ascii="Times New Roman" w:cs="Times New Roman" w:eastAsia="Times New Roman" w:hAnsi="Times New Roman"/>
          <w:sz w:val="21"/>
          <w:szCs w:val="21"/>
          <w:color w:val="auto"/>
        </w:rPr>
        <w:t>corporal, para segregar los grupos, pues su distribución prevalece para ambos análisis (únicamente medidas del corazón y morfología corporal y del corazón conjunta).</w:t>
      </w:r>
    </w:p>
    <w:p>
      <w:pPr>
        <w:jc w:val="both"/>
        <w:ind w:firstLine="360"/>
        <w:spacing w:after="0" w:line="309" w:lineRule="auto"/>
        <w:rPr>
          <w:sz w:val="20"/>
          <w:szCs w:val="20"/>
          <w:color w:val="auto"/>
        </w:rPr>
      </w:pPr>
      <w:r>
        <w:rPr>
          <w:rFonts w:ascii="Times New Roman" w:cs="Times New Roman" w:eastAsia="Times New Roman" w:hAnsi="Times New Roman"/>
          <w:sz w:val="22"/>
          <w:szCs w:val="22"/>
          <w:color w:val="auto"/>
        </w:rPr>
        <w:t>El acp realizado conjuntando las variables morfológicas y del corazón permitió aclarar que, a una altitud de 2 857 m, las características de mayor importancia están exclusivamente relacionadas con el corazón; mientras que, en la altitud más baja (2 645 m) y la de mayor elevación (4 200 m), la morfología adquiere mayor relevancia, por lo que sobresalen las medidas de las narinas.</w:t>
      </w:r>
    </w:p>
    <w:p>
      <w:pPr>
        <w:spacing w:after="0" w:line="200" w:lineRule="exact"/>
        <w:rPr>
          <w:sz w:val="20"/>
          <w:szCs w:val="20"/>
          <w:color w:val="auto"/>
        </w:rPr>
      </w:pPr>
    </w:p>
    <w:p>
      <w:pPr>
        <w:spacing w:after="0" w:line="200" w:lineRule="exact"/>
        <w:rPr>
          <w:sz w:val="20"/>
          <w:szCs w:val="20"/>
          <w:color w:val="auto"/>
        </w:rPr>
      </w:pPr>
    </w:p>
    <w:p>
      <w:pPr>
        <w:spacing w:after="0" w:line="211"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Relación morfometría corporal y morfometría del corazón respecto a la altitud</w:t>
      </w:r>
    </w:p>
    <w:p>
      <w:pPr>
        <w:spacing w:after="0" w:line="387" w:lineRule="exact"/>
        <w:rPr>
          <w:sz w:val="20"/>
          <w:szCs w:val="20"/>
          <w:color w:val="auto"/>
        </w:rPr>
      </w:pPr>
    </w:p>
    <w:p>
      <w:pPr>
        <w:jc w:val="both"/>
        <w:spacing w:after="0" w:line="321" w:lineRule="auto"/>
        <w:rPr>
          <w:sz w:val="20"/>
          <w:szCs w:val="20"/>
          <w:color w:val="auto"/>
        </w:rPr>
      </w:pPr>
      <w:r>
        <w:rPr>
          <w:rFonts w:ascii="Times New Roman" w:cs="Times New Roman" w:eastAsia="Times New Roman" w:hAnsi="Times New Roman"/>
          <w:sz w:val="21"/>
          <w:szCs w:val="21"/>
          <w:color w:val="auto"/>
        </w:rPr>
        <w:t>Con el último acp se observó la separación en el CP1 de todas las medidas morfológicas corporales en sentido opuesto al total de las medidas del corazón. Este mismo componente sirvió para estimar la relación entre morfometría corporal y morfometría del corazón (figura 9), misma que resultó significativa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 0.0012) y con un valor de coeficiente de correlación de valor medio y negativo (</w:t>
      </w:r>
      <w:r>
        <w:rPr>
          <w:rFonts w:ascii="Times New Roman" w:cs="Times New Roman" w:eastAsia="Times New Roman" w:hAnsi="Times New Roman"/>
          <w:sz w:val="21"/>
          <w:szCs w:val="21"/>
          <w:i w:val="1"/>
          <w:iCs w:val="1"/>
          <w:color w:val="auto"/>
        </w:rPr>
        <w:t>r</w:t>
      </w:r>
      <w:r>
        <w:rPr>
          <w:rFonts w:ascii="Times New Roman" w:cs="Times New Roman" w:eastAsia="Times New Roman" w:hAnsi="Times New Roman"/>
          <w:sz w:val="21"/>
          <w:szCs w:val="21"/>
          <w:color w:val="auto"/>
        </w:rPr>
        <w:t xml:space="preserve"> = -0.375718): un organismo con un tamaño corporal más grande presentaría un corazón pequeño y viceversa. De esto se puede concluir que se presenta una estrategia de historias de vida conocida como </w:t>
      </w:r>
      <w:r>
        <w:rPr>
          <w:rFonts w:ascii="Times New Roman" w:cs="Times New Roman" w:eastAsia="Times New Roman" w:hAnsi="Times New Roman"/>
          <w:sz w:val="21"/>
          <w:szCs w:val="21"/>
          <w:i w:val="1"/>
          <w:iCs w:val="1"/>
          <w:color w:val="auto"/>
        </w:rPr>
        <w:t>trade off</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trueque</w:t>
      </w:r>
      <w:r>
        <w:rPr>
          <w:rFonts w:ascii="Times New Roman" w:cs="Times New Roman" w:eastAsia="Times New Roman" w:hAnsi="Times New Roman"/>
          <w:sz w:val="21"/>
          <w:szCs w:val="21"/>
          <w:color w:val="auto"/>
        </w:rPr>
        <w:t>), que consiste en que los organismos destinan su energía para incrementar el desarrollo de alguna característica, pero se ve afectada o disminuida el de otra. Tampoco se pudo definir un patrón en relación con la altitud por el hecho de que los organismos que habitan a altitudes bajas son similares a los que viven a altitudes elevadas tanto en morfometría corporal como del corazón.</w:t>
      </w:r>
    </w:p>
    <w:p>
      <w:pPr>
        <w:spacing w:after="0" w:line="200" w:lineRule="exact"/>
        <w:rPr>
          <w:sz w:val="20"/>
          <w:szCs w:val="20"/>
          <w:color w:val="auto"/>
        </w:rPr>
      </w:pPr>
    </w:p>
    <w:p>
      <w:pPr>
        <w:spacing w:after="0" w:line="200" w:lineRule="exact"/>
        <w:rPr>
          <w:sz w:val="20"/>
          <w:szCs w:val="20"/>
          <w:color w:val="auto"/>
        </w:rPr>
      </w:pPr>
    </w:p>
    <w:p>
      <w:pPr>
        <w:spacing w:after="0" w:line="204"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Diferencias con respecto al modo de paridad</w:t>
      </w:r>
    </w:p>
    <w:p>
      <w:pPr>
        <w:spacing w:after="0" w:line="387" w:lineRule="exact"/>
        <w:rPr>
          <w:sz w:val="20"/>
          <w:szCs w:val="20"/>
          <w:color w:val="auto"/>
        </w:rPr>
      </w:pPr>
    </w:p>
    <w:p>
      <w:pPr>
        <w:jc w:val="both"/>
        <w:spacing w:after="0" w:line="330" w:lineRule="auto"/>
        <w:rPr>
          <w:sz w:val="20"/>
          <w:szCs w:val="20"/>
          <w:color w:val="auto"/>
        </w:rPr>
      </w:pPr>
      <w:r>
        <w:rPr>
          <w:rFonts w:ascii="Times New Roman" w:cs="Times New Roman" w:eastAsia="Times New Roman" w:hAnsi="Times New Roman"/>
          <w:sz w:val="21"/>
          <w:szCs w:val="21"/>
          <w:color w:val="auto"/>
        </w:rPr>
        <w:t>Adicionalmente, se buscaron diferencias entre especies (</w:t>
      </w:r>
      <w:r>
        <w:rPr>
          <w:rFonts w:ascii="Times New Roman" w:cs="Times New Roman" w:eastAsia="Times New Roman" w:hAnsi="Times New Roman"/>
          <w:sz w:val="21"/>
          <w:szCs w:val="21"/>
          <w:i w:val="1"/>
          <w:iCs w:val="1"/>
          <w:color w:val="auto"/>
        </w:rPr>
        <w:t>S. aeneus</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S. bicanthalis</w:t>
      </w:r>
      <w:r>
        <w:rPr>
          <w:rFonts w:ascii="Times New Roman" w:cs="Times New Roman" w:eastAsia="Times New Roman" w:hAnsi="Times New Roman"/>
          <w:sz w:val="21"/>
          <w:szCs w:val="21"/>
          <w:color w:val="auto"/>
        </w:rPr>
        <w:t xml:space="preserve">), pues al tener un modo distinto de paridad era posible que presentaran un tamaño del corazón diferente, ya que para </w:t>
      </w:r>
      <w:r>
        <w:rPr>
          <w:rFonts w:ascii="Times New Roman" w:cs="Times New Roman" w:eastAsia="Times New Roman" w:hAnsi="Times New Roman"/>
          <w:sz w:val="21"/>
          <w:szCs w:val="21"/>
          <w:i w:val="1"/>
          <w:iCs w:val="1"/>
          <w:color w:val="auto"/>
        </w:rPr>
        <w:t>S</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bicanthalis</w:t>
      </w:r>
      <w:r>
        <w:rPr>
          <w:rFonts w:ascii="Times New Roman" w:cs="Times New Roman" w:eastAsia="Times New Roman" w:hAnsi="Times New Roman"/>
          <w:sz w:val="21"/>
          <w:szCs w:val="21"/>
          <w:color w:val="auto"/>
        </w:rPr>
        <w:t xml:space="preserve"> el gasto de oxígeno puede ser mayor, debido a que mantener a sus crías durante el periodo de gestación le exige</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336"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130" w:name="page131"/>
    <w:bookmarkEnd w:id="130"/>
    <w:p>
      <w:pPr>
        <w:spacing w:after="0"/>
        <w:tabs>
          <w:tab w:leader="none" w:pos="2100" w:val="left"/>
          <w:tab w:leader="none" w:pos="2960" w:val="left"/>
          <w:tab w:leader="none" w:pos="4120" w:val="left"/>
        </w:tabs>
        <w:rPr>
          <w:sz w:val="20"/>
          <w:szCs w:val="20"/>
          <w:color w:val="auto"/>
        </w:rPr>
      </w:pPr>
      <w:r>
        <w:rPr>
          <w:rFonts w:ascii="Arial Narrow" w:cs="Arial Narrow" w:eastAsia="Arial Narrow" w:hAnsi="Arial Narrow"/>
          <w:sz w:val="16"/>
          <w:szCs w:val="16"/>
          <w:color w:val="auto"/>
        </w:rPr>
        <w:t>130</w:t>
      </w:r>
      <w:r>
        <w:rPr>
          <w:sz w:val="20"/>
          <w:szCs w:val="20"/>
          <w:color w:val="auto"/>
        </w:rPr>
        <w:tab/>
      </w:r>
      <w:r>
        <w:rPr>
          <w:rFonts w:ascii="Arial Narrow" w:cs="Arial Narrow" w:eastAsia="Arial Narrow" w:hAnsi="Arial Narrow"/>
          <w:sz w:val="11"/>
          <w:szCs w:val="11"/>
          <w:color w:val="auto"/>
        </w:rPr>
        <w:t>ruiz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valencia</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1858645</wp:posOffset>
                </wp:positionH>
                <wp:positionV relativeFrom="paragraph">
                  <wp:posOffset>-76835</wp:posOffset>
                </wp:positionV>
                <wp:extent cx="0" cy="88900"/>
                <wp:wrapNone/>
                <wp:docPr id="309" name="Shape 30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09" o:spid="_x0000_s133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6.35pt,-6.0499pt" to="146.3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2602230</wp:posOffset>
                </wp:positionH>
                <wp:positionV relativeFrom="paragraph">
                  <wp:posOffset>-76835</wp:posOffset>
                </wp:positionV>
                <wp:extent cx="0" cy="88900"/>
                <wp:wrapNone/>
                <wp:docPr id="310" name="Shape 31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10" o:spid="_x0000_s133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4.9pt,-6.0499pt" to="204.9pt,0.95pt" o:allowincell="f" strokecolor="#000000" strokeweight="0.4pt"/>
            </w:pict>
          </mc:Fallback>
        </mc:AlternateContent>
      </w:r>
    </w:p>
    <w:p>
      <w:pPr>
        <w:spacing w:after="0" w:line="34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 xml:space="preserve">suministrar el oxígeno para cada una de ellas; mientras que para </w:t>
      </w:r>
      <w:r>
        <w:rPr>
          <w:rFonts w:ascii="Times New Roman" w:cs="Times New Roman" w:eastAsia="Times New Roman" w:hAnsi="Times New Roman"/>
          <w:sz w:val="22"/>
          <w:szCs w:val="22"/>
          <w:i w:val="1"/>
          <w:iCs w:val="1"/>
          <w:color w:val="auto"/>
        </w:rPr>
        <w:t>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aeneus</w:t>
      </w:r>
      <w:r>
        <w:rPr>
          <w:rFonts w:ascii="Times New Roman" w:cs="Times New Roman" w:eastAsia="Times New Roman" w:hAnsi="Times New Roman"/>
          <w:sz w:val="22"/>
          <w:szCs w:val="22"/>
          <w:color w:val="auto"/>
        </w:rPr>
        <w:t xml:space="preserve"> se ha reportado la modificación de las membranas extraembrionarias durante estadios avanzados del desarrollo embrionario, variación con un funcionamiento similar al de una especie vivípara en el transporte de elementos de la madre a los embriones (Castaños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2009).</w:t>
      </w:r>
    </w:p>
    <w:p>
      <w:pPr>
        <w:spacing w:after="0" w:line="3" w:lineRule="exact"/>
        <w:rPr>
          <w:sz w:val="20"/>
          <w:szCs w:val="20"/>
          <w:color w:val="auto"/>
        </w:rPr>
      </w:pPr>
    </w:p>
    <w:p>
      <w:pPr>
        <w:jc w:val="both"/>
        <w:ind w:firstLine="360"/>
        <w:spacing w:after="0" w:line="321" w:lineRule="auto"/>
        <w:rPr>
          <w:sz w:val="20"/>
          <w:szCs w:val="20"/>
          <w:color w:val="auto"/>
        </w:rPr>
      </w:pPr>
      <w:r>
        <w:rPr>
          <w:rFonts w:ascii="Times New Roman" w:cs="Times New Roman" w:eastAsia="Times New Roman" w:hAnsi="Times New Roman"/>
          <w:sz w:val="21"/>
          <w:szCs w:val="21"/>
          <w:color w:val="auto"/>
        </w:rPr>
        <w:t xml:space="preserve">Para ambas especies se encontraron diferencias significativas en cuanto a la altitud, pero no entre sexos. En una especie ovípara, la morfología corporal es de menor relevancia que el corazón conforme aumenta la altitud (figura 10); en cambio, para </w:t>
      </w:r>
      <w:r>
        <w:rPr>
          <w:rFonts w:ascii="Times New Roman" w:cs="Times New Roman" w:eastAsia="Times New Roman" w:hAnsi="Times New Roman"/>
          <w:sz w:val="21"/>
          <w:szCs w:val="21"/>
          <w:i w:val="1"/>
          <w:iCs w:val="1"/>
          <w:color w:val="auto"/>
        </w:rPr>
        <w:t xml:space="preserve">S. bicanthalis </w:t>
      </w:r>
      <w:r>
        <w:rPr>
          <w:rFonts w:ascii="Times New Roman" w:cs="Times New Roman" w:eastAsia="Times New Roman" w:hAnsi="Times New Roman"/>
          <w:sz w:val="21"/>
          <w:szCs w:val="21"/>
          <w:color w:val="auto"/>
        </w:rPr>
        <w:t>se presenta una respuesta inversa, ya que la morfología corporal adquiere</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importancia en tanto la del corazón disminuye conforme se asciende en altitud (figura 11), por lo que cada especie desarrolló una estrategia diferente para moldear estas características de acuerdo con el proceso de selección al que se encuentran expuestas en su ambiente. Estos resultados son otro punto a favor de la inferencia de que alguna otra modificación histológica, fisiológica, bioquímica o genética actúa en los organismos para que logren adaptarse a ambientes extremos y puedan presentar un modo reproductor que represente mayor gasto energético.</w:t>
      </w:r>
    </w:p>
    <w:p>
      <w:pPr>
        <w:spacing w:after="0" w:line="200" w:lineRule="exact"/>
        <w:rPr>
          <w:sz w:val="20"/>
          <w:szCs w:val="20"/>
          <w:color w:val="auto"/>
        </w:rPr>
      </w:pPr>
    </w:p>
    <w:p>
      <w:pPr>
        <w:spacing w:after="0" w:line="200" w:lineRule="exact"/>
        <w:rPr>
          <w:sz w:val="20"/>
          <w:szCs w:val="20"/>
          <w:color w:val="auto"/>
        </w:rPr>
      </w:pPr>
    </w:p>
    <w:p>
      <w:pPr>
        <w:spacing w:after="0" w:line="20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Explicación con respecto a la relación filogenética</w:t>
      </w:r>
    </w:p>
    <w:p>
      <w:pPr>
        <w:spacing w:after="0" w:line="387" w:lineRule="exact"/>
        <w:rPr>
          <w:sz w:val="20"/>
          <w:szCs w:val="20"/>
          <w:color w:val="auto"/>
        </w:rPr>
      </w:pPr>
    </w:p>
    <w:p>
      <w:pPr>
        <w:jc w:val="both"/>
        <w:spacing w:after="0" w:line="309" w:lineRule="auto"/>
        <w:rPr>
          <w:sz w:val="20"/>
          <w:szCs w:val="20"/>
          <w:color w:val="auto"/>
        </w:rPr>
      </w:pPr>
      <w:r>
        <w:rPr>
          <w:rFonts w:ascii="Times New Roman" w:cs="Times New Roman" w:eastAsia="Times New Roman" w:hAnsi="Times New Roman"/>
          <w:sz w:val="22"/>
          <w:szCs w:val="22"/>
          <w:color w:val="auto"/>
        </w:rPr>
        <w:t xml:space="preserve">Con la finalidad de dar una explicación más amplia de los resultados obtenidos, se llevó a cabo una revisión bibliográfica de las relaciones filogenéticas del grupo </w:t>
      </w:r>
      <w:r>
        <w:rPr>
          <w:rFonts w:ascii="Times New Roman" w:cs="Times New Roman" w:eastAsia="Times New Roman" w:hAnsi="Times New Roman"/>
          <w:sz w:val="22"/>
          <w:szCs w:val="22"/>
          <w:i w:val="1"/>
          <w:iCs w:val="1"/>
          <w:color w:val="auto"/>
        </w:rPr>
        <w:t>Scalaris</w:t>
      </w:r>
      <w:r>
        <w:rPr>
          <w:rFonts w:ascii="Times New Roman" w:cs="Times New Roman" w:eastAsia="Times New Roman" w:hAnsi="Times New Roman"/>
          <w:sz w:val="22"/>
          <w:szCs w:val="22"/>
          <w:color w:val="auto"/>
        </w:rPr>
        <w:t xml:space="preserve"> obtenidas a partir de estudios genéticos reportados por Meza (2007) y Benabib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(1997), y se integró un árbol filogenético para las poblaciones de este estudio, como en la figura 12 se muestra.</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6"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311" name="Shape 31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11" o:spid="_x0000_s133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312" name="Shape 31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12" o:spid="_x0000_s133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313" name="Shape 31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13" o:spid="_x0000_s133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31" w:name="page132"/>
    <w:bookmarkEnd w:id="131"/>
    <w:p>
      <w:pPr>
        <w:ind w:left="1180"/>
        <w:spacing w:after="0"/>
        <w:tabs>
          <w:tab w:leader="dot" w:pos="6960" w:val="left"/>
        </w:tabs>
        <w:rPr>
          <w:sz w:val="20"/>
          <w:szCs w:val="20"/>
          <w:color w:val="auto"/>
        </w:rPr>
      </w:pPr>
      <w:r>
        <w:rPr>
          <w:rFonts w:ascii="Arial Narrow" w:cs="Arial Narrow" w:eastAsia="Arial Narrow" w:hAnsi="Arial Narrow"/>
          <w:sz w:val="11"/>
          <w:szCs w:val="11"/>
          <w:color w:val="auto"/>
        </w:rPr>
        <w:t>morfometría externa del corazón de dos especies hermanas del grupo scalaris</w:t>
      </w:r>
      <w:r>
        <w:rPr>
          <w:sz w:val="20"/>
          <w:szCs w:val="20"/>
          <w:color w:val="auto"/>
        </w:rPr>
        <w:tab/>
      </w:r>
      <w:r>
        <w:rPr>
          <w:rFonts w:ascii="Arial Narrow" w:cs="Arial Narrow" w:eastAsia="Arial Narrow" w:hAnsi="Arial Narrow"/>
          <w:sz w:val="16"/>
          <w:szCs w:val="16"/>
          <w:color w:val="auto"/>
        </w:rPr>
        <w:t>131</w:t>
      </w:r>
    </w:p>
    <w:p>
      <w:pPr>
        <w:spacing w:after="0" w:line="200" w:lineRule="exact"/>
        <w:rPr>
          <w:sz w:val="20"/>
          <w:szCs w:val="20"/>
          <w:color w:val="auto"/>
        </w:rPr>
      </w:pPr>
    </w:p>
    <w:p>
      <w:pPr>
        <w:spacing w:after="0" w:line="356" w:lineRule="exact"/>
        <w:rPr>
          <w:sz w:val="20"/>
          <w:szCs w:val="20"/>
          <w:color w:val="auto"/>
        </w:rPr>
      </w:pPr>
    </w:p>
    <w:p>
      <w:pPr>
        <w:ind w:left="3260"/>
        <w:spacing w:after="0"/>
        <w:rPr>
          <w:sz w:val="20"/>
          <w:szCs w:val="20"/>
          <w:color w:val="auto"/>
        </w:rPr>
      </w:pPr>
      <w:r>
        <w:rPr>
          <w:rFonts w:ascii="Times New Roman" w:cs="Times New Roman" w:eastAsia="Times New Roman" w:hAnsi="Times New Roman"/>
          <w:sz w:val="18"/>
          <w:szCs w:val="18"/>
          <w:i w:val="1"/>
          <w:iCs w:val="1"/>
          <w:color w:val="auto"/>
        </w:rPr>
        <w:t>Figura 12</w:t>
      </w:r>
    </w:p>
    <w:p>
      <w:pPr>
        <w:spacing w:after="0" w:line="279"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325120</wp:posOffset>
                </wp:positionH>
                <wp:positionV relativeFrom="paragraph">
                  <wp:posOffset>1798320</wp:posOffset>
                </wp:positionV>
                <wp:extent cx="1400810" cy="0"/>
                <wp:wrapNone/>
                <wp:docPr id="314" name="Shape 31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00810" cy="0"/>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14" o:spid="_x0000_s133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5.6pt,141.6pt" to="135.9pt,141.6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934085</wp:posOffset>
                </wp:positionH>
                <wp:positionV relativeFrom="paragraph">
                  <wp:posOffset>1036320</wp:posOffset>
                </wp:positionV>
                <wp:extent cx="791845" cy="0"/>
                <wp:wrapNone/>
                <wp:docPr id="315" name="Shape 31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791845" cy="0"/>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15" o:spid="_x0000_s134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73.55pt,81.6pt" to="135.9pt,81.6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934085</wp:posOffset>
                </wp:positionH>
                <wp:positionV relativeFrom="paragraph">
                  <wp:posOffset>1417955</wp:posOffset>
                </wp:positionV>
                <wp:extent cx="791845" cy="0"/>
                <wp:wrapNone/>
                <wp:docPr id="316" name="Shape 31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791845" cy="0"/>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16" o:spid="_x0000_s134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73.55pt,111.65pt" to="135.9pt,111.65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937260</wp:posOffset>
                </wp:positionH>
                <wp:positionV relativeFrom="paragraph">
                  <wp:posOffset>1033145</wp:posOffset>
                </wp:positionV>
                <wp:extent cx="0" cy="387985"/>
                <wp:wrapNone/>
                <wp:docPr id="317" name="Shape 31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387985"/>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17" o:spid="_x0000_s134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73.8pt,81.35pt" to="73.8pt,111.9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656590</wp:posOffset>
                </wp:positionH>
                <wp:positionV relativeFrom="paragraph">
                  <wp:posOffset>1233170</wp:posOffset>
                </wp:positionV>
                <wp:extent cx="283845" cy="0"/>
                <wp:wrapNone/>
                <wp:docPr id="318" name="Shape 31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283845" cy="0"/>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18" o:spid="_x0000_s134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51.7pt,97.1pt" to="74.05pt,97.1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930910</wp:posOffset>
                </wp:positionH>
                <wp:positionV relativeFrom="paragraph">
                  <wp:posOffset>273685</wp:posOffset>
                </wp:positionV>
                <wp:extent cx="795020" cy="0"/>
                <wp:wrapNone/>
                <wp:docPr id="319" name="Shape 31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795020" cy="0"/>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19" o:spid="_x0000_s134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73.3pt,21.55pt" to="135.9pt,21.55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930910</wp:posOffset>
                </wp:positionH>
                <wp:positionV relativeFrom="paragraph">
                  <wp:posOffset>655320</wp:posOffset>
                </wp:positionV>
                <wp:extent cx="795020" cy="0"/>
                <wp:wrapNone/>
                <wp:docPr id="320" name="Shape 32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795020" cy="0"/>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20" o:spid="_x0000_s134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73.3pt,51.6pt" to="135.9pt,51.6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934085</wp:posOffset>
                </wp:positionH>
                <wp:positionV relativeFrom="paragraph">
                  <wp:posOffset>270510</wp:posOffset>
                </wp:positionV>
                <wp:extent cx="0" cy="387985"/>
                <wp:wrapNone/>
                <wp:docPr id="321" name="Shape 32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387985"/>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21" o:spid="_x0000_s134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73.55pt,21.3pt" to="73.55pt,51.85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656590</wp:posOffset>
                </wp:positionH>
                <wp:positionV relativeFrom="paragraph">
                  <wp:posOffset>466090</wp:posOffset>
                </wp:positionV>
                <wp:extent cx="280670" cy="0"/>
                <wp:wrapNone/>
                <wp:docPr id="322" name="Shape 32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280670" cy="0"/>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22" o:spid="_x0000_s134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51.7pt,36.7pt" to="73.8pt,36.7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659765</wp:posOffset>
                </wp:positionH>
                <wp:positionV relativeFrom="paragraph">
                  <wp:posOffset>462915</wp:posOffset>
                </wp:positionV>
                <wp:extent cx="0" cy="773430"/>
                <wp:wrapNone/>
                <wp:docPr id="323" name="Shape 32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773430"/>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23" o:spid="_x0000_s134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51.95pt,36.45pt" to="51.95pt,97.35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325120</wp:posOffset>
                </wp:positionH>
                <wp:positionV relativeFrom="paragraph">
                  <wp:posOffset>850265</wp:posOffset>
                </wp:positionV>
                <wp:extent cx="337820" cy="0"/>
                <wp:wrapNone/>
                <wp:docPr id="324" name="Shape 32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37820" cy="0"/>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24" o:spid="_x0000_s134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5.6pt,66.95pt" to="52.2pt,66.95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0</wp:posOffset>
                </wp:positionH>
                <wp:positionV relativeFrom="paragraph">
                  <wp:posOffset>1236345</wp:posOffset>
                </wp:positionV>
                <wp:extent cx="331470" cy="0"/>
                <wp:wrapNone/>
                <wp:docPr id="325" name="Shape 32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31470" cy="0"/>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25" o:spid="_x0000_s135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97.35pt" to="26.1pt,97.35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328295</wp:posOffset>
                </wp:positionH>
                <wp:positionV relativeFrom="paragraph">
                  <wp:posOffset>847090</wp:posOffset>
                </wp:positionV>
                <wp:extent cx="0" cy="954405"/>
                <wp:wrapNone/>
                <wp:docPr id="326" name="Shape 32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954405"/>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26" o:spid="_x0000_s135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5.85pt,66.7pt" to="25.85pt,141.85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4568190</wp:posOffset>
                </wp:positionH>
                <wp:positionV relativeFrom="paragraph">
                  <wp:posOffset>124460</wp:posOffset>
                </wp:positionV>
                <wp:extent cx="0" cy="1847215"/>
                <wp:wrapNone/>
                <wp:docPr id="327" name="Shape 32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1847215"/>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27" o:spid="_x0000_s135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59.7pt,9.8pt" to="359.7pt,155.25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0</wp:posOffset>
                </wp:positionH>
                <wp:positionV relativeFrom="paragraph">
                  <wp:posOffset>127635</wp:posOffset>
                </wp:positionV>
                <wp:extent cx="4571365" cy="0"/>
                <wp:wrapNone/>
                <wp:docPr id="328" name="Shape 32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571365" cy="0"/>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28" o:spid="_x0000_s135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10.05pt" to="359.95pt,10.05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3175</wp:posOffset>
                </wp:positionH>
                <wp:positionV relativeFrom="paragraph">
                  <wp:posOffset>124460</wp:posOffset>
                </wp:positionV>
                <wp:extent cx="0" cy="1847215"/>
                <wp:wrapNone/>
                <wp:docPr id="329" name="Shape 32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1847215"/>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29" o:spid="_x0000_s135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25pt,9.8pt" to="0.25pt,155.25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0</wp:posOffset>
                </wp:positionH>
                <wp:positionV relativeFrom="paragraph">
                  <wp:posOffset>1968500</wp:posOffset>
                </wp:positionV>
                <wp:extent cx="4571365" cy="0"/>
                <wp:wrapNone/>
                <wp:docPr id="330" name="Shape 33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571365" cy="0"/>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30" o:spid="_x0000_s135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155pt" to="359.95pt,155pt" o:allowincell="f" strokecolor="#000000" strokeweight="0.5pt"/>
            </w:pict>
          </mc:Fallback>
        </mc:AlternateContent>
      </w:r>
    </w:p>
    <w:p>
      <w:pPr>
        <w:ind w:left="3020"/>
        <w:spacing w:after="0"/>
        <w:rPr>
          <w:sz w:val="20"/>
          <w:szCs w:val="20"/>
          <w:color w:val="auto"/>
        </w:rPr>
      </w:pPr>
      <w:r>
        <w:rPr>
          <w:rFonts w:ascii="Times New Roman" w:cs="Times New Roman" w:eastAsia="Times New Roman" w:hAnsi="Times New Roman"/>
          <w:sz w:val="24"/>
          <w:szCs w:val="24"/>
          <w:b w:val="1"/>
          <w:bCs w:val="1"/>
          <w:i w:val="1"/>
          <w:iCs w:val="1"/>
          <w:color w:val="auto"/>
        </w:rPr>
        <w:t xml:space="preserve">S. bicanthalis </w:t>
      </w:r>
      <w:r>
        <w:rPr>
          <w:rFonts w:ascii="Times New Roman" w:cs="Times New Roman" w:eastAsia="Times New Roman" w:hAnsi="Times New Roman"/>
          <w:sz w:val="24"/>
          <w:szCs w:val="24"/>
          <w:color w:val="auto"/>
        </w:rPr>
        <w:t>Nevado de Toluca (4200 m)</w:t>
      </w:r>
    </w:p>
    <w:p>
      <w:pPr>
        <w:spacing w:after="0" w:line="324" w:lineRule="exact"/>
        <w:rPr>
          <w:sz w:val="20"/>
          <w:szCs w:val="20"/>
          <w:color w:val="auto"/>
        </w:rPr>
      </w:pPr>
    </w:p>
    <w:p>
      <w:pPr>
        <w:ind w:left="3020"/>
        <w:spacing w:after="0"/>
        <w:rPr>
          <w:sz w:val="20"/>
          <w:szCs w:val="20"/>
          <w:color w:val="auto"/>
        </w:rPr>
      </w:pPr>
      <w:r>
        <w:rPr>
          <w:rFonts w:ascii="Times New Roman" w:cs="Times New Roman" w:eastAsia="Times New Roman" w:hAnsi="Times New Roman"/>
          <w:sz w:val="24"/>
          <w:szCs w:val="24"/>
          <w:b w:val="1"/>
          <w:bCs w:val="1"/>
          <w:i w:val="1"/>
          <w:iCs w:val="1"/>
          <w:color w:val="auto"/>
        </w:rPr>
        <w:t xml:space="preserve">S. bicanthalis </w:t>
      </w:r>
      <w:r>
        <w:rPr>
          <w:rFonts w:ascii="Times New Roman" w:cs="Times New Roman" w:eastAsia="Times New Roman" w:hAnsi="Times New Roman"/>
          <w:sz w:val="24"/>
          <w:szCs w:val="24"/>
          <w:color w:val="auto"/>
        </w:rPr>
        <w:t>Nopalillo (2857 m)</w:t>
      </w:r>
    </w:p>
    <w:p>
      <w:pPr>
        <w:spacing w:after="0" w:line="324" w:lineRule="exact"/>
        <w:rPr>
          <w:sz w:val="20"/>
          <w:szCs w:val="20"/>
          <w:color w:val="auto"/>
        </w:rPr>
      </w:pPr>
    </w:p>
    <w:p>
      <w:pPr>
        <w:ind w:left="3020"/>
        <w:spacing w:after="0"/>
        <w:rPr>
          <w:sz w:val="20"/>
          <w:szCs w:val="20"/>
          <w:color w:val="auto"/>
        </w:rPr>
      </w:pPr>
      <w:r>
        <w:rPr>
          <w:rFonts w:ascii="Times New Roman" w:cs="Times New Roman" w:eastAsia="Times New Roman" w:hAnsi="Times New Roman"/>
          <w:sz w:val="24"/>
          <w:szCs w:val="24"/>
          <w:b w:val="1"/>
          <w:bCs w:val="1"/>
          <w:i w:val="1"/>
          <w:iCs w:val="1"/>
          <w:color w:val="auto"/>
        </w:rPr>
        <w:t xml:space="preserve">S. aeneus </w:t>
      </w:r>
      <w:r>
        <w:rPr>
          <w:rFonts w:ascii="Times New Roman" w:cs="Times New Roman" w:eastAsia="Times New Roman" w:hAnsi="Times New Roman"/>
          <w:sz w:val="24"/>
          <w:szCs w:val="24"/>
          <w:color w:val="auto"/>
        </w:rPr>
        <w:t>El Mapa (3245 m)</w:t>
      </w:r>
    </w:p>
    <w:p>
      <w:pPr>
        <w:spacing w:after="0" w:line="324" w:lineRule="exact"/>
        <w:rPr>
          <w:sz w:val="20"/>
          <w:szCs w:val="20"/>
          <w:color w:val="auto"/>
        </w:rPr>
      </w:pPr>
    </w:p>
    <w:p>
      <w:pPr>
        <w:ind w:left="3020"/>
        <w:spacing w:after="0"/>
        <w:rPr>
          <w:sz w:val="20"/>
          <w:szCs w:val="20"/>
          <w:color w:val="auto"/>
        </w:rPr>
      </w:pPr>
      <w:r>
        <w:rPr>
          <w:rFonts w:ascii="Times New Roman" w:cs="Times New Roman" w:eastAsia="Times New Roman" w:hAnsi="Times New Roman"/>
          <w:sz w:val="24"/>
          <w:szCs w:val="24"/>
          <w:b w:val="1"/>
          <w:bCs w:val="1"/>
          <w:i w:val="1"/>
          <w:iCs w:val="1"/>
          <w:color w:val="auto"/>
        </w:rPr>
        <w:t xml:space="preserve">S. aeneus </w:t>
      </w:r>
      <w:r>
        <w:rPr>
          <w:rFonts w:ascii="Times New Roman" w:cs="Times New Roman" w:eastAsia="Times New Roman" w:hAnsi="Times New Roman"/>
          <w:sz w:val="24"/>
          <w:szCs w:val="24"/>
          <w:color w:val="auto"/>
        </w:rPr>
        <w:t>Milpa Alta (2645 m)</w:t>
      </w:r>
    </w:p>
    <w:p>
      <w:pPr>
        <w:spacing w:after="0" w:line="330" w:lineRule="exact"/>
        <w:rPr>
          <w:sz w:val="20"/>
          <w:szCs w:val="20"/>
          <w:color w:val="auto"/>
        </w:rPr>
      </w:pPr>
    </w:p>
    <w:p>
      <w:pPr>
        <w:ind w:left="3020"/>
        <w:spacing w:after="0"/>
        <w:rPr>
          <w:sz w:val="20"/>
          <w:szCs w:val="20"/>
          <w:color w:val="auto"/>
        </w:rPr>
      </w:pPr>
      <w:r>
        <w:rPr>
          <w:rFonts w:ascii="Times New Roman" w:cs="Times New Roman" w:eastAsia="Times New Roman" w:hAnsi="Times New Roman"/>
          <w:sz w:val="24"/>
          <w:szCs w:val="24"/>
          <w:b w:val="1"/>
          <w:bCs w:val="1"/>
          <w:i w:val="1"/>
          <w:iCs w:val="1"/>
          <w:color w:val="auto"/>
        </w:rPr>
        <w:t>S. scalaris</w:t>
      </w:r>
    </w:p>
    <w:p>
      <w:pPr>
        <w:spacing w:after="0" w:line="334" w:lineRule="exact"/>
        <w:rPr>
          <w:sz w:val="20"/>
          <w:szCs w:val="20"/>
          <w:color w:val="auto"/>
        </w:rPr>
      </w:pPr>
    </w:p>
    <w:p>
      <w:pPr>
        <w:jc w:val="both"/>
        <w:spacing w:after="0" w:line="311" w:lineRule="auto"/>
        <w:rPr>
          <w:sz w:val="20"/>
          <w:szCs w:val="20"/>
          <w:color w:val="auto"/>
        </w:rPr>
      </w:pPr>
      <w:r>
        <w:rPr>
          <w:rFonts w:ascii="Times New Roman" w:cs="Times New Roman" w:eastAsia="Times New Roman" w:hAnsi="Times New Roman"/>
          <w:sz w:val="16"/>
          <w:szCs w:val="16"/>
          <w:color w:val="auto"/>
        </w:rPr>
        <w:t xml:space="preserve">Relaciones filogenéticas de algunas poblaciones del grupo </w:t>
      </w:r>
      <w:r>
        <w:rPr>
          <w:rFonts w:ascii="Times New Roman" w:cs="Times New Roman" w:eastAsia="Times New Roman" w:hAnsi="Times New Roman"/>
          <w:sz w:val="16"/>
          <w:szCs w:val="16"/>
          <w:i w:val="1"/>
          <w:iCs w:val="1"/>
          <w:color w:val="auto"/>
        </w:rPr>
        <w:t>Scalaris</w:t>
      </w:r>
      <w:r>
        <w:rPr>
          <w:rFonts w:ascii="Times New Roman" w:cs="Times New Roman" w:eastAsia="Times New Roman" w:hAnsi="Times New Roman"/>
          <w:sz w:val="16"/>
          <w:szCs w:val="16"/>
          <w:color w:val="auto"/>
        </w:rPr>
        <w:t xml:space="preserve"> (Fuente: elaboración propia a partir de Benabib, 1997; Meza, 2007).</w:t>
      </w:r>
    </w:p>
    <w:p>
      <w:pPr>
        <w:spacing w:after="0" w:line="200" w:lineRule="exact"/>
        <w:rPr>
          <w:sz w:val="20"/>
          <w:szCs w:val="20"/>
          <w:color w:val="auto"/>
        </w:rPr>
      </w:pPr>
    </w:p>
    <w:p>
      <w:pPr>
        <w:spacing w:after="0" w:line="313" w:lineRule="exact"/>
        <w:rPr>
          <w:sz w:val="20"/>
          <w:szCs w:val="20"/>
          <w:color w:val="auto"/>
        </w:rPr>
      </w:pPr>
    </w:p>
    <w:p>
      <w:pPr>
        <w:jc w:val="both"/>
        <w:spacing w:after="0" w:line="318" w:lineRule="auto"/>
        <w:rPr>
          <w:sz w:val="20"/>
          <w:szCs w:val="20"/>
          <w:color w:val="auto"/>
        </w:rPr>
      </w:pPr>
      <w:r>
        <w:rPr>
          <w:rFonts w:ascii="Times New Roman" w:cs="Times New Roman" w:eastAsia="Times New Roman" w:hAnsi="Times New Roman"/>
          <w:sz w:val="21"/>
          <w:szCs w:val="21"/>
          <w:color w:val="auto"/>
        </w:rPr>
        <w:t>El hecho de que únicamente la población del Nopalillo (2 800 msnm) tuviera diferencias significativas en cuanto a la morfología, y trasladando esta información al árbol filogenético, permite sugerir que la diferencia del fenotipo puede ser explicada por procesos selectivos locales a los que reacciona mediante plasticidad fenotípica para adaptarse, ya que de un mismo genotipo que se encuentra expuesto a diferentes ambientes puede resultar la variabilidad fenotípica (Díaz, 2002). Esto puede deberse a que se encuentra alejada y fuera del intervalo geográfico de las tres localidades restantes, dos pertenecientes al Estado de México y la última relativamente cercana (Distrito Federal), lo que conlleva variación de otros factores, como ambientales y conductuales, además de la altitud.</w:t>
      </w:r>
    </w:p>
    <w:p>
      <w:pPr>
        <w:jc w:val="both"/>
        <w:ind w:firstLine="360"/>
        <w:spacing w:after="0" w:line="342" w:lineRule="auto"/>
        <w:rPr>
          <w:sz w:val="20"/>
          <w:szCs w:val="20"/>
          <w:color w:val="auto"/>
        </w:rPr>
      </w:pPr>
      <w:r>
        <w:rPr>
          <w:rFonts w:ascii="Times New Roman" w:cs="Times New Roman" w:eastAsia="Times New Roman" w:hAnsi="Times New Roman"/>
          <w:sz w:val="20"/>
          <w:szCs w:val="20"/>
          <w:color w:val="auto"/>
        </w:rPr>
        <w:t>Mediante un análisis de la morfometría del corazón en cuanto al reporte filogenético (figura 12), tal parece que la variación tampoco sigue un patrón evolutivo ni de inercia filogenética (herencia ancestral), más bien se trata de un proceso de selección natural y adaptación al ambiente; por tanto, no se debería esperar una respuesta lineal entre la altitud y el tamaño del corazón, sino la integración de otros cambios histiológicos, bioquímicos, metabólicos que les permiten a las especies contrarrestar las restricciones ambientales a mayores altitudes.</w:t>
      </w:r>
    </w:p>
    <w:p>
      <w:pPr>
        <w:sectPr>
          <w:pgSz w:w="9360" w:h="13039" w:orient="portrait"/>
          <w:cols w:equalWidth="0" w:num="1">
            <w:col w:w="7200"/>
          </w:cols>
          <w:pgMar w:left="1080" w:top="905" w:right="1080" w:bottom="437" w:gutter="0" w:footer="0" w:header="0"/>
        </w:sectPr>
      </w:pPr>
    </w:p>
    <w:p>
      <w:pPr>
        <w:spacing w:after="0" w:line="200" w:lineRule="exact"/>
        <w:rPr>
          <w:sz w:val="20"/>
          <w:szCs w:val="20"/>
          <w:color w:val="auto"/>
        </w:rPr>
      </w:pPr>
    </w:p>
    <w:p>
      <w:pPr>
        <w:spacing w:after="0" w:line="311"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132" w:name="page133"/>
    <w:bookmarkEnd w:id="132"/>
    <w:p>
      <w:pPr>
        <w:spacing w:after="0"/>
        <w:tabs>
          <w:tab w:leader="none" w:pos="2100" w:val="left"/>
          <w:tab w:leader="none" w:pos="2960" w:val="left"/>
          <w:tab w:leader="none" w:pos="4120" w:val="left"/>
        </w:tabs>
        <w:rPr>
          <w:sz w:val="20"/>
          <w:szCs w:val="20"/>
          <w:color w:val="auto"/>
        </w:rPr>
      </w:pPr>
      <w:r>
        <w:rPr>
          <w:rFonts w:ascii="Arial Narrow" w:cs="Arial Narrow" w:eastAsia="Arial Narrow" w:hAnsi="Arial Narrow"/>
          <w:sz w:val="16"/>
          <w:szCs w:val="16"/>
          <w:color w:val="auto"/>
        </w:rPr>
        <w:t>132</w:t>
      </w:r>
      <w:r>
        <w:rPr>
          <w:sz w:val="20"/>
          <w:szCs w:val="20"/>
          <w:color w:val="auto"/>
        </w:rPr>
        <w:tab/>
      </w:r>
      <w:r>
        <w:rPr>
          <w:rFonts w:ascii="Arial Narrow" w:cs="Arial Narrow" w:eastAsia="Arial Narrow" w:hAnsi="Arial Narrow"/>
          <w:sz w:val="11"/>
          <w:szCs w:val="11"/>
          <w:color w:val="auto"/>
        </w:rPr>
        <w:t>ruiz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valencia</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1858645</wp:posOffset>
                </wp:positionH>
                <wp:positionV relativeFrom="paragraph">
                  <wp:posOffset>-76835</wp:posOffset>
                </wp:positionV>
                <wp:extent cx="0" cy="88900"/>
                <wp:wrapNone/>
                <wp:docPr id="331" name="Shape 33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31" o:spid="_x0000_s135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6.35pt,-6.0499pt" to="146.3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2602230</wp:posOffset>
                </wp:positionH>
                <wp:positionV relativeFrom="paragraph">
                  <wp:posOffset>-76835</wp:posOffset>
                </wp:positionV>
                <wp:extent cx="0" cy="88900"/>
                <wp:wrapNone/>
                <wp:docPr id="332" name="Shape 33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32" o:spid="_x0000_s135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4.9pt,-6.0499pt" to="204.9pt,0.95pt" o:allowincell="f" strokecolor="#000000" strokeweight="0.4pt"/>
            </w:pict>
          </mc:Fallback>
        </mc:AlternateContent>
      </w:r>
    </w:p>
    <w:p>
      <w:pPr>
        <w:spacing w:after="0" w:line="34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Referencias</w:t>
      </w:r>
    </w:p>
    <w:p>
      <w:pPr>
        <w:spacing w:after="0" w:line="387" w:lineRule="exact"/>
        <w:rPr>
          <w:sz w:val="20"/>
          <w:szCs w:val="20"/>
          <w:color w:val="auto"/>
        </w:rPr>
      </w:pPr>
    </w:p>
    <w:p>
      <w:pPr>
        <w:jc w:val="right"/>
        <w:spacing w:after="0" w:line="333" w:lineRule="auto"/>
        <w:rPr>
          <w:sz w:val="20"/>
          <w:szCs w:val="20"/>
          <w:color w:val="auto"/>
        </w:rPr>
      </w:pPr>
      <w:r>
        <w:rPr>
          <w:rFonts w:ascii="Times New Roman" w:cs="Times New Roman" w:eastAsia="Times New Roman" w:hAnsi="Times New Roman"/>
          <w:sz w:val="20"/>
          <w:szCs w:val="20"/>
          <w:color w:val="auto"/>
        </w:rPr>
        <w:t xml:space="preserve">Benabib, M. (1993), “Los vertebrados y las historias de la vida”, </w:t>
      </w:r>
      <w:r>
        <w:rPr>
          <w:rFonts w:ascii="Times New Roman" w:cs="Times New Roman" w:eastAsia="Times New Roman" w:hAnsi="Times New Roman"/>
          <w:sz w:val="20"/>
          <w:szCs w:val="20"/>
          <w:i w:val="1"/>
          <w:iCs w:val="1"/>
          <w:color w:val="auto"/>
        </w:rPr>
        <w:t>Ciencias,</w:t>
      </w:r>
      <w:r>
        <w:rPr>
          <w:rFonts w:ascii="Times New Roman" w:cs="Times New Roman" w:eastAsia="Times New Roman" w:hAnsi="Times New Roman"/>
          <w:sz w:val="20"/>
          <w:szCs w:val="20"/>
          <w:color w:val="auto"/>
        </w:rPr>
        <w:t xml:space="preserve"> 7, pp. 23-31. Benabib, M., M. K. Kjer y W. J. Sites (1997), “Mitochondrial dna sequences-based phylogeny and the evolution viviparity in the </w:t>
      </w:r>
      <w:r>
        <w:rPr>
          <w:rFonts w:ascii="Times New Roman" w:cs="Times New Roman" w:eastAsia="Times New Roman" w:hAnsi="Times New Roman"/>
          <w:sz w:val="20"/>
          <w:szCs w:val="20"/>
          <w:i w:val="1"/>
          <w:iCs w:val="1"/>
          <w:color w:val="auto"/>
        </w:rPr>
        <w:t>Sceloporus scalaris</w:t>
      </w:r>
      <w:r>
        <w:rPr>
          <w:rFonts w:ascii="Times New Roman" w:cs="Times New Roman" w:eastAsia="Times New Roman" w:hAnsi="Times New Roman"/>
          <w:sz w:val="20"/>
          <w:szCs w:val="20"/>
          <w:color w:val="auto"/>
        </w:rPr>
        <w:t xml:space="preserve"> group (Reptilia,</w:t>
      </w:r>
    </w:p>
    <w:p>
      <w:pPr>
        <w:spacing w:after="0" w:line="3" w:lineRule="exact"/>
        <w:rPr>
          <w:sz w:val="20"/>
          <w:szCs w:val="20"/>
          <w:color w:val="auto"/>
        </w:rPr>
      </w:pPr>
    </w:p>
    <w:p>
      <w:pPr>
        <w:ind w:left="360"/>
        <w:spacing w:after="0"/>
        <w:rPr>
          <w:sz w:val="20"/>
          <w:szCs w:val="20"/>
          <w:color w:val="auto"/>
        </w:rPr>
      </w:pPr>
      <w:r>
        <w:rPr>
          <w:rFonts w:ascii="Times New Roman" w:cs="Times New Roman" w:eastAsia="Times New Roman" w:hAnsi="Times New Roman"/>
          <w:sz w:val="22"/>
          <w:szCs w:val="22"/>
          <w:color w:val="auto"/>
        </w:rPr>
        <w:t xml:space="preserve">Squamata)”, </w:t>
      </w:r>
      <w:r>
        <w:rPr>
          <w:rFonts w:ascii="Times New Roman" w:cs="Times New Roman" w:eastAsia="Times New Roman" w:hAnsi="Times New Roman"/>
          <w:sz w:val="22"/>
          <w:szCs w:val="22"/>
          <w:i w:val="1"/>
          <w:iCs w:val="1"/>
          <w:color w:val="auto"/>
        </w:rPr>
        <w:t>Evolution,</w:t>
      </w:r>
      <w:r>
        <w:rPr>
          <w:rFonts w:ascii="Times New Roman" w:cs="Times New Roman" w:eastAsia="Times New Roman" w:hAnsi="Times New Roman"/>
          <w:sz w:val="22"/>
          <w:szCs w:val="22"/>
          <w:color w:val="auto"/>
        </w:rPr>
        <w:t xml:space="preserve"> 4, pp. 1262-1275.</w:t>
      </w:r>
    </w:p>
    <w:p>
      <w:pPr>
        <w:spacing w:after="0" w:line="67"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Castaños, M., M. Villagrán, F. de J. Rodríguez, F. Méndez, O. Hernández y A. Martínez (2009), “Histología de las membranas extraembrionarias durante la retención intrauterina en </w:t>
      </w:r>
      <w:r>
        <w:rPr>
          <w:rFonts w:ascii="Times New Roman" w:cs="Times New Roman" w:eastAsia="Times New Roman" w:hAnsi="Times New Roman"/>
          <w:sz w:val="22"/>
          <w:szCs w:val="22"/>
          <w:i w:val="1"/>
          <w:iCs w:val="1"/>
          <w:color w:val="auto"/>
        </w:rPr>
        <w:t>Sceloporus aeneus</w:t>
      </w:r>
      <w:r>
        <w:rPr>
          <w:rFonts w:ascii="Times New Roman" w:cs="Times New Roman" w:eastAsia="Times New Roman" w:hAnsi="Times New Roman"/>
          <w:sz w:val="22"/>
          <w:szCs w:val="22"/>
          <w:color w:val="auto"/>
        </w:rPr>
        <w:t xml:space="preserve"> (Squamata: Phrynosomatidae)”, </w:t>
      </w:r>
      <w:r>
        <w:rPr>
          <w:rFonts w:ascii="Times New Roman" w:cs="Times New Roman" w:eastAsia="Times New Roman" w:hAnsi="Times New Roman"/>
          <w:sz w:val="22"/>
          <w:szCs w:val="22"/>
          <w:i w:val="1"/>
          <w:iCs w:val="1"/>
          <w:color w:val="auto"/>
        </w:rPr>
        <w:t>Acta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Zoológica Mexicana</w:t>
      </w:r>
      <w:r>
        <w:rPr>
          <w:rFonts w:ascii="Times New Roman" w:cs="Times New Roman" w:eastAsia="Times New Roman" w:hAnsi="Times New Roman"/>
          <w:sz w:val="22"/>
          <w:szCs w:val="22"/>
          <w:color w:val="auto"/>
        </w:rPr>
        <w:t>, 2, pp. 303-314.</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Díaz, J. (2002), “El método comparativo en biología evolutiva”, </w:t>
      </w:r>
      <w:r>
        <w:rPr>
          <w:rFonts w:ascii="Times New Roman" w:cs="Times New Roman" w:eastAsia="Times New Roman" w:hAnsi="Times New Roman"/>
          <w:sz w:val="22"/>
          <w:szCs w:val="22"/>
          <w:i w:val="1"/>
          <w:iCs w:val="1"/>
          <w:color w:val="auto"/>
        </w:rPr>
        <w:t>Etologuía,</w:t>
      </w:r>
      <w:r>
        <w:rPr>
          <w:rFonts w:ascii="Times New Roman" w:cs="Times New Roman" w:eastAsia="Times New Roman" w:hAnsi="Times New Roman"/>
          <w:sz w:val="22"/>
          <w:szCs w:val="22"/>
          <w:color w:val="auto"/>
        </w:rPr>
        <w:t xml:space="preserve"> 19-20, pp. 37-82.</w:t>
      </w:r>
    </w:p>
    <w:p>
      <w:pPr>
        <w:spacing w:after="0" w:line="1"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 xml:space="preserve">Enciclopedia de los Municipios de México </w:t>
      </w:r>
      <w:r>
        <w:rPr>
          <w:rFonts w:ascii="Times New Roman" w:cs="Times New Roman" w:eastAsia="Times New Roman" w:hAnsi="Times New Roman"/>
          <w:sz w:val="22"/>
          <w:szCs w:val="22"/>
          <w:color w:val="auto"/>
        </w:rPr>
        <w:t>(1998), México.</w:t>
      </w:r>
    </w:p>
    <w:p>
      <w:pPr>
        <w:spacing w:after="0" w:line="67"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Frisancho, R. (1990), “Functional adaptation to high altitude hypoxia”, en </w:t>
      </w:r>
      <w:r>
        <w:rPr>
          <w:rFonts w:ascii="Times New Roman" w:cs="Times New Roman" w:eastAsia="Times New Roman" w:hAnsi="Times New Roman"/>
          <w:sz w:val="22"/>
          <w:szCs w:val="22"/>
          <w:i w:val="1"/>
          <w:iCs w:val="1"/>
          <w:color w:val="auto"/>
        </w:rPr>
        <w:t>Para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conocer al hombre. Homenaje a Santiago Genovés. A los 33 años como investigador en la </w:t>
      </w:r>
      <w:r>
        <w:rPr>
          <w:rFonts w:ascii="Times New Roman" w:cs="Times New Roman" w:eastAsia="Times New Roman" w:hAnsi="Times New Roman"/>
          <w:sz w:val="15"/>
          <w:szCs w:val="15"/>
          <w:i w:val="1"/>
          <w:iCs w:val="1"/>
          <w:color w:val="auto"/>
        </w:rPr>
        <w:t>unam</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México, unam, pp. 481-489.</w:t>
      </w:r>
    </w:p>
    <w:p>
      <w:pPr>
        <w:spacing w:after="0" w:line="2"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 xml:space="preserve">García, E. (1981), </w:t>
      </w:r>
      <w:r>
        <w:rPr>
          <w:rFonts w:ascii="Times New Roman" w:cs="Times New Roman" w:eastAsia="Times New Roman" w:hAnsi="Times New Roman"/>
          <w:sz w:val="21"/>
          <w:szCs w:val="21"/>
          <w:i w:val="1"/>
          <w:iCs w:val="1"/>
          <w:color w:val="auto"/>
        </w:rPr>
        <w:t>Modificaciones al sistema de clasificación climática de Köeppen,</w:t>
      </w:r>
    </w:p>
    <w:p>
      <w:pPr>
        <w:spacing w:after="0" w:line="79" w:lineRule="exact"/>
        <w:rPr>
          <w:sz w:val="20"/>
          <w:szCs w:val="20"/>
          <w:color w:val="auto"/>
        </w:rPr>
      </w:pPr>
    </w:p>
    <w:p>
      <w:pPr>
        <w:ind w:left="360"/>
        <w:spacing w:after="0"/>
        <w:rPr>
          <w:sz w:val="20"/>
          <w:szCs w:val="20"/>
          <w:color w:val="auto"/>
        </w:rPr>
      </w:pPr>
      <w:r>
        <w:rPr>
          <w:rFonts w:ascii="Times New Roman" w:cs="Times New Roman" w:eastAsia="Times New Roman" w:hAnsi="Times New Roman"/>
          <w:sz w:val="22"/>
          <w:szCs w:val="22"/>
          <w:color w:val="auto"/>
        </w:rPr>
        <w:t>México, Offset Larios.</w:t>
      </w:r>
    </w:p>
    <w:p>
      <w:pPr>
        <w:spacing w:after="0" w:line="67" w:lineRule="exact"/>
        <w:rPr>
          <w:sz w:val="20"/>
          <w:szCs w:val="20"/>
          <w:color w:val="auto"/>
        </w:rPr>
      </w:pPr>
    </w:p>
    <w:p>
      <w:pPr>
        <w:jc w:val="both"/>
        <w:ind w:left="360" w:hanging="359"/>
        <w:spacing w:after="0" w:line="284" w:lineRule="auto"/>
        <w:rPr>
          <w:sz w:val="20"/>
          <w:szCs w:val="20"/>
          <w:color w:val="auto"/>
        </w:rPr>
      </w:pPr>
      <w:r>
        <w:rPr>
          <w:rFonts w:ascii="Times New Roman" w:cs="Times New Roman" w:eastAsia="Times New Roman" w:hAnsi="Times New Roman"/>
          <w:sz w:val="22"/>
          <w:szCs w:val="22"/>
          <w:color w:val="auto"/>
        </w:rPr>
        <w:t xml:space="preserve">Guyton, A. C. y J. E. Hall (2006), </w:t>
      </w:r>
      <w:r>
        <w:rPr>
          <w:rFonts w:ascii="Times New Roman" w:cs="Times New Roman" w:eastAsia="Times New Roman" w:hAnsi="Times New Roman"/>
          <w:sz w:val="22"/>
          <w:szCs w:val="22"/>
          <w:i w:val="1"/>
          <w:iCs w:val="1"/>
          <w:color w:val="auto"/>
        </w:rPr>
        <w:t>Textbook of medical physiology</w:t>
      </w:r>
      <w:r>
        <w:rPr>
          <w:rFonts w:ascii="Times New Roman" w:cs="Times New Roman" w:eastAsia="Times New Roman" w:hAnsi="Times New Roman"/>
          <w:sz w:val="22"/>
          <w:szCs w:val="22"/>
          <w:color w:val="auto"/>
        </w:rPr>
        <w:t>, Universidad de California, Elsevier Saunders, 11</w:t>
      </w:r>
      <w:r>
        <w:rPr>
          <w:rFonts w:ascii="Times New Roman" w:cs="Times New Roman" w:eastAsia="Times New Roman" w:hAnsi="Times New Roman"/>
          <w:sz w:val="25"/>
          <w:szCs w:val="25"/>
          <w:color w:val="auto"/>
          <w:vertAlign w:val="superscript"/>
        </w:rPr>
        <w:t>a</w:t>
      </w:r>
      <w:r>
        <w:rPr>
          <w:rFonts w:ascii="Times New Roman" w:cs="Times New Roman" w:eastAsia="Times New Roman" w:hAnsi="Times New Roman"/>
          <w:sz w:val="22"/>
          <w:szCs w:val="22"/>
          <w:color w:val="auto"/>
        </w:rPr>
        <w:t xml:space="preserve"> ed.</w:t>
      </w: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Heinemann, L., G</w:t>
      </w:r>
      <w:r>
        <w:rPr>
          <w:rFonts w:ascii="Times New Roman" w:cs="Times New Roman" w:eastAsia="Times New Roman" w:hAnsi="Times New Roman"/>
          <w:sz w:val="22"/>
          <w:szCs w:val="22"/>
          <w:i w:val="1"/>
          <w:iCs w:val="1"/>
          <w:color w:val="auto"/>
        </w:rPr>
        <w:t>.</w:t>
      </w:r>
      <w:r>
        <w:rPr>
          <w:rFonts w:ascii="Times New Roman" w:cs="Times New Roman" w:eastAsia="Times New Roman" w:hAnsi="Times New Roman"/>
          <w:sz w:val="22"/>
          <w:szCs w:val="22"/>
          <w:color w:val="auto"/>
        </w:rPr>
        <w:t xml:space="preserve"> Enderlein y S. Heide (2001), “El concepto de factor de riesgo en la enfermedad cardiovascular. El cuerpo humano”, en </w:t>
      </w:r>
      <w:r>
        <w:rPr>
          <w:rFonts w:ascii="Times New Roman" w:cs="Times New Roman" w:eastAsia="Times New Roman" w:hAnsi="Times New Roman"/>
          <w:sz w:val="22"/>
          <w:szCs w:val="22"/>
          <w:i w:val="1"/>
          <w:iCs w:val="1"/>
          <w:color w:val="auto"/>
        </w:rPr>
        <w:t>Enciclopedia de salud</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y seguridad en el trabajo</w:t>
      </w:r>
      <w:r>
        <w:rPr>
          <w:rFonts w:ascii="Times New Roman" w:cs="Times New Roman" w:eastAsia="Times New Roman" w:hAnsi="Times New Roman"/>
          <w:sz w:val="22"/>
          <w:szCs w:val="22"/>
          <w:color w:val="auto"/>
        </w:rPr>
        <w:t>, Madrid, Ministerio de Trabajo y Asuntos Sociales/</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Subdirección General de Publicaciones, pp. 22-26, 3ª ed.</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Hernández Cortés, R., J. Gil Cebrián, A. Fernández Ruiz y Mª A. Ruiz-Cabello (1999), “Patología de la altitud”, en samiuc (Sociedad Andaluza de Medicina Intensiva, Urgencias y Coronarias), </w:t>
      </w:r>
      <w:r>
        <w:rPr>
          <w:rFonts w:ascii="Times New Roman" w:cs="Times New Roman" w:eastAsia="Times New Roman" w:hAnsi="Times New Roman"/>
          <w:sz w:val="22"/>
          <w:szCs w:val="22"/>
          <w:i w:val="1"/>
          <w:iCs w:val="1"/>
          <w:color w:val="auto"/>
        </w:rPr>
        <w:t>Principios de urgencias, emergencias y cuidados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especiales</w:t>
      </w:r>
      <w:r>
        <w:rPr>
          <w:rFonts w:ascii="Times New Roman" w:cs="Times New Roman" w:eastAsia="Times New Roman" w:hAnsi="Times New Roman"/>
          <w:sz w:val="22"/>
          <w:szCs w:val="22"/>
          <w:color w:val="auto"/>
        </w:rPr>
        <w:t>, España, Alhulia.</w:t>
      </w:r>
    </w:p>
    <w:p>
      <w:pPr>
        <w:spacing w:after="0" w:line="2" w:lineRule="exact"/>
        <w:rPr>
          <w:sz w:val="20"/>
          <w:szCs w:val="20"/>
          <w:color w:val="auto"/>
        </w:rPr>
      </w:pPr>
    </w:p>
    <w:p>
      <w:pPr>
        <w:jc w:val="both"/>
        <w:spacing w:after="0" w:line="296" w:lineRule="auto"/>
        <w:rPr>
          <w:sz w:val="20"/>
          <w:szCs w:val="20"/>
          <w:color w:val="auto"/>
        </w:rPr>
      </w:pPr>
      <w:r>
        <w:rPr>
          <w:rFonts w:ascii="Times New Roman" w:cs="Times New Roman" w:eastAsia="Times New Roman" w:hAnsi="Times New Roman"/>
          <w:sz w:val="21"/>
          <w:szCs w:val="21"/>
          <w:color w:val="auto"/>
        </w:rPr>
        <w:t xml:space="preserve">Hill, W. R., G. A. Wyse y M. Anderson (2008), </w:t>
      </w:r>
      <w:r>
        <w:rPr>
          <w:rFonts w:ascii="Times New Roman" w:cs="Times New Roman" w:eastAsia="Times New Roman" w:hAnsi="Times New Roman"/>
          <w:sz w:val="21"/>
          <w:szCs w:val="21"/>
          <w:i w:val="1"/>
          <w:iCs w:val="1"/>
          <w:color w:val="auto"/>
        </w:rPr>
        <w:t>Animal physiology</w:t>
      </w:r>
      <w:r>
        <w:rPr>
          <w:rFonts w:ascii="Times New Roman" w:cs="Times New Roman" w:eastAsia="Times New Roman" w:hAnsi="Times New Roman"/>
          <w:sz w:val="21"/>
          <w:szCs w:val="21"/>
          <w:color w:val="auto"/>
        </w:rPr>
        <w:t>, Sinauer, 2</w:t>
      </w:r>
      <w:r>
        <w:rPr>
          <w:rFonts w:ascii="Times New Roman" w:cs="Times New Roman" w:eastAsia="Times New Roman" w:hAnsi="Times New Roman"/>
          <w:sz w:val="24"/>
          <w:szCs w:val="24"/>
          <w:color w:val="auto"/>
          <w:vertAlign w:val="superscript"/>
        </w:rPr>
        <w:t>a</w:t>
      </w:r>
      <w:r>
        <w:rPr>
          <w:rFonts w:ascii="Times New Roman" w:cs="Times New Roman" w:eastAsia="Times New Roman" w:hAnsi="Times New Roman"/>
          <w:sz w:val="21"/>
          <w:szCs w:val="21"/>
          <w:color w:val="auto"/>
        </w:rPr>
        <w:t xml:space="preserve"> ed. Husak, J. F. (2006), “Do female collared lizards change field use of maximal sprint</w:t>
      </w:r>
    </w:p>
    <w:p>
      <w:pPr>
        <w:spacing w:after="0" w:line="2" w:lineRule="exact"/>
        <w:rPr>
          <w:sz w:val="20"/>
          <w:szCs w:val="20"/>
          <w:color w:val="auto"/>
        </w:rPr>
      </w:pPr>
    </w:p>
    <w:p>
      <w:pPr>
        <w:ind w:left="360"/>
        <w:spacing w:after="0"/>
        <w:rPr>
          <w:sz w:val="20"/>
          <w:szCs w:val="20"/>
          <w:color w:val="auto"/>
        </w:rPr>
      </w:pPr>
      <w:r>
        <w:rPr>
          <w:rFonts w:ascii="Times New Roman" w:cs="Times New Roman" w:eastAsia="Times New Roman" w:hAnsi="Times New Roman"/>
          <w:sz w:val="22"/>
          <w:szCs w:val="22"/>
          <w:color w:val="auto"/>
        </w:rPr>
        <w:t xml:space="preserve">speed capacity when gravid?”, </w:t>
      </w:r>
      <w:r>
        <w:rPr>
          <w:rFonts w:ascii="Times New Roman" w:cs="Times New Roman" w:eastAsia="Times New Roman" w:hAnsi="Times New Roman"/>
          <w:sz w:val="22"/>
          <w:szCs w:val="22"/>
          <w:i w:val="1"/>
          <w:iCs w:val="1"/>
          <w:color w:val="auto"/>
        </w:rPr>
        <w:t>Oecologia</w:t>
      </w:r>
      <w:r>
        <w:rPr>
          <w:rFonts w:ascii="Times New Roman" w:cs="Times New Roman" w:eastAsia="Times New Roman" w:hAnsi="Times New Roman"/>
          <w:sz w:val="22"/>
          <w:szCs w:val="22"/>
          <w:color w:val="auto"/>
        </w:rPr>
        <w:t>, 2, pp. 339-343.</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333" name="Shape 33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33" o:spid="_x0000_s135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334" name="Shape 33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34" o:spid="_x0000_s135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335" name="Shape 33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35" o:spid="_x0000_s136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33" w:name="page134"/>
    <w:bookmarkEnd w:id="133"/>
    <w:p>
      <w:pPr>
        <w:ind w:left="820"/>
        <w:spacing w:after="0"/>
        <w:tabs>
          <w:tab w:leader="dot" w:pos="6600" w:val="left"/>
        </w:tabs>
        <w:rPr>
          <w:sz w:val="20"/>
          <w:szCs w:val="20"/>
          <w:color w:val="auto"/>
        </w:rPr>
      </w:pPr>
      <w:r>
        <w:rPr>
          <w:rFonts w:ascii="Arial Narrow" w:cs="Arial Narrow" w:eastAsia="Arial Narrow" w:hAnsi="Arial Narrow"/>
          <w:sz w:val="11"/>
          <w:szCs w:val="11"/>
          <w:color w:val="auto"/>
        </w:rPr>
        <w:t>morfometría externa del corazón de dos especies hermanas del grupo scalaris</w:t>
      </w:r>
      <w:r>
        <w:rPr>
          <w:sz w:val="20"/>
          <w:szCs w:val="20"/>
          <w:color w:val="auto"/>
        </w:rPr>
        <w:tab/>
      </w:r>
      <w:r>
        <w:rPr>
          <w:rFonts w:ascii="Arial Narrow" w:cs="Arial Narrow" w:eastAsia="Arial Narrow" w:hAnsi="Arial Narrow"/>
          <w:sz w:val="16"/>
          <w:szCs w:val="16"/>
          <w:color w:val="auto"/>
        </w:rPr>
        <w:t>133</w:t>
      </w:r>
    </w:p>
    <w:p>
      <w:pPr>
        <w:spacing w:after="0" w:line="200" w:lineRule="exact"/>
        <w:rPr>
          <w:sz w:val="20"/>
          <w:szCs w:val="20"/>
          <w:color w:val="auto"/>
        </w:rPr>
      </w:pPr>
    </w:p>
    <w:p>
      <w:pPr>
        <w:spacing w:after="0" w:line="349"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Kaliontzopoulou, A., M. A. Carretero y G. Llorente (2007), “Multivariate and geometric morphometrics in the analysis of sexual dimorphism variation in</w:t>
      </w:r>
    </w:p>
    <w:p>
      <w:pPr>
        <w:spacing w:after="0" w:line="1"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 xml:space="preserve">Podarcis </w:t>
      </w:r>
      <w:r>
        <w:rPr>
          <w:rFonts w:ascii="Times New Roman" w:cs="Times New Roman" w:eastAsia="Times New Roman" w:hAnsi="Times New Roman"/>
          <w:sz w:val="22"/>
          <w:szCs w:val="22"/>
          <w:color w:val="auto"/>
        </w:rPr>
        <w:t>lizads”,</w:t>
      </w:r>
      <w:r>
        <w:rPr>
          <w:rFonts w:ascii="Times New Roman" w:cs="Times New Roman" w:eastAsia="Times New Roman" w:hAnsi="Times New Roman"/>
          <w:sz w:val="22"/>
          <w:szCs w:val="22"/>
          <w:i w:val="1"/>
          <w:iCs w:val="1"/>
          <w:color w:val="auto"/>
        </w:rPr>
        <w:t xml:space="preserve"> Journal of Morphology</w:t>
      </w:r>
      <w:r>
        <w:rPr>
          <w:rFonts w:ascii="Times New Roman" w:cs="Times New Roman" w:eastAsia="Times New Roman" w:hAnsi="Times New Roman"/>
          <w:sz w:val="22"/>
          <w:szCs w:val="22"/>
          <w:color w:val="auto"/>
        </w:rPr>
        <w:t>, 268, pp. 152-165.</w:t>
      </w:r>
    </w:p>
    <w:p>
      <w:pPr>
        <w:spacing w:after="0" w:line="67"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Marques, I. J., J. T. D. Leito, H. P. Spaink, J. Testerink, R. T. Jaspers, F. Witte, S. van der Berg y C. P. Bagowski (2008), “Transcriptome analysis of the response to chronic constant hypoxia in zebrafish hearts”, </w:t>
      </w:r>
      <w:r>
        <w:rPr>
          <w:rFonts w:ascii="Times New Roman" w:cs="Times New Roman" w:eastAsia="Times New Roman" w:hAnsi="Times New Roman"/>
          <w:sz w:val="22"/>
          <w:szCs w:val="22"/>
          <w:i w:val="1"/>
          <w:iCs w:val="1"/>
          <w:color w:val="auto"/>
        </w:rPr>
        <w:t>Journal Comparative Physiology,</w:t>
      </w:r>
      <w:r>
        <w:rPr>
          <w:rFonts w:ascii="Times New Roman" w:cs="Times New Roman" w:eastAsia="Times New Roman" w:hAnsi="Times New Roman"/>
          <w:sz w:val="22"/>
          <w:szCs w:val="22"/>
          <w:color w:val="auto"/>
        </w:rPr>
        <w:t xml:space="preserve"> 1, pp. 77-92.</w:t>
      </w:r>
    </w:p>
    <w:p>
      <w:pPr>
        <w:spacing w:after="0" w:line="2"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Mathies, T. y R. M. Andrews (1996), “Extended egg retention and its influence on embryonic development and egg water balance: implications for the evolution of viviparity”, </w:t>
      </w:r>
      <w:r>
        <w:rPr>
          <w:rFonts w:ascii="Times New Roman" w:cs="Times New Roman" w:eastAsia="Times New Roman" w:hAnsi="Times New Roman"/>
          <w:sz w:val="22"/>
          <w:szCs w:val="22"/>
          <w:i w:val="1"/>
          <w:iCs w:val="1"/>
          <w:color w:val="auto"/>
        </w:rPr>
        <w:t>Physiological Zoology</w:t>
      </w:r>
      <w:r>
        <w:rPr>
          <w:rFonts w:ascii="Times New Roman" w:cs="Times New Roman" w:eastAsia="Times New Roman" w:hAnsi="Times New Roman"/>
          <w:sz w:val="22"/>
          <w:szCs w:val="22"/>
          <w:color w:val="auto"/>
        </w:rPr>
        <w:t>, 5, pp. 1021-1035.</w:t>
      </w:r>
    </w:p>
    <w:p>
      <w:pPr>
        <w:spacing w:after="0" w:line="2"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McGarigal, K., S. Cushman y S. Stafoord (2002), </w:t>
      </w:r>
      <w:r>
        <w:rPr>
          <w:rFonts w:ascii="Times New Roman" w:cs="Times New Roman" w:eastAsia="Times New Roman" w:hAnsi="Times New Roman"/>
          <w:sz w:val="22"/>
          <w:szCs w:val="22"/>
          <w:i w:val="1"/>
          <w:iCs w:val="1"/>
          <w:color w:val="auto"/>
        </w:rPr>
        <w:t>Multivariate statistics for wildlife and</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ecology research</w:t>
      </w:r>
      <w:r>
        <w:rPr>
          <w:rFonts w:ascii="Times New Roman" w:cs="Times New Roman" w:eastAsia="Times New Roman" w:hAnsi="Times New Roman"/>
          <w:sz w:val="22"/>
          <w:szCs w:val="22"/>
          <w:color w:val="auto"/>
        </w:rPr>
        <w:t>, Nueva York, Springer.</w:t>
      </w:r>
    </w:p>
    <w:p>
      <w:pPr>
        <w:spacing w:after="0" w:line="1" w:lineRule="exact"/>
        <w:rPr>
          <w:sz w:val="20"/>
          <w:szCs w:val="20"/>
          <w:color w:val="auto"/>
        </w:rPr>
      </w:pPr>
    </w:p>
    <w:p>
      <w:pPr>
        <w:jc w:val="both"/>
        <w:ind w:hanging="359"/>
        <w:spacing w:after="0" w:line="318" w:lineRule="auto"/>
        <w:rPr>
          <w:sz w:val="20"/>
          <w:szCs w:val="20"/>
          <w:color w:val="auto"/>
        </w:rPr>
      </w:pPr>
      <w:r>
        <w:rPr>
          <w:rFonts w:ascii="Times New Roman" w:cs="Times New Roman" w:eastAsia="Times New Roman" w:hAnsi="Times New Roman"/>
          <w:sz w:val="21"/>
          <w:szCs w:val="21"/>
          <w:color w:val="auto"/>
        </w:rPr>
        <w:t xml:space="preserve">Mentha, A. R. y M. Puja (2008), “The hipoxia of high altitude causes restricted fetal growth in chick embryos with the extent of this extent of this effect depending of maternal altitudinal status”, </w:t>
      </w:r>
      <w:r>
        <w:rPr>
          <w:rFonts w:ascii="Times New Roman" w:cs="Times New Roman" w:eastAsia="Times New Roman" w:hAnsi="Times New Roman"/>
          <w:sz w:val="21"/>
          <w:szCs w:val="21"/>
          <w:i w:val="1"/>
          <w:iCs w:val="1"/>
          <w:color w:val="auto"/>
        </w:rPr>
        <w:t>The Journal of Physiology</w:t>
      </w:r>
      <w:r>
        <w:rPr>
          <w:rFonts w:ascii="Times New Roman" w:cs="Times New Roman" w:eastAsia="Times New Roman" w:hAnsi="Times New Roman"/>
          <w:sz w:val="21"/>
          <w:szCs w:val="21"/>
          <w:color w:val="auto"/>
        </w:rPr>
        <w:t>, 586, pp. 1469-1471.</w:t>
      </w: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Meza, L. R. (2007), </w:t>
      </w:r>
      <w:r>
        <w:rPr>
          <w:rFonts w:ascii="Times New Roman" w:cs="Times New Roman" w:eastAsia="Times New Roman" w:hAnsi="Times New Roman"/>
          <w:sz w:val="22"/>
          <w:szCs w:val="22"/>
          <w:i w:val="1"/>
          <w:iCs w:val="1"/>
          <w:color w:val="auto"/>
        </w:rPr>
        <w:t>Sistemática filogenética del complejo</w:t>
      </w:r>
      <w:r>
        <w:rPr>
          <w:rFonts w:ascii="Times New Roman" w:cs="Times New Roman" w:eastAsia="Times New Roman" w:hAnsi="Times New Roman"/>
          <w:sz w:val="22"/>
          <w:szCs w:val="22"/>
          <w:color w:val="auto"/>
        </w:rPr>
        <w:t xml:space="preserve"> Sceloporus aeneus </w:t>
      </w:r>
      <w:r>
        <w:rPr>
          <w:rFonts w:ascii="Times New Roman" w:cs="Times New Roman" w:eastAsia="Times New Roman" w:hAnsi="Times New Roman"/>
          <w:sz w:val="22"/>
          <w:szCs w:val="22"/>
          <w:i w:val="1"/>
          <w:iCs w:val="1"/>
          <w:color w:val="auto"/>
        </w:rPr>
        <w:t>(Squamata: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Phrynosomatidae)</w:t>
      </w:r>
      <w:r>
        <w:rPr>
          <w:rFonts w:ascii="Times New Roman" w:cs="Times New Roman" w:eastAsia="Times New Roman" w:hAnsi="Times New Roman"/>
          <w:sz w:val="22"/>
          <w:szCs w:val="22"/>
          <w:color w:val="auto"/>
        </w:rPr>
        <w:t>, tesis de posgrado, México, Instituto de Biología/ Universidad</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Nacional Autónoma de México.</w:t>
      </w:r>
    </w:p>
    <w:p>
      <w:pPr>
        <w:spacing w:after="0" w:line="2" w:lineRule="exact"/>
        <w:rPr>
          <w:sz w:val="20"/>
          <w:szCs w:val="20"/>
          <w:color w:val="auto"/>
        </w:rPr>
      </w:pPr>
    </w:p>
    <w:p>
      <w:pPr>
        <w:ind w:hanging="327"/>
        <w:spacing w:after="0" w:line="333" w:lineRule="auto"/>
        <w:rPr>
          <w:sz w:val="20"/>
          <w:szCs w:val="20"/>
          <w:color w:val="auto"/>
        </w:rPr>
      </w:pPr>
      <w:r>
        <w:rPr>
          <w:rFonts w:ascii="Times New Roman" w:cs="Times New Roman" w:eastAsia="Times New Roman" w:hAnsi="Times New Roman"/>
          <w:sz w:val="20"/>
          <w:szCs w:val="20"/>
          <w:color w:val="auto"/>
        </w:rPr>
        <w:t xml:space="preserve">Morrison, C. y J. Marchero (2003), “Geographic variation in life-history characteristics of amphibians: a review”, </w:t>
      </w:r>
      <w:r>
        <w:rPr>
          <w:rFonts w:ascii="Times New Roman" w:cs="Times New Roman" w:eastAsia="Times New Roman" w:hAnsi="Times New Roman"/>
          <w:sz w:val="20"/>
          <w:szCs w:val="20"/>
          <w:i w:val="1"/>
          <w:iCs w:val="1"/>
          <w:color w:val="auto"/>
        </w:rPr>
        <w:t>Journal of Animal Ecology,</w:t>
      </w:r>
      <w:r>
        <w:rPr>
          <w:rFonts w:ascii="Times New Roman" w:cs="Times New Roman" w:eastAsia="Times New Roman" w:hAnsi="Times New Roman"/>
          <w:sz w:val="20"/>
          <w:szCs w:val="20"/>
          <w:color w:val="auto"/>
        </w:rPr>
        <w:t xml:space="preserve"> 72, pp. 270-279.</w:t>
      </w:r>
    </w:p>
    <w:p>
      <w:pPr>
        <w:spacing w:after="0" w:line="2"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Padovani Jr., J. A., R. Monteiro, T. Zan, R. Azoubel, D. de Santi, S. Taboga y A. Martins (2007), “Morphometric analysis of nucleus and nucleolar organizer regions (nors) in tongue squamous cell carcinoma (scc)”, </w:t>
      </w:r>
      <w:r>
        <w:rPr>
          <w:rFonts w:ascii="Times New Roman" w:cs="Times New Roman" w:eastAsia="Times New Roman" w:hAnsi="Times New Roman"/>
          <w:sz w:val="22"/>
          <w:szCs w:val="22"/>
          <w:i w:val="1"/>
          <w:iCs w:val="1"/>
          <w:color w:val="auto"/>
        </w:rPr>
        <w:t>J. Morphol</w:t>
      </w:r>
      <w:r>
        <w:rPr>
          <w:rFonts w:ascii="Times New Roman" w:cs="Times New Roman" w:eastAsia="Times New Roman" w:hAnsi="Times New Roman"/>
          <w:sz w:val="22"/>
          <w:szCs w:val="22"/>
          <w:color w:val="auto"/>
        </w:rPr>
        <w:t>, 3, pp. 493-499.</w:t>
      </w:r>
    </w:p>
    <w:p>
      <w:pPr>
        <w:spacing w:after="0" w:line="2" w:lineRule="exact"/>
        <w:rPr>
          <w:sz w:val="20"/>
          <w:szCs w:val="20"/>
          <w:color w:val="auto"/>
        </w:rPr>
      </w:pPr>
    </w:p>
    <w:p>
      <w:pPr>
        <w:jc w:val="both"/>
        <w:ind w:hanging="359"/>
        <w:spacing w:after="0" w:line="303" w:lineRule="auto"/>
        <w:rPr>
          <w:sz w:val="20"/>
          <w:szCs w:val="20"/>
          <w:color w:val="auto"/>
        </w:rPr>
      </w:pPr>
      <w:r>
        <w:rPr>
          <w:rFonts w:ascii="Times New Roman" w:cs="Times New Roman" w:eastAsia="Times New Roman" w:hAnsi="Times New Roman"/>
          <w:sz w:val="22"/>
          <w:szCs w:val="22"/>
          <w:color w:val="auto"/>
        </w:rPr>
        <w:t xml:space="preserve">Peters, S. E. y D. A. Aulner (2000), “Sexual dimorphism in forelimb muscles of the bullfrog, </w:t>
      </w:r>
      <w:r>
        <w:rPr>
          <w:rFonts w:ascii="Times New Roman" w:cs="Times New Roman" w:eastAsia="Times New Roman" w:hAnsi="Times New Roman"/>
          <w:sz w:val="22"/>
          <w:szCs w:val="22"/>
          <w:i w:val="1"/>
          <w:iCs w:val="1"/>
          <w:color w:val="auto"/>
        </w:rPr>
        <w:t>Rana catesbeiana</w:t>
      </w:r>
      <w:r>
        <w:rPr>
          <w:rFonts w:ascii="Times New Roman" w:cs="Times New Roman" w:eastAsia="Times New Roman" w:hAnsi="Times New Roman"/>
          <w:sz w:val="22"/>
          <w:szCs w:val="22"/>
          <w:color w:val="auto"/>
        </w:rPr>
        <w:t xml:space="preserve">: a functional analysis of isometric contractile properties”, </w:t>
      </w:r>
      <w:r>
        <w:rPr>
          <w:rFonts w:ascii="Times New Roman" w:cs="Times New Roman" w:eastAsia="Times New Roman" w:hAnsi="Times New Roman"/>
          <w:sz w:val="22"/>
          <w:szCs w:val="22"/>
          <w:i w:val="1"/>
          <w:iCs w:val="1"/>
          <w:color w:val="auto"/>
        </w:rPr>
        <w:t>The Journal of Experimental Biology</w:t>
      </w:r>
      <w:r>
        <w:rPr>
          <w:rFonts w:ascii="Times New Roman" w:cs="Times New Roman" w:eastAsia="Times New Roman" w:hAnsi="Times New Roman"/>
          <w:sz w:val="22"/>
          <w:szCs w:val="22"/>
          <w:color w:val="auto"/>
        </w:rPr>
        <w:t>. 23, pp. 3639-3654.</w:t>
      </w:r>
    </w:p>
    <w:p>
      <w:pPr>
        <w:spacing w:after="0" w:line="2" w:lineRule="exact"/>
        <w:rPr>
          <w:sz w:val="20"/>
          <w:szCs w:val="20"/>
          <w:color w:val="auto"/>
        </w:rPr>
      </w:pPr>
    </w:p>
    <w:p>
      <w:pPr>
        <w:jc w:val="both"/>
        <w:ind w:hanging="359"/>
        <w:spacing w:after="0" w:line="311" w:lineRule="auto"/>
        <w:rPr>
          <w:sz w:val="20"/>
          <w:szCs w:val="20"/>
          <w:color w:val="auto"/>
        </w:rPr>
      </w:pPr>
      <w:r>
        <w:rPr>
          <w:rFonts w:ascii="Times New Roman" w:cs="Times New Roman" w:eastAsia="Times New Roman" w:hAnsi="Times New Roman"/>
          <w:sz w:val="22"/>
          <w:szCs w:val="22"/>
          <w:color w:val="auto"/>
        </w:rPr>
        <w:t xml:space="preserve">Plumeer, W. T., C. L. Bishop y F. Hertel (2008), “Habitat preference of extant African bovids based on astragalus morphology: operationalizing ecomorphology for palaeoenvironmental reconstruction”, </w:t>
      </w:r>
      <w:r>
        <w:rPr>
          <w:rFonts w:ascii="Times New Roman" w:cs="Times New Roman" w:eastAsia="Times New Roman" w:hAnsi="Times New Roman"/>
          <w:sz w:val="22"/>
          <w:szCs w:val="22"/>
          <w:i w:val="1"/>
          <w:iCs w:val="1"/>
          <w:color w:val="auto"/>
        </w:rPr>
        <w:t>Journal of Archaeological Science</w:t>
      </w:r>
      <w:r>
        <w:rPr>
          <w:rFonts w:ascii="Times New Roman" w:cs="Times New Roman" w:eastAsia="Times New Roman" w:hAnsi="Times New Roman"/>
          <w:sz w:val="22"/>
          <w:szCs w:val="22"/>
          <w:color w:val="auto"/>
        </w:rPr>
        <w:t>, 11, pp. 3016-3027.</w:t>
      </w:r>
    </w:p>
    <w:p>
      <w:pPr>
        <w:sectPr>
          <w:pgSz w:w="9360" w:h="13039" w:orient="portrait"/>
          <w:cols w:equalWidth="0" w:num="1">
            <w:col w:w="6840"/>
          </w:cols>
          <w:pgMar w:left="1440" w:top="905" w:right="1080" w:bottom="437" w:gutter="0" w:footer="0" w:header="0"/>
        </w:sectPr>
      </w:pPr>
    </w:p>
    <w:p>
      <w:pPr>
        <w:spacing w:after="0" w:line="200" w:lineRule="exact"/>
        <w:rPr>
          <w:sz w:val="20"/>
          <w:szCs w:val="20"/>
          <w:color w:val="auto"/>
        </w:rPr>
      </w:pPr>
    </w:p>
    <w:p>
      <w:pPr>
        <w:spacing w:after="0" w:line="353"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5" w:right="1080" w:bottom="437" w:gutter="0" w:footer="0" w:header="0"/>
          <w:type w:val="continuous"/>
        </w:sectPr>
      </w:pPr>
    </w:p>
    <w:bookmarkStart w:id="134" w:name="page135"/>
    <w:bookmarkEnd w:id="134"/>
    <w:p>
      <w:pPr>
        <w:spacing w:after="0"/>
        <w:tabs>
          <w:tab w:leader="none" w:pos="2100" w:val="left"/>
          <w:tab w:leader="none" w:pos="2960" w:val="left"/>
          <w:tab w:leader="none" w:pos="4120" w:val="left"/>
        </w:tabs>
        <w:rPr>
          <w:sz w:val="20"/>
          <w:szCs w:val="20"/>
          <w:color w:val="auto"/>
        </w:rPr>
      </w:pPr>
      <w:r>
        <w:rPr>
          <w:rFonts w:ascii="Arial Narrow" w:cs="Arial Narrow" w:eastAsia="Arial Narrow" w:hAnsi="Arial Narrow"/>
          <w:sz w:val="16"/>
          <w:szCs w:val="16"/>
          <w:color w:val="auto"/>
        </w:rPr>
        <w:t>134</w:t>
      </w:r>
      <w:r>
        <w:rPr>
          <w:sz w:val="20"/>
          <w:szCs w:val="20"/>
          <w:color w:val="auto"/>
        </w:rPr>
        <w:tab/>
      </w:r>
      <w:r>
        <w:rPr>
          <w:rFonts w:ascii="Arial Narrow" w:cs="Arial Narrow" w:eastAsia="Arial Narrow" w:hAnsi="Arial Narrow"/>
          <w:sz w:val="11"/>
          <w:szCs w:val="11"/>
          <w:color w:val="auto"/>
        </w:rPr>
        <w:t>ruiz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valencia</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méndez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sánchez</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1858645</wp:posOffset>
                </wp:positionH>
                <wp:positionV relativeFrom="paragraph">
                  <wp:posOffset>-76835</wp:posOffset>
                </wp:positionV>
                <wp:extent cx="0" cy="88900"/>
                <wp:wrapNone/>
                <wp:docPr id="336" name="Shape 33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36" o:spid="_x0000_s136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6.35pt,-6.0499pt" to="146.3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2602230</wp:posOffset>
                </wp:positionH>
                <wp:positionV relativeFrom="paragraph">
                  <wp:posOffset>-76835</wp:posOffset>
                </wp:positionV>
                <wp:extent cx="0" cy="88900"/>
                <wp:wrapNone/>
                <wp:docPr id="337" name="Shape 33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37" o:spid="_x0000_s136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4.9pt,-6.0499pt" to="204.9pt,0.95pt" o:allowincell="f" strokecolor="#000000" strokeweight="0.4pt"/>
            </w:pict>
          </mc:Fallback>
        </mc:AlternateContent>
      </w:r>
    </w:p>
    <w:p>
      <w:pPr>
        <w:spacing w:after="0" w:line="34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 xml:space="preserve">Rzedowski, J. (1983), </w:t>
      </w:r>
      <w:r>
        <w:rPr>
          <w:rFonts w:ascii="Times New Roman" w:cs="Times New Roman" w:eastAsia="Times New Roman" w:hAnsi="Times New Roman"/>
          <w:sz w:val="22"/>
          <w:szCs w:val="22"/>
          <w:i w:val="1"/>
          <w:iCs w:val="1"/>
          <w:color w:val="auto"/>
        </w:rPr>
        <w:t>Vegetación de México</w:t>
      </w:r>
      <w:r>
        <w:rPr>
          <w:rFonts w:ascii="Times New Roman" w:cs="Times New Roman" w:eastAsia="Times New Roman" w:hAnsi="Times New Roman"/>
          <w:sz w:val="22"/>
          <w:szCs w:val="22"/>
          <w:color w:val="auto"/>
        </w:rPr>
        <w:t>, Mexico, Limusa.</w:t>
      </w:r>
    </w:p>
    <w:p>
      <w:pPr>
        <w:spacing w:after="0" w:line="67" w:lineRule="exact"/>
        <w:rPr>
          <w:sz w:val="20"/>
          <w:szCs w:val="20"/>
          <w:color w:val="auto"/>
        </w:rPr>
      </w:pPr>
    </w:p>
    <w:p>
      <w:pPr>
        <w:ind w:left="360" w:hanging="359"/>
        <w:spacing w:after="0" w:line="284" w:lineRule="auto"/>
        <w:rPr>
          <w:sz w:val="20"/>
          <w:szCs w:val="20"/>
          <w:color w:val="auto"/>
        </w:rPr>
      </w:pPr>
      <w:r>
        <w:rPr>
          <w:rFonts w:ascii="Times New Roman" w:cs="Times New Roman" w:eastAsia="Times New Roman" w:hAnsi="Times New Roman"/>
          <w:sz w:val="22"/>
          <w:szCs w:val="22"/>
          <w:color w:val="auto"/>
        </w:rPr>
        <w:t xml:space="preserve">Rzedowski, J. (2006), </w:t>
      </w:r>
      <w:r>
        <w:rPr>
          <w:rFonts w:ascii="Times New Roman" w:cs="Times New Roman" w:eastAsia="Times New Roman" w:hAnsi="Times New Roman"/>
          <w:sz w:val="22"/>
          <w:szCs w:val="22"/>
          <w:i w:val="1"/>
          <w:iCs w:val="1"/>
          <w:color w:val="auto"/>
        </w:rPr>
        <w:t>Vegetación de México</w:t>
      </w:r>
      <w:r>
        <w:rPr>
          <w:rFonts w:ascii="Times New Roman" w:cs="Times New Roman" w:eastAsia="Times New Roman" w:hAnsi="Times New Roman"/>
          <w:sz w:val="22"/>
          <w:szCs w:val="22"/>
          <w:color w:val="auto"/>
        </w:rPr>
        <w:t xml:space="preserve"> [1</w:t>
      </w:r>
      <w:r>
        <w:rPr>
          <w:rFonts w:ascii="Times New Roman" w:cs="Times New Roman" w:eastAsia="Times New Roman" w:hAnsi="Times New Roman"/>
          <w:sz w:val="25"/>
          <w:szCs w:val="25"/>
          <w:color w:val="auto"/>
          <w:vertAlign w:val="superscript"/>
        </w:rPr>
        <w:t>a</w:t>
      </w:r>
      <w:r>
        <w:rPr>
          <w:rFonts w:ascii="Times New Roman" w:cs="Times New Roman" w:eastAsia="Times New Roman" w:hAnsi="Times New Roman"/>
          <w:sz w:val="22"/>
          <w:szCs w:val="22"/>
          <w:color w:val="auto"/>
        </w:rPr>
        <w:t xml:space="preserve"> edición digital], Comisión Nacional para el Conocimiento y Uso de la Biodiversidad.</w:t>
      </w:r>
    </w:p>
    <w:p>
      <w:pPr>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Russell, L. (1980), “Sexual dimorphism, sexual selection and adaptation in polygenic characters”, </w:t>
      </w:r>
      <w:r>
        <w:rPr>
          <w:rFonts w:ascii="Times New Roman" w:cs="Times New Roman" w:eastAsia="Times New Roman" w:hAnsi="Times New Roman"/>
          <w:sz w:val="22"/>
          <w:szCs w:val="22"/>
          <w:i w:val="1"/>
          <w:iCs w:val="1"/>
          <w:color w:val="auto"/>
        </w:rPr>
        <w:t>Evolution</w:t>
      </w:r>
      <w:r>
        <w:rPr>
          <w:rFonts w:ascii="Times New Roman" w:cs="Times New Roman" w:eastAsia="Times New Roman" w:hAnsi="Times New Roman"/>
          <w:sz w:val="22"/>
          <w:szCs w:val="22"/>
          <w:color w:val="auto"/>
        </w:rPr>
        <w:t>, 2, pp. 292-305.</w:t>
      </w:r>
    </w:p>
    <w:p>
      <w:pPr>
        <w:spacing w:after="0" w:line="1" w:lineRule="exact"/>
        <w:rPr>
          <w:sz w:val="20"/>
          <w:szCs w:val="20"/>
          <w:color w:val="auto"/>
        </w:rPr>
      </w:pPr>
    </w:p>
    <w:p>
      <w:pPr>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Stanley, F. McCoy y T. A. Baird (2003), </w:t>
      </w:r>
      <w:r>
        <w:rPr>
          <w:rFonts w:ascii="Times New Roman" w:cs="Times New Roman" w:eastAsia="Times New Roman" w:hAnsi="Times New Roman"/>
          <w:sz w:val="22"/>
          <w:szCs w:val="22"/>
          <w:i w:val="1"/>
          <w:iCs w:val="1"/>
          <w:color w:val="auto"/>
        </w:rPr>
        <w:t>Lizards social behavior</w:t>
      </w:r>
      <w:r>
        <w:rPr>
          <w:rFonts w:ascii="Times New Roman" w:cs="Times New Roman" w:eastAsia="Times New Roman" w:hAnsi="Times New Roman"/>
          <w:sz w:val="22"/>
          <w:szCs w:val="22"/>
          <w:color w:val="auto"/>
        </w:rPr>
        <w:t>, Estados Unidos, Johns Hopkins.</w:t>
      </w:r>
    </w:p>
    <w:p>
      <w:pPr>
        <w:spacing w:after="0" w:line="1" w:lineRule="exact"/>
        <w:rPr>
          <w:sz w:val="20"/>
          <w:szCs w:val="20"/>
          <w:color w:val="auto"/>
        </w:rPr>
      </w:pPr>
    </w:p>
    <w:p>
      <w:pPr>
        <w:jc w:val="right"/>
        <w:spacing w:after="0" w:line="318" w:lineRule="auto"/>
        <w:rPr>
          <w:sz w:val="20"/>
          <w:szCs w:val="20"/>
          <w:color w:val="auto"/>
        </w:rPr>
      </w:pPr>
      <w:r>
        <w:rPr>
          <w:rFonts w:ascii="Times New Roman" w:cs="Times New Roman" w:eastAsia="Times New Roman" w:hAnsi="Times New Roman"/>
          <w:sz w:val="20"/>
          <w:szCs w:val="20"/>
          <w:color w:val="auto"/>
        </w:rPr>
        <w:t xml:space="preserve">Thibodeau, G. A. y K. T. Patton (2007), </w:t>
      </w:r>
      <w:r>
        <w:rPr>
          <w:rFonts w:ascii="Times New Roman" w:cs="Times New Roman" w:eastAsia="Times New Roman" w:hAnsi="Times New Roman"/>
          <w:sz w:val="20"/>
          <w:szCs w:val="20"/>
          <w:i w:val="1"/>
          <w:iCs w:val="1"/>
          <w:color w:val="auto"/>
        </w:rPr>
        <w:t>Anatomía y fisiología</w:t>
      </w:r>
      <w:r>
        <w:rPr>
          <w:rFonts w:ascii="Times New Roman" w:cs="Times New Roman" w:eastAsia="Times New Roman" w:hAnsi="Times New Roman"/>
          <w:sz w:val="20"/>
          <w:szCs w:val="20"/>
          <w:color w:val="auto"/>
        </w:rPr>
        <w:t>, España, Elsevier, 6</w:t>
      </w:r>
      <w:r>
        <w:rPr>
          <w:rFonts w:ascii="Times New Roman" w:cs="Times New Roman" w:eastAsia="Times New Roman" w:hAnsi="Times New Roman"/>
          <w:sz w:val="23"/>
          <w:szCs w:val="23"/>
          <w:color w:val="auto"/>
          <w:vertAlign w:val="superscript"/>
        </w:rPr>
        <w:t>a</w:t>
      </w:r>
      <w:r>
        <w:rPr>
          <w:rFonts w:ascii="Times New Roman" w:cs="Times New Roman" w:eastAsia="Times New Roman" w:hAnsi="Times New Roman"/>
          <w:sz w:val="20"/>
          <w:szCs w:val="20"/>
          <w:color w:val="auto"/>
        </w:rPr>
        <w:t xml:space="preserve"> ed. Valencia Flores, A. L. (2008), </w:t>
      </w:r>
      <w:r>
        <w:rPr>
          <w:rFonts w:ascii="Times New Roman" w:cs="Times New Roman" w:eastAsia="Times New Roman" w:hAnsi="Times New Roman"/>
          <w:sz w:val="20"/>
          <w:szCs w:val="20"/>
          <w:i w:val="1"/>
          <w:iCs w:val="1"/>
          <w:color w:val="auto"/>
        </w:rPr>
        <w:t>Ecomorfología en lagartijas de los géneros S</w:t>
      </w:r>
      <w:r>
        <w:rPr>
          <w:rFonts w:ascii="Times New Roman" w:cs="Times New Roman" w:eastAsia="Times New Roman" w:hAnsi="Times New Roman"/>
          <w:sz w:val="20"/>
          <w:szCs w:val="20"/>
          <w:color w:val="auto"/>
        </w:rPr>
        <w:t>celoporus, Aspidoscelis y Lepidophyma (</w:t>
      </w:r>
      <w:r>
        <w:rPr>
          <w:rFonts w:ascii="Times New Roman" w:cs="Times New Roman" w:eastAsia="Times New Roman" w:hAnsi="Times New Roman"/>
          <w:sz w:val="20"/>
          <w:szCs w:val="20"/>
          <w:i w:val="1"/>
          <w:iCs w:val="1"/>
          <w:color w:val="auto"/>
        </w:rPr>
        <w:t>Squamata</w:t>
      </w:r>
      <w:r>
        <w:rPr>
          <w:rFonts w:ascii="Times New Roman" w:cs="Times New Roman" w:eastAsia="Times New Roman" w:hAnsi="Times New Roman"/>
          <w:sz w:val="20"/>
          <w:szCs w:val="20"/>
          <w:color w:val="auto"/>
        </w:rPr>
        <w:t>), tesis de licenciatura, Toluca, Facultad</w:t>
      </w:r>
    </w:p>
    <w:p>
      <w:pPr>
        <w:ind w:left="360"/>
        <w:spacing w:after="0"/>
        <w:rPr>
          <w:sz w:val="20"/>
          <w:szCs w:val="20"/>
          <w:color w:val="auto"/>
        </w:rPr>
      </w:pPr>
      <w:r>
        <w:rPr>
          <w:rFonts w:ascii="Times New Roman" w:cs="Times New Roman" w:eastAsia="Times New Roman" w:hAnsi="Times New Roman"/>
          <w:sz w:val="22"/>
          <w:szCs w:val="22"/>
          <w:color w:val="auto"/>
        </w:rPr>
        <w:t>de Ciencias/Universidad Autónoma del Estado de México.</w:t>
      </w:r>
    </w:p>
    <w:p>
      <w:pPr>
        <w:spacing w:after="0" w:line="67"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Valenzuela, G. V. H. (1986), </w:t>
      </w:r>
      <w:r>
        <w:rPr>
          <w:rFonts w:ascii="Times New Roman" w:cs="Times New Roman" w:eastAsia="Times New Roman" w:hAnsi="Times New Roman"/>
          <w:sz w:val="22"/>
          <w:szCs w:val="22"/>
          <w:i w:val="1"/>
          <w:iCs w:val="1"/>
          <w:color w:val="auto"/>
        </w:rPr>
        <w:t>Estudio preliminar sobre microfagia por animales silvestres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de la Estación Experimental de Fauna Silvestre, San Cayetano, Estado de México</w:t>
      </w:r>
      <w:r>
        <w:rPr>
          <w:rFonts w:ascii="Times New Roman" w:cs="Times New Roman" w:eastAsia="Times New Roman" w:hAnsi="Times New Roman"/>
          <w:sz w:val="22"/>
          <w:szCs w:val="22"/>
          <w:color w:val="auto"/>
        </w:rPr>
        <w:t>, tesis</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de licenciatura, Toluca, Facultad de Ciencias/Universidad Nacional Autónoma de México.</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Vanhooydonck, B. y R. Van Damme (1999), “Evolutionary relationships between body shape and habitat use in Lacertid lizards”, </w:t>
      </w:r>
      <w:r>
        <w:rPr>
          <w:rFonts w:ascii="Times New Roman" w:cs="Times New Roman" w:eastAsia="Times New Roman" w:hAnsi="Times New Roman"/>
          <w:sz w:val="22"/>
          <w:szCs w:val="22"/>
          <w:i w:val="1"/>
          <w:iCs w:val="1"/>
          <w:color w:val="auto"/>
        </w:rPr>
        <w:t>Evolutionary Ecology</w:t>
      </w:r>
      <w:r>
        <w:rPr>
          <w:rFonts w:ascii="Times New Roman" w:cs="Times New Roman" w:eastAsia="Times New Roman" w:hAnsi="Times New Roman"/>
          <w:sz w:val="22"/>
          <w:szCs w:val="22"/>
          <w:color w:val="auto"/>
        </w:rPr>
        <w:t>, 1, pp. 785-805.</w:t>
      </w:r>
    </w:p>
    <w:p>
      <w:pPr>
        <w:spacing w:after="0" w:line="2" w:lineRule="exact"/>
        <w:rPr>
          <w:sz w:val="20"/>
          <w:szCs w:val="20"/>
          <w:color w:val="auto"/>
        </w:rPr>
      </w:pPr>
    </w:p>
    <w:p>
      <w:pPr>
        <w:jc w:val="both"/>
        <w:ind w:left="360" w:hanging="359"/>
        <w:spacing w:after="0" w:line="351" w:lineRule="auto"/>
        <w:rPr>
          <w:sz w:val="20"/>
          <w:szCs w:val="20"/>
          <w:color w:val="auto"/>
        </w:rPr>
      </w:pPr>
      <w:r>
        <w:rPr>
          <w:rFonts w:ascii="Times New Roman" w:cs="Times New Roman" w:eastAsia="Times New Roman" w:hAnsi="Times New Roman"/>
          <w:sz w:val="19"/>
          <w:szCs w:val="19"/>
          <w:color w:val="auto"/>
        </w:rPr>
        <w:t xml:space="preserve">Wainwright, C. P. y R. D Bellwood (2001), “Ecomorphology of feeding in coral reef fishes”, en Peter F. Sale (ed.), </w:t>
      </w:r>
      <w:r>
        <w:rPr>
          <w:rFonts w:ascii="Times New Roman" w:cs="Times New Roman" w:eastAsia="Times New Roman" w:hAnsi="Times New Roman"/>
          <w:sz w:val="19"/>
          <w:szCs w:val="19"/>
          <w:i w:val="1"/>
          <w:iCs w:val="1"/>
          <w:color w:val="auto"/>
        </w:rPr>
        <w:t>Coral reef fishes. Dynamics and diversity in a complex,</w:t>
      </w:r>
    </w:p>
    <w:p>
      <w:pPr>
        <w:spacing w:after="0" w:line="1" w:lineRule="exact"/>
        <w:rPr>
          <w:sz w:val="20"/>
          <w:szCs w:val="20"/>
          <w:color w:val="auto"/>
        </w:rPr>
      </w:pPr>
    </w:p>
    <w:p>
      <w:pPr>
        <w:ind w:left="360"/>
        <w:spacing w:after="0"/>
        <w:rPr>
          <w:sz w:val="20"/>
          <w:szCs w:val="20"/>
          <w:color w:val="auto"/>
        </w:rPr>
      </w:pPr>
      <w:r>
        <w:rPr>
          <w:rFonts w:ascii="Times New Roman" w:cs="Times New Roman" w:eastAsia="Times New Roman" w:hAnsi="Times New Roman"/>
          <w:sz w:val="22"/>
          <w:szCs w:val="22"/>
          <w:color w:val="auto"/>
        </w:rPr>
        <w:t>Estados Unidos, Elsevier.</w:t>
      </w:r>
    </w:p>
    <w:p>
      <w:pPr>
        <w:spacing w:after="0" w:line="6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 xml:space="preserve">Zar, H. J. (1999), </w:t>
      </w:r>
      <w:r>
        <w:rPr>
          <w:rFonts w:ascii="Times New Roman" w:cs="Times New Roman" w:eastAsia="Times New Roman" w:hAnsi="Times New Roman"/>
          <w:sz w:val="22"/>
          <w:szCs w:val="22"/>
          <w:i w:val="1"/>
          <w:iCs w:val="1"/>
          <w:color w:val="auto"/>
        </w:rPr>
        <w:t>Biostatistical analysis</w:t>
      </w:r>
      <w:r>
        <w:rPr>
          <w:rFonts w:ascii="Times New Roman" w:cs="Times New Roman" w:eastAsia="Times New Roman" w:hAnsi="Times New Roman"/>
          <w:sz w:val="22"/>
          <w:szCs w:val="22"/>
          <w:color w:val="auto"/>
        </w:rPr>
        <w:t>, Estados Unidos, Prentice Hall, 4</w:t>
      </w:r>
      <w:r>
        <w:rPr>
          <w:rFonts w:ascii="Times New Roman" w:cs="Times New Roman" w:eastAsia="Times New Roman" w:hAnsi="Times New Roman"/>
          <w:sz w:val="25"/>
          <w:szCs w:val="25"/>
          <w:color w:val="auto"/>
          <w:vertAlign w:val="superscript"/>
        </w:rPr>
        <w:t>a</w:t>
      </w:r>
      <w:r>
        <w:rPr>
          <w:rFonts w:ascii="Times New Roman" w:cs="Times New Roman" w:eastAsia="Times New Roman" w:hAnsi="Times New Roman"/>
          <w:sz w:val="22"/>
          <w:szCs w:val="22"/>
          <w:color w:val="auto"/>
        </w:rPr>
        <w:t xml:space="preserve"> ed.</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7"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338" name="Shape 33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38" o:spid="_x0000_s136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339" name="Shape 33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39" o:spid="_x0000_s136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340" name="Shape 34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40" o:spid="_x0000_s136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35" w:name="page136"/>
    <w:bookmarkEnd w:id="135"/>
    <w:p>
      <w:pPr>
        <w:spacing w:after="0" w:line="194" w:lineRule="exact"/>
        <w:rPr>
          <w:sz w:val="20"/>
          <w:szCs w:val="20"/>
          <w:color w:val="auto"/>
        </w:rPr>
      </w:pPr>
    </w:p>
    <w:p>
      <w:pPr>
        <w:ind w:left="40"/>
        <w:spacing w:after="0"/>
        <w:rPr>
          <w:sz w:val="20"/>
          <w:szCs w:val="20"/>
          <w:color w:val="auto"/>
        </w:rPr>
      </w:pPr>
      <w:r>
        <w:rPr>
          <w:rFonts w:ascii="Times New Roman" w:cs="Times New Roman" w:eastAsia="Times New Roman" w:hAnsi="Times New Roman"/>
          <w:sz w:val="24"/>
          <w:szCs w:val="24"/>
          <w:color w:val="auto"/>
        </w:rPr>
        <w:t>MORFOMETRÍA GEOMÉTRICA DE LAS ESCAMAS CEFÁLICAS</w:t>
      </w:r>
    </w:p>
    <w:p>
      <w:pPr>
        <w:spacing w:after="0" w:line="44" w:lineRule="exact"/>
        <w:rPr>
          <w:sz w:val="20"/>
          <w:szCs w:val="20"/>
          <w:color w:val="auto"/>
        </w:rPr>
      </w:pPr>
    </w:p>
    <w:p>
      <w:pPr>
        <w:ind w:left="1000"/>
        <w:spacing w:after="0"/>
        <w:rPr>
          <w:sz w:val="20"/>
          <w:szCs w:val="20"/>
          <w:color w:val="auto"/>
        </w:rPr>
      </w:pPr>
      <w:r>
        <w:rPr>
          <w:rFonts w:ascii="Times New Roman" w:cs="Times New Roman" w:eastAsia="Times New Roman" w:hAnsi="Times New Roman"/>
          <w:sz w:val="24"/>
          <w:szCs w:val="24"/>
          <w:color w:val="auto"/>
        </w:rPr>
        <w:t>DE DOS ESPECIES HERMANAS DEL GÉNERO</w:t>
      </w:r>
    </w:p>
    <w:p>
      <w:pPr>
        <w:spacing w:after="0" w:line="44" w:lineRule="exact"/>
        <w:rPr>
          <w:sz w:val="20"/>
          <w:szCs w:val="20"/>
          <w:color w:val="auto"/>
        </w:rPr>
      </w:pPr>
    </w:p>
    <w:p>
      <w:pPr>
        <w:ind w:left="960"/>
        <w:spacing w:after="0"/>
        <w:rPr>
          <w:sz w:val="20"/>
          <w:szCs w:val="20"/>
          <w:color w:val="auto"/>
        </w:rPr>
      </w:pPr>
      <w:r>
        <w:rPr>
          <w:rFonts w:ascii="Times New Roman" w:cs="Times New Roman" w:eastAsia="Times New Roman" w:hAnsi="Times New Roman"/>
          <w:sz w:val="24"/>
          <w:szCs w:val="24"/>
          <w:i w:val="1"/>
          <w:iCs w:val="1"/>
          <w:color w:val="auto"/>
        </w:rPr>
        <w:t xml:space="preserve">SCELOPORUS </w:t>
      </w:r>
      <w:r>
        <w:rPr>
          <w:rFonts w:ascii="Times New Roman" w:cs="Times New Roman" w:eastAsia="Times New Roman" w:hAnsi="Times New Roman"/>
          <w:sz w:val="24"/>
          <w:szCs w:val="24"/>
          <w:color w:val="auto"/>
        </w:rPr>
        <w:t>(SAURIA: PHRYNOSOMATIDAE)</w:t>
      </w:r>
    </w:p>
    <w:p>
      <w:pPr>
        <w:spacing w:after="0" w:line="200" w:lineRule="exact"/>
        <w:rPr>
          <w:sz w:val="20"/>
          <w:szCs w:val="20"/>
          <w:color w:val="auto"/>
        </w:rPr>
      </w:pPr>
    </w:p>
    <w:p>
      <w:pPr>
        <w:spacing w:after="0" w:line="201"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0"/>
          <w:szCs w:val="20"/>
          <w:i w:val="1"/>
          <w:iCs w:val="1"/>
          <w:color w:val="auto"/>
        </w:rPr>
        <w:t>S. Galindo-Gil</w:t>
      </w:r>
    </w:p>
    <w:p>
      <w:pPr>
        <w:spacing w:after="0" w:line="90"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0"/>
          <w:szCs w:val="20"/>
          <w:i w:val="1"/>
          <w:iCs w:val="1"/>
          <w:color w:val="auto"/>
        </w:rPr>
        <w:t>F. Rodríguez-Romero</w:t>
      </w:r>
    </w:p>
    <w:p>
      <w:pPr>
        <w:spacing w:after="0" w:line="90"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0"/>
          <w:szCs w:val="20"/>
          <w:i w:val="1"/>
          <w:iCs w:val="1"/>
          <w:color w:val="auto"/>
        </w:rPr>
        <w:t>R. Moreno-Barajas</w:t>
      </w:r>
    </w:p>
    <w:p>
      <w:pPr>
        <w:spacing w:after="0" w:line="200" w:lineRule="exact"/>
        <w:rPr>
          <w:sz w:val="20"/>
          <w:szCs w:val="20"/>
          <w:color w:val="auto"/>
        </w:rPr>
      </w:pPr>
    </w:p>
    <w:p>
      <w:pPr>
        <w:spacing w:after="0" w:line="200" w:lineRule="exact"/>
        <w:rPr>
          <w:sz w:val="20"/>
          <w:szCs w:val="20"/>
          <w:color w:val="auto"/>
        </w:rPr>
      </w:pPr>
    </w:p>
    <w:p>
      <w:pPr>
        <w:spacing w:after="0" w:line="312"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Resumen</w:t>
      </w:r>
    </w:p>
    <w:p>
      <w:pPr>
        <w:spacing w:after="0" w:line="387" w:lineRule="exact"/>
        <w:rPr>
          <w:sz w:val="20"/>
          <w:szCs w:val="20"/>
          <w:color w:val="auto"/>
        </w:rPr>
      </w:pPr>
    </w:p>
    <w:p>
      <w:pPr>
        <w:jc w:val="both"/>
        <w:spacing w:after="0" w:line="337" w:lineRule="auto"/>
        <w:rPr>
          <w:sz w:val="20"/>
          <w:szCs w:val="20"/>
          <w:color w:val="auto"/>
        </w:rPr>
      </w:pPr>
      <w:r>
        <w:rPr>
          <w:rFonts w:ascii="Times New Roman" w:cs="Times New Roman" w:eastAsia="Times New Roman" w:hAnsi="Times New Roman"/>
          <w:sz w:val="20"/>
          <w:szCs w:val="20"/>
          <w:i w:val="1"/>
          <w:iCs w:val="1"/>
          <w:color w:val="auto"/>
        </w:rPr>
        <w:t xml:space="preserve">Sceloporus aeneus </w:t>
      </w:r>
      <w:r>
        <w:rPr>
          <w:rFonts w:ascii="Times New Roman" w:cs="Times New Roman" w:eastAsia="Times New Roman" w:hAnsi="Times New Roman"/>
          <w:sz w:val="20"/>
          <w:szCs w:val="20"/>
          <w:color w:val="auto"/>
        </w:rPr>
        <w:t>y</w:t>
      </w:r>
      <w:r>
        <w:rPr>
          <w:rFonts w:ascii="Times New Roman" w:cs="Times New Roman" w:eastAsia="Times New Roman" w:hAnsi="Times New Roman"/>
          <w:sz w:val="20"/>
          <w:szCs w:val="20"/>
          <w:i w:val="1"/>
          <w:iCs w:val="1"/>
          <w:color w:val="auto"/>
        </w:rPr>
        <w:t xml:space="preserve"> Sceloporus bicanthalis </w:t>
      </w:r>
      <w:r>
        <w:rPr>
          <w:rFonts w:ascii="Times New Roman" w:cs="Times New Roman" w:eastAsia="Times New Roman" w:hAnsi="Times New Roman"/>
          <w:sz w:val="20"/>
          <w:szCs w:val="20"/>
          <w:color w:val="auto"/>
        </w:rPr>
        <w:t>forman parte de la familia Phrynosomatidae;</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 xml:space="preserve">son especies emparentadas de reciente evolución, similares en morfología e historia de vida, pero diferentes en el modo reproductor y número de escamas cantales, una para </w:t>
      </w:r>
      <w:r>
        <w:rPr>
          <w:rFonts w:ascii="Times New Roman" w:cs="Times New Roman" w:eastAsia="Times New Roman" w:hAnsi="Times New Roman"/>
          <w:sz w:val="20"/>
          <w:szCs w:val="20"/>
          <w:i w:val="1"/>
          <w:iCs w:val="1"/>
          <w:color w:val="auto"/>
        </w:rPr>
        <w:t xml:space="preserve">S. aeneus </w:t>
      </w:r>
      <w:r>
        <w:rPr>
          <w:rFonts w:ascii="Times New Roman" w:cs="Times New Roman" w:eastAsia="Times New Roman" w:hAnsi="Times New Roman"/>
          <w:sz w:val="20"/>
          <w:szCs w:val="20"/>
          <w:color w:val="auto"/>
        </w:rPr>
        <w:t>y dos para</w:t>
      </w:r>
      <w:r>
        <w:rPr>
          <w:rFonts w:ascii="Times New Roman" w:cs="Times New Roman" w:eastAsia="Times New Roman" w:hAnsi="Times New Roman"/>
          <w:sz w:val="20"/>
          <w:szCs w:val="20"/>
          <w:i w:val="1"/>
          <w:iCs w:val="1"/>
          <w:color w:val="auto"/>
        </w:rPr>
        <w:t xml:space="preserve"> S. bicanthalis</w:t>
      </w:r>
      <w:r>
        <w:rPr>
          <w:rFonts w:ascii="Times New Roman" w:cs="Times New Roman" w:eastAsia="Times New Roman" w:hAnsi="Times New Roman"/>
          <w:sz w:val="20"/>
          <w:szCs w:val="20"/>
          <w:color w:val="auto"/>
        </w:rPr>
        <w:t>. Debido a que este último carácter es variable en</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 xml:space="preserve">ambas especies, no es recomendable que sea utilizado para su identificación taxonómica. No existen caracteres morfológicos que permitan identificarlas, por lo que el objetivo del presente trabajo fue analizar, mediante la morfometría geométrica, el grado de variación morfológica de las escamas cefálicas con el fin de determinar si éste permite identificar a cada especie. Para ello se colocaron marcas en sitios estratégicos de las escamas para la región dorsal, ventral y lateral del cráneo de 28 organismos de </w:t>
      </w:r>
      <w:r>
        <w:rPr>
          <w:rFonts w:ascii="Times New Roman" w:cs="Times New Roman" w:eastAsia="Times New Roman" w:hAnsi="Times New Roman"/>
          <w:sz w:val="20"/>
          <w:szCs w:val="20"/>
          <w:i w:val="1"/>
          <w:iCs w:val="1"/>
          <w:color w:val="auto"/>
        </w:rPr>
        <w:t>S. aeneus</w:t>
      </w:r>
      <w:r>
        <w:rPr>
          <w:rFonts w:ascii="Times New Roman" w:cs="Times New Roman" w:eastAsia="Times New Roman" w:hAnsi="Times New Roman"/>
          <w:sz w:val="20"/>
          <w:szCs w:val="20"/>
          <w:color w:val="auto"/>
        </w:rPr>
        <w:t xml:space="preserve"> y 56 de </w:t>
      </w:r>
      <w:r>
        <w:rPr>
          <w:rFonts w:ascii="Times New Roman" w:cs="Times New Roman" w:eastAsia="Times New Roman" w:hAnsi="Times New Roman"/>
          <w:sz w:val="20"/>
          <w:szCs w:val="20"/>
          <w:i w:val="1"/>
          <w:iCs w:val="1"/>
          <w:color w:val="auto"/>
        </w:rPr>
        <w:t>S. bicanthalis</w:t>
      </w:r>
      <w:r>
        <w:rPr>
          <w:rFonts w:ascii="Times New Roman" w:cs="Times New Roman" w:eastAsia="Times New Roman" w:hAnsi="Times New Roman"/>
          <w:sz w:val="20"/>
          <w:szCs w:val="20"/>
          <w:color w:val="auto"/>
        </w:rPr>
        <w:t>. Los análisis multivariados arrojan diferencias significativas en la forma de las escamas entre ambas especies para todas las vistas, de manera que cada una presenta un morfotipo definido, lo cual indica que pueden ser identificadas mediante variaciones en la forma de las escamas cefálicas.</w:t>
      </w:r>
    </w:p>
    <w:p>
      <w:pPr>
        <w:spacing w:after="0" w:line="200" w:lineRule="exact"/>
        <w:rPr>
          <w:sz w:val="20"/>
          <w:szCs w:val="20"/>
          <w:color w:val="auto"/>
        </w:rPr>
      </w:pPr>
    </w:p>
    <w:p>
      <w:pPr>
        <w:spacing w:after="0" w:line="399"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Introducción</w:t>
      </w:r>
    </w:p>
    <w:p>
      <w:pPr>
        <w:spacing w:after="0" w:line="387" w:lineRule="exact"/>
        <w:rPr>
          <w:sz w:val="20"/>
          <w:szCs w:val="20"/>
          <w:color w:val="auto"/>
        </w:rPr>
      </w:pPr>
    </w:p>
    <w:p>
      <w:pPr>
        <w:jc w:val="both"/>
        <w:spacing w:after="0" w:line="383" w:lineRule="auto"/>
        <w:rPr>
          <w:sz w:val="20"/>
          <w:szCs w:val="20"/>
          <w:color w:val="auto"/>
        </w:rPr>
      </w:pPr>
      <w:r>
        <w:rPr>
          <w:rFonts w:ascii="Times New Roman" w:cs="Times New Roman" w:eastAsia="Times New Roman" w:hAnsi="Times New Roman"/>
          <w:sz w:val="20"/>
          <w:szCs w:val="20"/>
          <w:color w:val="auto"/>
        </w:rPr>
        <w:t xml:space="preserve">El clado Scalaris pertenece al género </w:t>
      </w:r>
      <w:r>
        <w:rPr>
          <w:rFonts w:ascii="Times New Roman" w:cs="Times New Roman" w:eastAsia="Times New Roman" w:hAnsi="Times New Roman"/>
          <w:sz w:val="20"/>
          <w:szCs w:val="20"/>
          <w:i w:val="1"/>
          <w:iCs w:val="1"/>
          <w:color w:val="auto"/>
        </w:rPr>
        <w:t>Sceloporus,</w:t>
      </w:r>
      <w:r>
        <w:rPr>
          <w:rFonts w:ascii="Times New Roman" w:cs="Times New Roman" w:eastAsia="Times New Roman" w:hAnsi="Times New Roman"/>
          <w:sz w:val="20"/>
          <w:szCs w:val="20"/>
          <w:color w:val="auto"/>
        </w:rPr>
        <w:t xml:space="preserve"> que a su vez forma parte de la familia Prhynosomatidae; incluye más de 80 especies de lagartijas descritas y presenta una</w:t>
      </w:r>
    </w:p>
    <w:p>
      <w:pPr>
        <w:sectPr>
          <w:pgSz w:w="9360" w:h="13039" w:orient="portrait"/>
          <w:cols w:equalWidth="0" w:num="1">
            <w:col w:w="7200"/>
          </w:cols>
          <w:pgMar w:left="1080" w:top="1440" w:right="1080" w:bottom="437" w:gutter="0" w:footer="0" w:header="0"/>
        </w:sectPr>
      </w:pPr>
    </w:p>
    <w:p>
      <w:pPr>
        <w:spacing w:after="0" w:line="200" w:lineRule="exact"/>
        <w:rPr>
          <w:sz w:val="20"/>
          <w:szCs w:val="20"/>
          <w:color w:val="auto"/>
        </w:rPr>
      </w:pPr>
    </w:p>
    <w:p>
      <w:pPr>
        <w:spacing w:after="0" w:line="276"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1440" w:right="1080" w:bottom="437" w:gutter="0" w:footer="0" w:header="0"/>
          <w:type w:val="continuous"/>
        </w:sectPr>
      </w:pPr>
    </w:p>
    <w:bookmarkStart w:id="136" w:name="page137"/>
    <w:bookmarkEnd w:id="136"/>
    <w:p>
      <w:pPr>
        <w:spacing w:after="0"/>
        <w:tabs>
          <w:tab w:leader="none" w:pos="2160" w:val="left"/>
          <w:tab w:leader="none" w:pos="2900" w:val="left"/>
          <w:tab w:leader="none" w:pos="4080" w:val="left"/>
        </w:tabs>
        <w:rPr>
          <w:sz w:val="20"/>
          <w:szCs w:val="20"/>
          <w:color w:val="auto"/>
        </w:rPr>
      </w:pPr>
      <w:r>
        <w:rPr>
          <w:rFonts w:ascii="Arial Narrow" w:cs="Arial Narrow" w:eastAsia="Arial Narrow" w:hAnsi="Arial Narrow"/>
          <w:sz w:val="16"/>
          <w:szCs w:val="16"/>
          <w:color w:val="auto"/>
        </w:rPr>
        <w:t>136</w:t>
      </w:r>
      <w:r>
        <w:rPr>
          <w:sz w:val="20"/>
          <w:szCs w:val="20"/>
          <w:color w:val="auto"/>
        </w:rPr>
        <w:tab/>
      </w:r>
      <w:r>
        <w:rPr>
          <w:rFonts w:ascii="Arial Narrow" w:cs="Arial Narrow" w:eastAsia="Arial Narrow" w:hAnsi="Arial Narrow"/>
          <w:sz w:val="11"/>
          <w:szCs w:val="11"/>
          <w:color w:val="auto"/>
        </w:rPr>
        <w:t>galindo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gil</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1822450</wp:posOffset>
                </wp:positionH>
                <wp:positionV relativeFrom="paragraph">
                  <wp:posOffset>-76835</wp:posOffset>
                </wp:positionV>
                <wp:extent cx="0" cy="88900"/>
                <wp:wrapNone/>
                <wp:docPr id="341" name="Shape 34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41" o:spid="_x0000_s136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3.5pt,-6.0499pt" to="143.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2566035</wp:posOffset>
                </wp:positionH>
                <wp:positionV relativeFrom="paragraph">
                  <wp:posOffset>-76835</wp:posOffset>
                </wp:positionV>
                <wp:extent cx="0" cy="88900"/>
                <wp:wrapNone/>
                <wp:docPr id="342" name="Shape 34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42" o:spid="_x0000_s136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2.05pt,-6.0499pt" to="202.05pt,0.95pt" o:allowincell="f" strokecolor="#000000" strokeweight="0.4pt"/>
            </w:pict>
          </mc:Fallback>
        </mc:AlternateContent>
      </w:r>
    </w:p>
    <w:p>
      <w:pPr>
        <w:spacing w:after="0" w:line="347" w:lineRule="exact"/>
        <w:rPr>
          <w:sz w:val="20"/>
          <w:szCs w:val="20"/>
          <w:color w:val="auto"/>
        </w:rPr>
      </w:pPr>
    </w:p>
    <w:p>
      <w:pPr>
        <w:jc w:val="both"/>
        <w:spacing w:after="0" w:line="318" w:lineRule="auto"/>
        <w:rPr>
          <w:sz w:val="20"/>
          <w:szCs w:val="20"/>
          <w:color w:val="auto"/>
        </w:rPr>
      </w:pPr>
      <w:r>
        <w:rPr>
          <w:rFonts w:ascii="Times New Roman" w:cs="Times New Roman" w:eastAsia="Times New Roman" w:hAnsi="Times New Roman"/>
          <w:sz w:val="21"/>
          <w:szCs w:val="21"/>
          <w:color w:val="auto"/>
        </w:rPr>
        <w:t xml:space="preserve">amplia distribución desde el sureste de Canadá hasta Panamá. En México, a los lacértidos pertenecientes a este género se les puede encontrar en ambientes desérticos, templados, tropicales y hasta aquellos que son alpinos, como es el caso de </w:t>
      </w:r>
      <w:r>
        <w:rPr>
          <w:rFonts w:ascii="Times New Roman" w:cs="Times New Roman" w:eastAsia="Times New Roman" w:hAnsi="Times New Roman"/>
          <w:sz w:val="21"/>
          <w:szCs w:val="21"/>
          <w:i w:val="1"/>
          <w:iCs w:val="1"/>
          <w:color w:val="auto"/>
        </w:rPr>
        <w:t>S. aeneus y</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S. bicanthalis</w:t>
      </w:r>
      <w:r>
        <w:rPr>
          <w:rFonts w:ascii="Times New Roman" w:cs="Times New Roman" w:eastAsia="Times New Roman" w:hAnsi="Times New Roman"/>
          <w:sz w:val="21"/>
          <w:szCs w:val="21"/>
          <w:color w:val="auto"/>
        </w:rPr>
        <w:t>, que se distribuyen en la parte oeste de Puebla, centro y oeste de</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Michoacán, Jalisco, norte y noreste de la planicie de Guanajuato, el Distrito Federal, el Estado de México y Morelos (Smith y Taylor, 1950).</w:t>
      </w:r>
    </w:p>
    <w:p>
      <w:pPr>
        <w:jc w:val="both"/>
        <w:ind w:firstLine="360"/>
        <w:spacing w:after="0" w:line="303" w:lineRule="auto"/>
        <w:rPr>
          <w:sz w:val="20"/>
          <w:szCs w:val="20"/>
          <w:color w:val="auto"/>
        </w:rPr>
      </w:pPr>
      <w:r>
        <w:rPr>
          <w:rFonts w:ascii="Times New Roman" w:cs="Times New Roman" w:eastAsia="Times New Roman" w:hAnsi="Times New Roman"/>
          <w:sz w:val="22"/>
          <w:szCs w:val="22"/>
          <w:i w:val="1"/>
          <w:iCs w:val="1"/>
          <w:color w:val="auto"/>
        </w:rPr>
        <w:t xml:space="preserve">S. aeneus </w:t>
      </w:r>
      <w:r>
        <w:rPr>
          <w:rFonts w:ascii="Times New Roman" w:cs="Times New Roman" w:eastAsia="Times New Roman" w:hAnsi="Times New Roman"/>
          <w:sz w:val="22"/>
          <w:szCs w:val="22"/>
          <w:color w:val="auto"/>
        </w:rPr>
        <w:t>y</w:t>
      </w:r>
      <w:r>
        <w:rPr>
          <w:rFonts w:ascii="Times New Roman" w:cs="Times New Roman" w:eastAsia="Times New Roman" w:hAnsi="Times New Roman"/>
          <w:sz w:val="22"/>
          <w:szCs w:val="22"/>
          <w:i w:val="1"/>
          <w:iCs w:val="1"/>
          <w:color w:val="auto"/>
        </w:rPr>
        <w:t xml:space="preserve"> S. bicanthalis </w:t>
      </w:r>
      <w:r>
        <w:rPr>
          <w:rFonts w:ascii="Times New Roman" w:cs="Times New Roman" w:eastAsia="Times New Roman" w:hAnsi="Times New Roman"/>
          <w:sz w:val="22"/>
          <w:szCs w:val="22"/>
          <w:color w:val="auto"/>
        </w:rPr>
        <w:t>son especies emparentadas de reciente evolución</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(Benabib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1997; Wiens y Reeder, 1997); son similares en la forma del cuerpo, tipo de forrajeo, dieta, patrones de actividad y comportamiento termorregulador (Andrews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1999), pero diferentes en el modo reproductor, </w:t>
      </w:r>
      <w:r>
        <w:rPr>
          <w:rFonts w:ascii="Times New Roman" w:cs="Times New Roman" w:eastAsia="Times New Roman" w:hAnsi="Times New Roman"/>
          <w:sz w:val="22"/>
          <w:szCs w:val="22"/>
          <w:i w:val="1"/>
          <w:iCs w:val="1"/>
          <w:color w:val="auto"/>
        </w:rPr>
        <w:t>S. aeneus</w:t>
      </w:r>
      <w:r>
        <w:rPr>
          <w:rFonts w:ascii="Times New Roman" w:cs="Times New Roman" w:eastAsia="Times New Roman" w:hAnsi="Times New Roman"/>
          <w:sz w:val="22"/>
          <w:szCs w:val="22"/>
          <w:color w:val="auto"/>
        </w:rPr>
        <w:t xml:space="preserve"> es ovípara y </w:t>
      </w:r>
      <w:r>
        <w:rPr>
          <w:rFonts w:ascii="Times New Roman" w:cs="Times New Roman" w:eastAsia="Times New Roman" w:hAnsi="Times New Roman"/>
          <w:sz w:val="22"/>
          <w:szCs w:val="22"/>
          <w:i w:val="1"/>
          <w:iCs w:val="1"/>
          <w:color w:val="auto"/>
        </w:rPr>
        <w:t xml:space="preserve">S. bicanthalis </w:t>
      </w:r>
      <w:r>
        <w:rPr>
          <w:rFonts w:ascii="Times New Roman" w:cs="Times New Roman" w:eastAsia="Times New Roman" w:hAnsi="Times New Roman"/>
          <w:sz w:val="22"/>
          <w:szCs w:val="22"/>
          <w:color w:val="auto"/>
        </w:rPr>
        <w:t>es vivípara (Guillette, 1981), así como en la presencia de uno y dos pares</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de escamas cantales respectivamente (Smith, 1937, 1939; Smith y Taylor, 1950). Las poblaciones ovíparas se restringen al intervalo vertical comprendido entre 2 000 y 3 200 msnm; mientras que las poblaciones de </w:t>
      </w:r>
      <w:r>
        <w:rPr>
          <w:rFonts w:ascii="Times New Roman" w:cs="Times New Roman" w:eastAsia="Times New Roman" w:hAnsi="Times New Roman"/>
          <w:sz w:val="22"/>
          <w:szCs w:val="22"/>
          <w:i w:val="1"/>
          <w:iCs w:val="1"/>
          <w:color w:val="auto"/>
        </w:rPr>
        <w:t>S. bicanthalis</w:t>
      </w:r>
      <w:r>
        <w:rPr>
          <w:rFonts w:ascii="Times New Roman" w:cs="Times New Roman" w:eastAsia="Times New Roman" w:hAnsi="Times New Roman"/>
          <w:sz w:val="22"/>
          <w:szCs w:val="22"/>
          <w:color w:val="auto"/>
        </w:rPr>
        <w:t xml:space="preserve"> habitan entre los 3 000 y 4 500 msnm (Meza, 2007).</w:t>
      </w:r>
    </w:p>
    <w:p>
      <w:pPr>
        <w:spacing w:after="0" w:line="6" w:lineRule="exact"/>
        <w:rPr>
          <w:sz w:val="20"/>
          <w:szCs w:val="20"/>
          <w:color w:val="auto"/>
        </w:rPr>
      </w:pPr>
    </w:p>
    <w:p>
      <w:pPr>
        <w:jc w:val="both"/>
        <w:ind w:firstLine="360"/>
        <w:spacing w:after="0" w:line="337" w:lineRule="auto"/>
        <w:rPr>
          <w:sz w:val="20"/>
          <w:szCs w:val="20"/>
          <w:color w:val="auto"/>
        </w:rPr>
      </w:pPr>
      <w:r>
        <w:rPr>
          <w:rFonts w:ascii="Times New Roman" w:cs="Times New Roman" w:eastAsia="Times New Roman" w:hAnsi="Times New Roman"/>
          <w:sz w:val="20"/>
          <w:szCs w:val="20"/>
          <w:color w:val="auto"/>
        </w:rPr>
        <w:t xml:space="preserve">La determinación taxonómica correcta de </w:t>
      </w:r>
      <w:r>
        <w:rPr>
          <w:rFonts w:ascii="Times New Roman" w:cs="Times New Roman" w:eastAsia="Times New Roman" w:hAnsi="Times New Roman"/>
          <w:sz w:val="20"/>
          <w:szCs w:val="20"/>
          <w:i w:val="1"/>
          <w:iCs w:val="1"/>
          <w:color w:val="auto"/>
        </w:rPr>
        <w:t>S. aeneus</w:t>
      </w:r>
      <w:r>
        <w:rPr>
          <w:rFonts w:ascii="Times New Roman" w:cs="Times New Roman" w:eastAsia="Times New Roman" w:hAnsi="Times New Roman"/>
          <w:sz w:val="20"/>
          <w:szCs w:val="20"/>
          <w:color w:val="auto"/>
        </w:rPr>
        <w:t xml:space="preserve"> y </w:t>
      </w:r>
      <w:r>
        <w:rPr>
          <w:rFonts w:ascii="Times New Roman" w:cs="Times New Roman" w:eastAsia="Times New Roman" w:hAnsi="Times New Roman"/>
          <w:sz w:val="20"/>
          <w:szCs w:val="20"/>
          <w:i w:val="1"/>
          <w:iCs w:val="1"/>
          <w:color w:val="auto"/>
        </w:rPr>
        <w:t>S. bicanthalis</w:t>
      </w:r>
      <w:r>
        <w:rPr>
          <w:rFonts w:ascii="Times New Roman" w:cs="Times New Roman" w:eastAsia="Times New Roman" w:hAnsi="Times New Roman"/>
          <w:sz w:val="20"/>
          <w:szCs w:val="20"/>
          <w:color w:val="auto"/>
        </w:rPr>
        <w:t xml:space="preserve"> resulta difícil debido a que presentan una notable similitud morfológica en los caracteres de diagnosis métricos y merísticos utilizados para su cálculo (Smith, 1939; Smith y Taylor, 1950; Ríos-Rodas y Rodríguez-Romero, 2008). En fechas recientes, las escamas cefálicas se utilizan como indicadores de la morfología de la cabeza, ya que comprenden todo el volumen cefálico (Bruner </w:t>
      </w:r>
      <w:r>
        <w:rPr>
          <w:rFonts w:ascii="Times New Roman" w:cs="Times New Roman" w:eastAsia="Times New Roman" w:hAnsi="Times New Roman"/>
          <w:sz w:val="20"/>
          <w:szCs w:val="20"/>
          <w:i w:val="1"/>
          <w:iCs w:val="1"/>
          <w:color w:val="auto"/>
        </w:rPr>
        <w:t>et al</w:t>
      </w:r>
      <w:r>
        <w:rPr>
          <w:rFonts w:ascii="Times New Roman" w:cs="Times New Roman" w:eastAsia="Times New Roman" w:hAnsi="Times New Roman"/>
          <w:sz w:val="20"/>
          <w:szCs w:val="20"/>
          <w:color w:val="auto"/>
        </w:rPr>
        <w:t xml:space="preserve">., 2005); además de lo anterior, algunos autores registraron una elevada variación en las escamas frontal, parietal e interparietal, asociadas a la morfogénesis del cráneo en la sutura fronto-parietal y en la musculatura perieto-occipital, que participan en la dieta y los comportamientos sociales (Bruner </w:t>
      </w:r>
      <w:r>
        <w:rPr>
          <w:rFonts w:ascii="Times New Roman" w:cs="Times New Roman" w:eastAsia="Times New Roman" w:hAnsi="Times New Roman"/>
          <w:sz w:val="20"/>
          <w:szCs w:val="20"/>
          <w:i w:val="1"/>
          <w:iCs w:val="1"/>
          <w:color w:val="auto"/>
        </w:rPr>
        <w:t>et al</w:t>
      </w:r>
      <w:r>
        <w:rPr>
          <w:rFonts w:ascii="Times New Roman" w:cs="Times New Roman" w:eastAsia="Times New Roman" w:hAnsi="Times New Roman"/>
          <w:sz w:val="20"/>
          <w:szCs w:val="20"/>
          <w:color w:val="auto"/>
        </w:rPr>
        <w:t>., 2005; Bruner y Constantini, 2007, 2009). La morfometría geométrica ofrece una imagen más detallada de las características en cuestión, por ejemplo en la cabeza de reptiles, puesto que analiza la variación de la forma con gran exactitud (Bookstein, 1982). Esta herramienta se utilizó para cumplir con el objetivo del presente estudio, que es analizar el grado de variación morfológica en las escamas cefálicas de estas dos especies hermanas y así determinar la existencia de caracteres morfométricos discriminantes que permitan la correcta determinación de las mismas.</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37"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343" name="Shape 34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43" o:spid="_x0000_s136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344" name="Shape 34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44" o:spid="_x0000_s136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345" name="Shape 34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45" o:spid="_x0000_s137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37" w:name="page138"/>
    <w:bookmarkEnd w:id="137"/>
    <w:p>
      <w:pPr>
        <w:ind w:left="580"/>
        <w:spacing w:after="0"/>
        <w:tabs>
          <w:tab w:leader="dot" w:pos="6960" w:val="left"/>
        </w:tabs>
        <w:rPr>
          <w:sz w:val="20"/>
          <w:szCs w:val="20"/>
          <w:color w:val="auto"/>
        </w:rPr>
      </w:pPr>
      <w:r>
        <w:rPr>
          <w:rFonts w:ascii="Arial Narrow" w:cs="Arial Narrow" w:eastAsia="Arial Narrow" w:hAnsi="Arial Narrow"/>
          <w:sz w:val="11"/>
          <w:szCs w:val="11"/>
          <w:color w:val="auto"/>
        </w:rPr>
        <w:t xml:space="preserve">morfometría geométrica de las escamas cefálicas de dos especies hermanas del género </w:t>
      </w:r>
      <w:r>
        <w:rPr>
          <w:rFonts w:ascii="Arial Narrow" w:cs="Arial Narrow" w:eastAsia="Arial Narrow" w:hAnsi="Arial Narrow"/>
          <w:sz w:val="11"/>
          <w:szCs w:val="11"/>
          <w:i w:val="1"/>
          <w:iCs w:val="1"/>
          <w:color w:val="auto"/>
        </w:rPr>
        <w:t>sceloporus</w:t>
      </w:r>
      <w:r>
        <w:rPr>
          <w:sz w:val="20"/>
          <w:szCs w:val="20"/>
          <w:color w:val="auto"/>
        </w:rPr>
        <w:tab/>
      </w:r>
      <w:r>
        <w:rPr>
          <w:rFonts w:ascii="Arial Narrow" w:cs="Arial Narrow" w:eastAsia="Arial Narrow" w:hAnsi="Arial Narrow"/>
          <w:sz w:val="16"/>
          <w:szCs w:val="16"/>
          <w:color w:val="auto"/>
        </w:rPr>
        <w:t>137</w:t>
      </w:r>
    </w:p>
    <w:p>
      <w:pPr>
        <w:spacing w:after="0" w:line="200" w:lineRule="exact"/>
        <w:rPr>
          <w:sz w:val="20"/>
          <w:szCs w:val="20"/>
          <w:color w:val="auto"/>
        </w:rPr>
      </w:pPr>
    </w:p>
    <w:p>
      <w:pPr>
        <w:spacing w:after="0" w:line="34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Materiales y métodos</w:t>
      </w:r>
    </w:p>
    <w:p>
      <w:pPr>
        <w:spacing w:after="0" w:line="399" w:lineRule="exact"/>
        <w:rPr>
          <w:sz w:val="20"/>
          <w:szCs w:val="20"/>
          <w:color w:val="auto"/>
        </w:rPr>
      </w:pPr>
    </w:p>
    <w:p>
      <w:pPr>
        <w:jc w:val="both"/>
        <w:spacing w:after="0" w:line="348" w:lineRule="auto"/>
        <w:rPr>
          <w:sz w:val="20"/>
          <w:szCs w:val="20"/>
          <w:color w:val="auto"/>
        </w:rPr>
      </w:pPr>
      <w:r>
        <w:rPr>
          <w:rFonts w:ascii="Times New Roman" w:cs="Times New Roman" w:eastAsia="Times New Roman" w:hAnsi="Times New Roman"/>
          <w:sz w:val="20"/>
          <w:szCs w:val="20"/>
          <w:color w:val="auto"/>
        </w:rPr>
        <w:t xml:space="preserve">Los ejemplares utilizados para este estudio provinieron de la colección de anfibios y reptiles del Centro de Investigación en Recursos Bióticos de la Universidad Autónoma del Estado de México, de los cuales 28 organismos pertenecen a </w:t>
      </w:r>
      <w:r>
        <w:rPr>
          <w:rFonts w:ascii="Times New Roman" w:cs="Times New Roman" w:eastAsia="Times New Roman" w:hAnsi="Times New Roman"/>
          <w:sz w:val="20"/>
          <w:szCs w:val="20"/>
          <w:i w:val="1"/>
          <w:iCs w:val="1"/>
          <w:color w:val="auto"/>
        </w:rPr>
        <w:t>S. aeneus</w:t>
      </w:r>
      <w:r>
        <w:rPr>
          <w:rFonts w:ascii="Times New Roman" w:cs="Times New Roman" w:eastAsia="Times New Roman" w:hAnsi="Times New Roman"/>
          <w:sz w:val="20"/>
          <w:szCs w:val="20"/>
          <w:color w:val="auto"/>
        </w:rPr>
        <w:t xml:space="preserve"> con dos localidades, Milpa Alta, Distrito Federal, y Temoaya, Estado de México; en tanto que 56 organismos corresponden a </w:t>
      </w:r>
      <w:r>
        <w:rPr>
          <w:rFonts w:ascii="Times New Roman" w:cs="Times New Roman" w:eastAsia="Times New Roman" w:hAnsi="Times New Roman"/>
          <w:sz w:val="20"/>
          <w:szCs w:val="20"/>
          <w:i w:val="1"/>
          <w:iCs w:val="1"/>
          <w:color w:val="auto"/>
        </w:rPr>
        <w:t>S. bicanthalis</w:t>
      </w:r>
      <w:r>
        <w:rPr>
          <w:rFonts w:ascii="Times New Roman" w:cs="Times New Roman" w:eastAsia="Times New Roman" w:hAnsi="Times New Roman"/>
          <w:sz w:val="20"/>
          <w:szCs w:val="20"/>
          <w:color w:val="auto"/>
        </w:rPr>
        <w:t xml:space="preserve"> con cuatro poblaciones, Nevado de Toluca, Estado de México, Nopalillo, Hidalgo, y, finalmente, Las Vigas y Perote, Veracruz. Para este estudio se utilizaron únicamente organismos adultos de ambos sexos (figura 1).</w:t>
      </w:r>
    </w:p>
    <w:p>
      <w:pPr>
        <w:spacing w:after="0" w:line="310" w:lineRule="exact"/>
        <w:rPr>
          <w:sz w:val="20"/>
          <w:szCs w:val="20"/>
          <w:color w:val="auto"/>
        </w:rPr>
      </w:pPr>
    </w:p>
    <w:p>
      <w:pPr>
        <w:ind w:left="3320"/>
        <w:spacing w:after="0"/>
        <w:rPr>
          <w:sz w:val="20"/>
          <w:szCs w:val="20"/>
          <w:color w:val="auto"/>
        </w:rPr>
      </w:pPr>
      <w:r>
        <w:rPr>
          <w:rFonts w:ascii="Times New Roman" w:cs="Times New Roman" w:eastAsia="Times New Roman" w:hAnsi="Times New Roman"/>
          <w:sz w:val="18"/>
          <w:szCs w:val="18"/>
          <w:i w:val="1"/>
          <w:iCs w:val="1"/>
          <w:color w:val="auto"/>
        </w:rPr>
        <w:t>Figura 1</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119380</wp:posOffset>
            </wp:positionV>
            <wp:extent cx="4567555" cy="3556000"/>
            <wp:wrapNone/>
            <wp:docPr id="346" name="Pictur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pic:cNvPicPr>
                      <a:picLocks noChangeAspect="1" noChangeArrowheads="1"/>
                    </pic:cNvPicPr>
                  </pic:nvPicPr>
                  <pic:blipFill>
                    <a:blip r:embed="rId62">
                      <a:extLst>
                        <a:ext uri="{28A0092B-C50C-407E-A947-70E740481C1C}"/>
                      </a:extLst>
                    </a:blip>
                    <a:srcRect/>
                    <a:stretch>
                      <a:fillRect/>
                    </a:stretch>
                  </pic:blipFill>
                  <pic:spPr bwMode="auto">
                    <a:xfrm>
                      <a:off x="0" y="0"/>
                      <a:ext cx="4567555" cy="355600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9" w:lineRule="exact"/>
        <w:rPr>
          <w:sz w:val="20"/>
          <w:szCs w:val="20"/>
          <w:color w:val="auto"/>
        </w:rPr>
      </w:pPr>
    </w:p>
    <w:p>
      <w:pPr>
        <w:ind w:left="4480"/>
        <w:spacing w:after="0"/>
        <w:rPr>
          <w:sz w:val="20"/>
          <w:szCs w:val="20"/>
          <w:color w:val="auto"/>
        </w:rPr>
      </w:pPr>
      <w:r>
        <w:rPr>
          <w:rFonts w:ascii="Times New Roman" w:cs="Times New Roman" w:eastAsia="Times New Roman" w:hAnsi="Times New Roman"/>
          <w:sz w:val="16"/>
          <w:szCs w:val="16"/>
          <w:b w:val="1"/>
          <w:bCs w:val="1"/>
          <w:color w:val="auto"/>
        </w:rPr>
        <w:t>2</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3" w:lineRule="exact"/>
        <w:rPr>
          <w:sz w:val="20"/>
          <w:szCs w:val="20"/>
          <w:color w:val="auto"/>
        </w:rPr>
      </w:pPr>
    </w:p>
    <w:p>
      <w:pPr>
        <w:ind w:left="5780"/>
        <w:spacing w:after="0"/>
        <w:rPr>
          <w:sz w:val="20"/>
          <w:szCs w:val="20"/>
          <w:color w:val="auto"/>
        </w:rPr>
      </w:pPr>
      <w:r>
        <w:rPr>
          <w:rFonts w:ascii="Times New Roman" w:cs="Times New Roman" w:eastAsia="Times New Roman" w:hAnsi="Times New Roman"/>
          <w:sz w:val="16"/>
          <w:szCs w:val="16"/>
          <w:b w:val="1"/>
          <w:bCs w:val="1"/>
          <w:color w:val="auto"/>
        </w:rPr>
        <w:t>2</w:t>
      </w:r>
    </w:p>
    <w:p>
      <w:pPr>
        <w:spacing w:after="0" w:line="62" w:lineRule="exact"/>
        <w:rPr>
          <w:sz w:val="20"/>
          <w:szCs w:val="20"/>
          <w:color w:val="auto"/>
        </w:rPr>
      </w:pPr>
    </w:p>
    <w:p>
      <w:pPr>
        <w:ind w:left="5980"/>
        <w:spacing w:after="0"/>
        <w:rPr>
          <w:sz w:val="20"/>
          <w:szCs w:val="20"/>
          <w:color w:val="auto"/>
        </w:rPr>
      </w:pPr>
      <w:r>
        <w:rPr>
          <w:rFonts w:ascii="Times New Roman" w:cs="Times New Roman" w:eastAsia="Times New Roman" w:hAnsi="Times New Roman"/>
          <w:sz w:val="16"/>
          <w:szCs w:val="16"/>
          <w:b w:val="1"/>
          <w:bCs w:val="1"/>
          <w:color w:val="auto"/>
        </w:rPr>
        <w:t>2</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4" w:lineRule="exact"/>
        <w:rPr>
          <w:sz w:val="20"/>
          <w:szCs w:val="20"/>
          <w:color w:val="auto"/>
        </w:rPr>
      </w:pPr>
    </w:p>
    <w:p>
      <w:pPr>
        <w:ind w:left="2300"/>
        <w:spacing w:after="0"/>
        <w:rPr>
          <w:sz w:val="20"/>
          <w:szCs w:val="20"/>
          <w:color w:val="auto"/>
        </w:rPr>
      </w:pPr>
      <w:r>
        <w:rPr>
          <w:rFonts w:ascii="Times New Roman" w:cs="Times New Roman" w:eastAsia="Times New Roman" w:hAnsi="Times New Roman"/>
          <w:sz w:val="16"/>
          <w:szCs w:val="16"/>
          <w:b w:val="1"/>
          <w:bCs w:val="1"/>
          <w:color w:val="auto"/>
        </w:rPr>
        <w:t>2</w:t>
      </w:r>
    </w:p>
    <w:p>
      <w:pPr>
        <w:ind w:left="3720"/>
        <w:spacing w:after="0"/>
        <w:rPr>
          <w:sz w:val="20"/>
          <w:szCs w:val="20"/>
          <w:color w:val="auto"/>
        </w:rPr>
      </w:pPr>
      <w:r>
        <w:rPr>
          <w:rFonts w:ascii="Times New Roman" w:cs="Times New Roman" w:eastAsia="Times New Roman" w:hAnsi="Times New Roman"/>
          <w:sz w:val="16"/>
          <w:szCs w:val="16"/>
          <w:b w:val="1"/>
          <w:bCs w:val="1"/>
          <w:color w:val="auto"/>
        </w:rPr>
        <w:t>1</w:t>
      </w:r>
    </w:p>
    <w:p>
      <w:pPr>
        <w:spacing w:after="0" w:line="141" w:lineRule="exact"/>
        <w:rPr>
          <w:sz w:val="20"/>
          <w:szCs w:val="20"/>
          <w:color w:val="auto"/>
        </w:rPr>
      </w:pPr>
    </w:p>
    <w:p>
      <w:pPr>
        <w:ind w:left="2260"/>
        <w:spacing w:after="0"/>
        <w:rPr>
          <w:sz w:val="20"/>
          <w:szCs w:val="20"/>
          <w:color w:val="auto"/>
        </w:rPr>
      </w:pPr>
      <w:r>
        <w:rPr>
          <w:rFonts w:ascii="Times New Roman" w:cs="Times New Roman" w:eastAsia="Times New Roman" w:hAnsi="Times New Roman"/>
          <w:sz w:val="16"/>
          <w:szCs w:val="16"/>
          <w:b w:val="1"/>
          <w:bCs w:val="1"/>
          <w:color w:val="auto"/>
        </w:rPr>
        <w:t>1</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5" w:lineRule="exact"/>
        <w:rPr>
          <w:sz w:val="20"/>
          <w:szCs w:val="20"/>
          <w:color w:val="auto"/>
        </w:rPr>
      </w:pPr>
    </w:p>
    <w:p>
      <w:pPr>
        <w:jc w:val="both"/>
        <w:spacing w:after="0" w:line="310" w:lineRule="auto"/>
        <w:rPr>
          <w:sz w:val="20"/>
          <w:szCs w:val="20"/>
          <w:color w:val="auto"/>
        </w:rPr>
      </w:pPr>
      <w:r>
        <w:rPr>
          <w:rFonts w:ascii="Times New Roman" w:cs="Times New Roman" w:eastAsia="Times New Roman" w:hAnsi="Times New Roman"/>
          <w:sz w:val="16"/>
          <w:szCs w:val="16"/>
          <w:color w:val="auto"/>
        </w:rPr>
        <w:t xml:space="preserve">Mapa de localización de las poblaciones de </w:t>
      </w:r>
      <w:r>
        <w:rPr>
          <w:rFonts w:ascii="Times New Roman" w:cs="Times New Roman" w:eastAsia="Times New Roman" w:hAnsi="Times New Roman"/>
          <w:sz w:val="16"/>
          <w:szCs w:val="16"/>
          <w:i w:val="1"/>
          <w:iCs w:val="1"/>
          <w:color w:val="auto"/>
        </w:rPr>
        <w:t>S. aeneus</w:t>
      </w:r>
      <w:r>
        <w:rPr>
          <w:rFonts w:ascii="Times New Roman" w:cs="Times New Roman" w:eastAsia="Times New Roman" w:hAnsi="Times New Roman"/>
          <w:sz w:val="16"/>
          <w:szCs w:val="16"/>
          <w:color w:val="auto"/>
        </w:rPr>
        <w:t xml:space="preserve"> y </w:t>
      </w:r>
      <w:r>
        <w:rPr>
          <w:rFonts w:ascii="Times New Roman" w:cs="Times New Roman" w:eastAsia="Times New Roman" w:hAnsi="Times New Roman"/>
          <w:sz w:val="16"/>
          <w:szCs w:val="16"/>
          <w:i w:val="1"/>
          <w:iCs w:val="1"/>
          <w:color w:val="auto"/>
        </w:rPr>
        <w:t>S. bicanthalis</w:t>
      </w:r>
      <w:r>
        <w:rPr>
          <w:rFonts w:ascii="Times New Roman" w:cs="Times New Roman" w:eastAsia="Times New Roman" w:hAnsi="Times New Roman"/>
          <w:sz w:val="16"/>
          <w:szCs w:val="16"/>
          <w:color w:val="auto"/>
        </w:rPr>
        <w:t xml:space="preserve"> analizadas en este estudio (Fuente: elaboración propia a partir de Ochoa-Ochoa </w:t>
      </w:r>
      <w:r>
        <w:rPr>
          <w:rFonts w:ascii="Times New Roman" w:cs="Times New Roman" w:eastAsia="Times New Roman" w:hAnsi="Times New Roman"/>
          <w:sz w:val="16"/>
          <w:szCs w:val="16"/>
          <w:i w:val="1"/>
          <w:iCs w:val="1"/>
          <w:color w:val="auto"/>
        </w:rPr>
        <w:t>et al.</w:t>
      </w:r>
      <w:r>
        <w:rPr>
          <w:rFonts w:ascii="Times New Roman" w:cs="Times New Roman" w:eastAsia="Times New Roman" w:hAnsi="Times New Roman"/>
          <w:sz w:val="16"/>
          <w:szCs w:val="16"/>
          <w:color w:val="auto"/>
        </w:rPr>
        <w:t>, 2006)</w:t>
      </w:r>
      <w:r>
        <w:rPr>
          <w:rFonts w:ascii="Arial" w:cs="Arial" w:eastAsia="Arial" w:hAnsi="Arial"/>
          <w:sz w:val="16"/>
          <w:szCs w:val="16"/>
          <w:color w:val="auto"/>
        </w:rPr>
        <w:t>.</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66"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138" w:name="page139"/>
    <w:bookmarkEnd w:id="138"/>
    <w:p>
      <w:pPr>
        <w:spacing w:after="0"/>
        <w:tabs>
          <w:tab w:leader="none" w:pos="2160" w:val="left"/>
          <w:tab w:leader="none" w:pos="2900" w:val="left"/>
          <w:tab w:leader="none" w:pos="4080" w:val="left"/>
        </w:tabs>
        <w:rPr>
          <w:sz w:val="20"/>
          <w:szCs w:val="20"/>
          <w:color w:val="auto"/>
        </w:rPr>
      </w:pPr>
      <w:r>
        <w:rPr>
          <w:rFonts w:ascii="Arial Narrow" w:cs="Arial Narrow" w:eastAsia="Arial Narrow" w:hAnsi="Arial Narrow"/>
          <w:sz w:val="16"/>
          <w:szCs w:val="16"/>
          <w:color w:val="auto"/>
        </w:rPr>
        <w:t>138</w:t>
      </w:r>
      <w:r>
        <w:rPr>
          <w:sz w:val="20"/>
          <w:szCs w:val="20"/>
          <w:color w:val="auto"/>
        </w:rPr>
        <w:tab/>
      </w:r>
      <w:r>
        <w:rPr>
          <w:rFonts w:ascii="Arial Narrow" w:cs="Arial Narrow" w:eastAsia="Arial Narrow" w:hAnsi="Arial Narrow"/>
          <w:sz w:val="11"/>
          <w:szCs w:val="11"/>
          <w:color w:val="auto"/>
        </w:rPr>
        <w:t>galindo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gil</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1822450</wp:posOffset>
                </wp:positionH>
                <wp:positionV relativeFrom="paragraph">
                  <wp:posOffset>-76835</wp:posOffset>
                </wp:positionV>
                <wp:extent cx="0" cy="88900"/>
                <wp:wrapNone/>
                <wp:docPr id="347" name="Shape 34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47" o:spid="_x0000_s137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3.5pt,-6.0499pt" to="143.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2566035</wp:posOffset>
                </wp:positionH>
                <wp:positionV relativeFrom="paragraph">
                  <wp:posOffset>-76835</wp:posOffset>
                </wp:positionV>
                <wp:extent cx="0" cy="88900"/>
                <wp:wrapNone/>
                <wp:docPr id="348" name="Shape 34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48" o:spid="_x0000_s137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2.05pt,-6.0499pt" to="202.05pt,0.95pt" o:allowincell="f" strokecolor="#000000" strokeweight="0.4pt"/>
            </w:pict>
          </mc:Fallback>
        </mc:AlternateContent>
      </w:r>
    </w:p>
    <w:p>
      <w:pPr>
        <w:spacing w:after="0" w:line="347" w:lineRule="exact"/>
        <w:rPr>
          <w:sz w:val="20"/>
          <w:szCs w:val="20"/>
          <w:color w:val="auto"/>
        </w:rPr>
      </w:pPr>
    </w:p>
    <w:p>
      <w:pPr>
        <w:jc w:val="both"/>
        <w:spacing w:after="0" w:line="324" w:lineRule="auto"/>
        <w:rPr>
          <w:sz w:val="20"/>
          <w:szCs w:val="20"/>
          <w:color w:val="auto"/>
        </w:rPr>
      </w:pPr>
      <w:r>
        <w:rPr>
          <w:rFonts w:ascii="Times New Roman" w:cs="Times New Roman" w:eastAsia="Times New Roman" w:hAnsi="Times New Roman"/>
          <w:sz w:val="21"/>
          <w:szCs w:val="21"/>
          <w:color w:val="auto"/>
        </w:rPr>
        <w:t>El área cefálica de cada organismo fue fotografiada con una cámara digital Sony DSLR-</w:t>
      </w:r>
      <w:r>
        <w:rPr>
          <w:rFonts w:ascii="Arial" w:cs="Arial" w:eastAsia="Arial" w:hAnsi="Arial"/>
          <w:sz w:val="21"/>
          <w:szCs w:val="21"/>
          <w:color w:val="auto"/>
        </w:rPr>
        <w:t>α</w:t>
      </w:r>
      <w:r>
        <w:rPr>
          <w:rFonts w:ascii="Times New Roman" w:cs="Times New Roman" w:eastAsia="Times New Roman" w:hAnsi="Times New Roman"/>
          <w:sz w:val="21"/>
          <w:szCs w:val="21"/>
          <w:color w:val="auto"/>
        </w:rPr>
        <w:t xml:space="preserve">350, con una resolución de 14 megapixeles, colocada a 20 cm de la muestra con una escala métrica de referencia (0.1 mm). Se digitalizaron 26, 18 y 16 </w:t>
      </w:r>
      <w:r>
        <w:rPr>
          <w:rFonts w:ascii="Times New Roman" w:cs="Times New Roman" w:eastAsia="Times New Roman" w:hAnsi="Times New Roman"/>
          <w:sz w:val="21"/>
          <w:szCs w:val="21"/>
          <w:i w:val="1"/>
          <w:iCs w:val="1"/>
          <w:color w:val="auto"/>
        </w:rPr>
        <w:t>landmarks</w:t>
      </w:r>
      <w:r>
        <w:rPr>
          <w:rFonts w:ascii="Times New Roman" w:cs="Times New Roman" w:eastAsia="Times New Roman" w:hAnsi="Times New Roman"/>
          <w:sz w:val="21"/>
          <w:szCs w:val="21"/>
          <w:color w:val="auto"/>
        </w:rPr>
        <w:t xml:space="preserve"> bidimensionales en las escamas localizadas en las vistas dorsal, ventral y lateral (derecha e izquierda) respectivamente, usando para ello paquetería especializada, como por ejemplo tpsDig 2.15 (Rohlf, 2010) (figura 2, cuadro 1).</w:t>
      </w:r>
    </w:p>
    <w:p>
      <w:pPr>
        <w:spacing w:after="0" w:line="341" w:lineRule="exact"/>
        <w:rPr>
          <w:sz w:val="20"/>
          <w:szCs w:val="20"/>
          <w:color w:val="auto"/>
        </w:rPr>
      </w:pPr>
    </w:p>
    <w:p>
      <w:pPr>
        <w:ind w:left="3300"/>
        <w:spacing w:after="0"/>
        <w:rPr>
          <w:sz w:val="20"/>
          <w:szCs w:val="20"/>
          <w:color w:val="auto"/>
        </w:rPr>
      </w:pPr>
      <w:r>
        <w:rPr>
          <w:rFonts w:ascii="Times New Roman" w:cs="Times New Roman" w:eastAsia="Times New Roman" w:hAnsi="Times New Roman"/>
          <w:sz w:val="18"/>
          <w:szCs w:val="18"/>
          <w:i w:val="1"/>
          <w:iCs w:val="1"/>
          <w:color w:val="auto"/>
        </w:rPr>
        <w:t>Figura 2</w:t>
      </w:r>
    </w:p>
    <w:p>
      <w:pPr>
        <w:spacing w:after="0" w:line="273"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111760</wp:posOffset>
            </wp:positionV>
            <wp:extent cx="4574540" cy="3907790"/>
            <wp:wrapNone/>
            <wp:docPr id="349" name="Pictur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
                    <pic:cNvPicPr>
                      <a:picLocks noChangeAspect="1" noChangeArrowheads="1"/>
                    </pic:cNvPicPr>
                  </pic:nvPicPr>
                  <pic:blipFill>
                    <a:blip r:embed="rId63">
                      <a:extLst>
                        <a:ext uri="{28A0092B-C50C-407E-A947-70E740481C1C}"/>
                      </a:extLst>
                    </a:blip>
                    <a:srcRect/>
                    <a:stretch>
                      <a:fillRect/>
                    </a:stretch>
                  </pic:blipFill>
                  <pic:spPr bwMode="auto">
                    <a:xfrm>
                      <a:off x="0" y="0"/>
                      <a:ext cx="4574540" cy="3907790"/>
                    </a:xfrm>
                    <a:prstGeom prst="rect">
                      <a:avLst/>
                    </a:prstGeom>
                    <a:noFill/>
                  </pic:spPr>
                </pic:pic>
              </a:graphicData>
            </a:graphic>
          </wp:anchor>
        </w:drawing>
      </w:r>
    </w:p>
    <w:p>
      <w:pPr>
        <w:ind w:left="120"/>
        <w:spacing w:after="0"/>
        <w:tabs>
          <w:tab w:leader="none" w:pos="3940" w:val="left"/>
        </w:tabs>
        <w:rPr>
          <w:sz w:val="20"/>
          <w:szCs w:val="20"/>
          <w:color w:val="auto"/>
        </w:rPr>
      </w:pPr>
      <w:r>
        <w:rPr>
          <w:rFonts w:ascii="Times New Roman" w:cs="Times New Roman" w:eastAsia="Times New Roman" w:hAnsi="Times New Roman"/>
          <w:sz w:val="16"/>
          <w:szCs w:val="16"/>
          <w:b w:val="1"/>
          <w:bCs w:val="1"/>
          <w:color w:val="auto"/>
        </w:rPr>
        <w:t>A</w:t>
      </w:r>
      <w:r>
        <w:rPr>
          <w:sz w:val="20"/>
          <w:szCs w:val="20"/>
          <w:color w:val="auto"/>
        </w:rPr>
        <w:tab/>
      </w:r>
      <w:r>
        <w:rPr>
          <w:rFonts w:ascii="Times New Roman" w:cs="Times New Roman" w:eastAsia="Times New Roman" w:hAnsi="Times New Roman"/>
          <w:sz w:val="16"/>
          <w:szCs w:val="16"/>
          <w:b w:val="1"/>
          <w:bCs w:val="1"/>
          <w:color w:val="auto"/>
        </w:rPr>
        <w:t>B</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5" w:lineRule="exact"/>
        <w:rPr>
          <w:sz w:val="20"/>
          <w:szCs w:val="20"/>
          <w:color w:val="auto"/>
        </w:rPr>
      </w:pPr>
    </w:p>
    <w:p>
      <w:pPr>
        <w:ind w:left="120"/>
        <w:spacing w:after="0"/>
        <w:tabs>
          <w:tab w:leader="none" w:pos="3920" w:val="left"/>
        </w:tabs>
        <w:rPr>
          <w:sz w:val="20"/>
          <w:szCs w:val="20"/>
          <w:color w:val="auto"/>
        </w:rPr>
      </w:pPr>
      <w:r>
        <w:rPr>
          <w:rFonts w:ascii="Times New Roman" w:cs="Times New Roman" w:eastAsia="Times New Roman" w:hAnsi="Times New Roman"/>
          <w:sz w:val="16"/>
          <w:szCs w:val="16"/>
          <w:b w:val="1"/>
          <w:bCs w:val="1"/>
          <w:color w:val="auto"/>
        </w:rPr>
        <w:t>C</w:t>
      </w:r>
      <w:r>
        <w:rPr>
          <w:sz w:val="20"/>
          <w:szCs w:val="20"/>
          <w:color w:val="auto"/>
        </w:rPr>
        <w:tab/>
      </w:r>
      <w:r>
        <w:rPr>
          <w:rFonts w:ascii="Times New Roman" w:cs="Times New Roman" w:eastAsia="Times New Roman" w:hAnsi="Times New Roman"/>
          <w:sz w:val="16"/>
          <w:szCs w:val="16"/>
          <w:b w:val="1"/>
          <w:bCs w:val="1"/>
          <w:color w:val="auto"/>
        </w:rPr>
        <w:t>D</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0" w:lineRule="exact"/>
        <w:rPr>
          <w:sz w:val="20"/>
          <w:szCs w:val="20"/>
          <w:color w:val="auto"/>
        </w:rPr>
      </w:pPr>
    </w:p>
    <w:p>
      <w:pPr>
        <w:jc w:val="both"/>
        <w:spacing w:after="0" w:line="306" w:lineRule="auto"/>
        <w:rPr>
          <w:sz w:val="20"/>
          <w:szCs w:val="20"/>
          <w:color w:val="auto"/>
        </w:rPr>
      </w:pPr>
      <w:r>
        <w:rPr>
          <w:rFonts w:ascii="Times New Roman" w:cs="Times New Roman" w:eastAsia="Times New Roman" w:hAnsi="Times New Roman"/>
          <w:sz w:val="15"/>
          <w:szCs w:val="15"/>
          <w:i w:val="1"/>
          <w:iCs w:val="1"/>
          <w:color w:val="auto"/>
        </w:rPr>
        <w:t xml:space="preserve">Landmarks </w:t>
      </w:r>
      <w:r>
        <w:rPr>
          <w:rFonts w:ascii="Times New Roman" w:cs="Times New Roman" w:eastAsia="Times New Roman" w:hAnsi="Times New Roman"/>
          <w:sz w:val="15"/>
          <w:szCs w:val="15"/>
          <w:color w:val="auto"/>
        </w:rPr>
        <w:t>bidimensionales registrados en las escamas cefálicas de</w:t>
      </w:r>
      <w:r>
        <w:rPr>
          <w:rFonts w:ascii="Times New Roman" w:cs="Times New Roman" w:eastAsia="Times New Roman" w:hAnsi="Times New Roman"/>
          <w:sz w:val="15"/>
          <w:szCs w:val="15"/>
          <w:i w:val="1"/>
          <w:iCs w:val="1"/>
          <w:color w:val="auto"/>
        </w:rPr>
        <w:t xml:space="preserve"> S. aeneus </w:t>
      </w:r>
      <w:r>
        <w:rPr>
          <w:rFonts w:ascii="Times New Roman" w:cs="Times New Roman" w:eastAsia="Times New Roman" w:hAnsi="Times New Roman"/>
          <w:sz w:val="15"/>
          <w:szCs w:val="15"/>
          <w:color w:val="auto"/>
        </w:rPr>
        <w:t>y</w:t>
      </w:r>
      <w:r>
        <w:rPr>
          <w:rFonts w:ascii="Times New Roman" w:cs="Times New Roman" w:eastAsia="Times New Roman" w:hAnsi="Times New Roman"/>
          <w:sz w:val="15"/>
          <w:szCs w:val="15"/>
          <w:i w:val="1"/>
          <w:iCs w:val="1"/>
          <w:color w:val="auto"/>
        </w:rPr>
        <w:t xml:space="preserve"> S. bicanthalis</w:t>
      </w:r>
      <w:r>
        <w:rPr>
          <w:rFonts w:ascii="Times New Roman" w:cs="Times New Roman" w:eastAsia="Times New Roman" w:hAnsi="Times New Roman"/>
          <w:sz w:val="15"/>
          <w:szCs w:val="15"/>
          <w:color w:val="auto"/>
        </w:rPr>
        <w:t>. A: dorsal (p = 26);</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15"/>
          <w:szCs w:val="15"/>
          <w:color w:val="auto"/>
        </w:rPr>
        <w:t xml:space="preserve">B: ventral (p = 18); C: lateral derecho (p = 16); D: lateral izquierdo (p = 16); p: número de </w:t>
      </w:r>
      <w:r>
        <w:rPr>
          <w:rFonts w:ascii="Times New Roman" w:cs="Times New Roman" w:eastAsia="Times New Roman" w:hAnsi="Times New Roman"/>
          <w:sz w:val="15"/>
          <w:szCs w:val="15"/>
          <w:i w:val="1"/>
          <w:iCs w:val="1"/>
          <w:color w:val="auto"/>
        </w:rPr>
        <w:t>landmarks</w:t>
      </w:r>
      <w:r>
        <w:rPr>
          <w:rFonts w:ascii="Times New Roman" w:cs="Times New Roman" w:eastAsia="Times New Roman" w:hAnsi="Times New Roman"/>
          <w:sz w:val="15"/>
          <w:szCs w:val="15"/>
          <w:color w:val="auto"/>
        </w:rPr>
        <w:t xml:space="preserve"> usados en</w:t>
      </w:r>
    </w:p>
    <w:p>
      <w:pPr>
        <w:jc w:val="both"/>
        <w:spacing w:after="0" w:line="274" w:lineRule="auto"/>
        <w:rPr>
          <w:sz w:val="20"/>
          <w:szCs w:val="20"/>
          <w:color w:val="auto"/>
        </w:rPr>
      </w:pPr>
      <w:r>
        <w:rPr>
          <w:rFonts w:ascii="Times New Roman" w:cs="Times New Roman" w:eastAsia="Times New Roman" w:hAnsi="Times New Roman"/>
          <w:sz w:val="16"/>
          <w:szCs w:val="16"/>
          <w:color w:val="auto"/>
        </w:rPr>
        <w:t>cada vista. La configuración de puntos es homóloga en ambas especies (Fuente: elaboración propia a partir de Smith, 1939).</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3"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350" name="Shape 35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50" o:spid="_x0000_s137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351" name="Shape 35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51" o:spid="_x0000_s137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352" name="Shape 35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52" o:spid="_x0000_s137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39" w:name="page140"/>
    <w:bookmarkEnd w:id="139"/>
    <w:tbl>
      <w:tblPr>
        <w:tblLayout w:type="fixed"/>
        <w:tblInd w:w="580" w:type="dxa"/>
        <w:tblCellMar>
          <w:top w:w="0" w:type="dxa"/>
          <w:left w:w="0" w:type="dxa"/>
          <w:bottom w:w="0" w:type="dxa"/>
          <w:right w:w="0" w:type="dxa"/>
        </w:tblCellMar>
      </w:tblPr>
      <w:tr>
        <w:trPr>
          <w:trHeight w:val="222"/>
        </w:trPr>
        <w:tc>
          <w:tcPr>
            <w:tcW w:w="6220" w:type="dxa"/>
            <w:vAlign w:val="bottom"/>
          </w:tcPr>
          <w:p>
            <w:pPr>
              <w:spacing w:after="0"/>
              <w:rPr>
                <w:sz w:val="20"/>
                <w:szCs w:val="20"/>
                <w:color w:val="auto"/>
              </w:rPr>
            </w:pPr>
            <w:r>
              <w:rPr>
                <w:rFonts w:ascii="Arial Narrow" w:cs="Arial Narrow" w:eastAsia="Arial Narrow" w:hAnsi="Arial Narrow"/>
                <w:sz w:val="11"/>
                <w:szCs w:val="11"/>
                <w:color w:val="auto"/>
              </w:rPr>
              <w:t xml:space="preserve">morfometría geométrica de las escamas cefálicas de dos especies hermanas del género </w:t>
            </w:r>
            <w:r>
              <w:rPr>
                <w:rFonts w:ascii="Arial Narrow" w:cs="Arial Narrow" w:eastAsia="Arial Narrow" w:hAnsi="Arial Narrow"/>
                <w:sz w:val="11"/>
                <w:szCs w:val="11"/>
                <w:i w:val="1"/>
                <w:iCs w:val="1"/>
                <w:color w:val="auto"/>
              </w:rPr>
              <w:t>sceloporus</w:t>
            </w:r>
            <w:r>
              <w:rPr>
                <w:rFonts w:ascii="Arial Narrow" w:cs="Arial Narrow" w:eastAsia="Arial Narrow" w:hAnsi="Arial Narrow"/>
                <w:sz w:val="16"/>
                <w:szCs w:val="16"/>
                <w:i w:val="1"/>
                <w:iCs w:val="1"/>
                <w:color w:val="auto"/>
              </w:rPr>
              <w:t>...</w:t>
            </w:r>
          </w:p>
        </w:tc>
        <w:tc>
          <w:tcPr>
            <w:tcW w:w="400" w:type="dxa"/>
            <w:vAlign w:val="bottom"/>
          </w:tcPr>
          <w:p>
            <w:pPr>
              <w:jc w:val="right"/>
              <w:spacing w:after="0"/>
              <w:rPr>
                <w:sz w:val="20"/>
                <w:szCs w:val="20"/>
                <w:color w:val="auto"/>
              </w:rPr>
            </w:pPr>
            <w:r>
              <w:rPr>
                <w:rFonts w:ascii="Arial Narrow" w:cs="Arial Narrow" w:eastAsia="Arial Narrow" w:hAnsi="Arial Narrow"/>
                <w:sz w:val="16"/>
                <w:szCs w:val="16"/>
                <w:color w:val="auto"/>
              </w:rPr>
              <w:t>139</w:t>
            </w:r>
          </w:p>
        </w:tc>
      </w:tr>
    </w:tbl>
    <w:p>
      <w:pPr>
        <w:spacing w:after="0" w:line="200" w:lineRule="exact"/>
        <w:rPr>
          <w:sz w:val="20"/>
          <w:szCs w:val="20"/>
          <w:color w:val="auto"/>
        </w:rPr>
      </w:pPr>
    </w:p>
    <w:p>
      <w:pPr>
        <w:spacing w:after="0" w:line="311" w:lineRule="exact"/>
        <w:rPr>
          <w:sz w:val="20"/>
          <w:szCs w:val="20"/>
          <w:color w:val="auto"/>
        </w:rPr>
      </w:pPr>
    </w:p>
    <w:p>
      <w:pPr>
        <w:ind w:left="3280"/>
        <w:spacing w:after="0"/>
        <w:rPr>
          <w:sz w:val="20"/>
          <w:szCs w:val="20"/>
          <w:color w:val="auto"/>
        </w:rPr>
      </w:pPr>
      <w:r>
        <w:rPr>
          <w:rFonts w:ascii="Times New Roman" w:cs="Times New Roman" w:eastAsia="Times New Roman" w:hAnsi="Times New Roman"/>
          <w:sz w:val="18"/>
          <w:szCs w:val="18"/>
          <w:i w:val="1"/>
          <w:iCs w:val="1"/>
          <w:color w:val="auto"/>
        </w:rPr>
        <w:t>Cuadro 1</w:t>
      </w:r>
    </w:p>
    <w:p>
      <w:pPr>
        <w:spacing w:after="0" w:line="33" w:lineRule="exact"/>
        <w:rPr>
          <w:sz w:val="20"/>
          <w:szCs w:val="20"/>
          <w:color w:val="auto"/>
        </w:rPr>
      </w:pPr>
    </w:p>
    <w:p>
      <w:pPr>
        <w:ind w:left="40"/>
        <w:spacing w:after="0"/>
        <w:rPr>
          <w:sz w:val="20"/>
          <w:szCs w:val="20"/>
          <w:color w:val="auto"/>
        </w:rPr>
      </w:pPr>
      <w:r>
        <w:rPr>
          <w:rFonts w:ascii="Times New Roman" w:cs="Times New Roman" w:eastAsia="Times New Roman" w:hAnsi="Times New Roman"/>
          <w:sz w:val="18"/>
          <w:szCs w:val="18"/>
          <w:color w:val="auto"/>
        </w:rPr>
        <w:t>Descripción de puntos geométricos usados para capturar la forma de las escamas de la cabeza</w:t>
      </w:r>
    </w:p>
    <w:p>
      <w:pPr>
        <w:spacing w:after="0" w:line="109" w:lineRule="exact"/>
        <w:rPr>
          <w:sz w:val="20"/>
          <w:szCs w:val="20"/>
          <w:color w:val="auto"/>
        </w:rPr>
      </w:pPr>
    </w:p>
    <w:tbl>
      <w:tblPr>
        <w:tblLayout w:type="fixed"/>
        <w:tblInd w:w="10" w:type="dxa"/>
        <w:tblCellMar>
          <w:top w:w="0" w:type="dxa"/>
          <w:left w:w="0" w:type="dxa"/>
          <w:bottom w:w="0" w:type="dxa"/>
          <w:right w:w="0" w:type="dxa"/>
        </w:tblCellMar>
      </w:tblPr>
      <w:tr>
        <w:trPr>
          <w:trHeight w:val="260"/>
        </w:trPr>
        <w:tc>
          <w:tcPr>
            <w:tcW w:w="2020" w:type="dxa"/>
            <w:vAlign w:val="bottom"/>
            <w:tcBorders>
              <w:top w:val="single" w:sz="8" w:color="auto"/>
              <w:left w:val="single" w:sz="8" w:color="auto"/>
              <w:right w:val="single" w:sz="8" w:color="auto"/>
            </w:tcBorders>
          </w:tcPr>
          <w:p>
            <w:pPr>
              <w:ind w:left="340"/>
              <w:spacing w:after="0"/>
              <w:rPr>
                <w:sz w:val="20"/>
                <w:szCs w:val="20"/>
                <w:color w:val="auto"/>
              </w:rPr>
            </w:pPr>
            <w:r>
              <w:rPr>
                <w:rFonts w:ascii="Times New Roman" w:cs="Times New Roman" w:eastAsia="Times New Roman" w:hAnsi="Times New Roman"/>
                <w:sz w:val="16"/>
                <w:szCs w:val="16"/>
                <w:i w:val="1"/>
                <w:iCs w:val="1"/>
                <w:color w:val="auto"/>
              </w:rPr>
              <w:t>Número de landmarks</w:t>
            </w:r>
          </w:p>
        </w:tc>
        <w:tc>
          <w:tcPr>
            <w:tcW w:w="5180" w:type="dxa"/>
            <w:vAlign w:val="bottom"/>
            <w:tcBorders>
              <w:top w:val="single" w:sz="8" w:color="auto"/>
              <w:right w:val="single" w:sz="8" w:color="auto"/>
            </w:tcBorders>
          </w:tcPr>
          <w:p>
            <w:pPr>
              <w:ind w:left="2240"/>
              <w:spacing w:after="0"/>
              <w:rPr>
                <w:sz w:val="20"/>
                <w:szCs w:val="20"/>
                <w:color w:val="auto"/>
              </w:rPr>
            </w:pPr>
            <w:r>
              <w:rPr>
                <w:rFonts w:ascii="Times New Roman" w:cs="Times New Roman" w:eastAsia="Times New Roman" w:hAnsi="Times New Roman"/>
                <w:sz w:val="16"/>
                <w:szCs w:val="16"/>
                <w:i w:val="1"/>
                <w:iCs w:val="1"/>
                <w:color w:val="auto"/>
              </w:rPr>
              <w:t>Descripción</w:t>
            </w:r>
          </w:p>
        </w:tc>
      </w:tr>
      <w:tr>
        <w:trPr>
          <w:trHeight w:val="26"/>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2"/>
        </w:trPr>
        <w:tc>
          <w:tcPr>
            <w:tcW w:w="2020" w:type="dxa"/>
            <w:vAlign w:val="bottom"/>
            <w:tcBorders>
              <w:lef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Vista dorsal</w:t>
            </w:r>
          </w:p>
        </w:tc>
        <w:tc>
          <w:tcPr>
            <w:tcW w:w="5180" w:type="dxa"/>
            <w:vAlign w:val="bottom"/>
            <w:tcBorders>
              <w:right w:val="single" w:sz="8" w:color="auto"/>
            </w:tcBorders>
          </w:tcPr>
          <w:p>
            <w:pPr>
              <w:spacing w:after="0"/>
              <w:rPr>
                <w:sz w:val="21"/>
                <w:szCs w:val="21"/>
                <w:color w:val="auto"/>
              </w:rPr>
            </w:pPr>
          </w:p>
        </w:tc>
      </w:tr>
      <w:tr>
        <w:trPr>
          <w:trHeight w:val="24"/>
        </w:trPr>
        <w:tc>
          <w:tcPr>
            <w:tcW w:w="2020" w:type="dxa"/>
            <w:vAlign w:val="bottom"/>
            <w:tcBorders>
              <w:left w:val="single" w:sz="8" w:color="auto"/>
              <w:bottom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2"/>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1</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Punto máximo de la curvatura de la rostral</w:t>
            </w:r>
          </w:p>
        </w:tc>
      </w:tr>
      <w:tr>
        <w:trPr>
          <w:trHeight w:val="24"/>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2"/>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2</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 posterior de la rostral</w:t>
            </w:r>
          </w:p>
        </w:tc>
      </w:tr>
      <w:tr>
        <w:trPr>
          <w:trHeight w:val="24"/>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2"/>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3, 4</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internos de las narinas</w:t>
            </w:r>
          </w:p>
        </w:tc>
      </w:tr>
      <w:tr>
        <w:trPr>
          <w:trHeight w:val="24"/>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5, 7</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medios anteriores de la frontal anterior</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6</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 anterior de la frontal anterior</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8, 9</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anteriores de la frontal posterior</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10, 13</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medios posteriores de la frontal posterior</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11, 12</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posteriores de la frontal posterior</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14, 15-16, 17</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posteriores de la frontoparietal</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18, 19-20-21</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posteriores de la parietal</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22</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 posterior de la interparietal</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23, 24</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Unión de la primer supraorbital y la cantal</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25, 26</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 posterior de la última supraorbital</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2"/>
        </w:trPr>
        <w:tc>
          <w:tcPr>
            <w:tcW w:w="2020" w:type="dxa"/>
            <w:vAlign w:val="bottom"/>
            <w:tcBorders>
              <w:lef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Vista ventral</w:t>
            </w:r>
          </w:p>
        </w:tc>
        <w:tc>
          <w:tcPr>
            <w:tcW w:w="5180" w:type="dxa"/>
            <w:vAlign w:val="bottom"/>
            <w:tcBorders>
              <w:right w:val="single" w:sz="8" w:color="auto"/>
            </w:tcBorders>
          </w:tcPr>
          <w:p>
            <w:pPr>
              <w:spacing w:after="0"/>
              <w:rPr>
                <w:sz w:val="21"/>
                <w:szCs w:val="21"/>
                <w:color w:val="auto"/>
              </w:rPr>
            </w:pPr>
          </w:p>
        </w:tc>
      </w:tr>
      <w:tr>
        <w:trPr>
          <w:trHeight w:val="24"/>
        </w:trPr>
        <w:tc>
          <w:tcPr>
            <w:tcW w:w="2020" w:type="dxa"/>
            <w:vAlign w:val="bottom"/>
            <w:tcBorders>
              <w:left w:val="single" w:sz="8" w:color="auto"/>
              <w:bottom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2"/>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1</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Punto de la curvatura máxima de la punta de la mental</w:t>
            </w:r>
          </w:p>
        </w:tc>
      </w:tr>
      <w:tr>
        <w:trPr>
          <w:trHeight w:val="24"/>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2"/>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2, 6</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medios anteriores de la mental</w:t>
            </w:r>
          </w:p>
        </w:tc>
      </w:tr>
      <w:tr>
        <w:trPr>
          <w:trHeight w:val="24"/>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2"/>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3, 5</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medios posteriores de la mental</w:t>
            </w:r>
          </w:p>
        </w:tc>
      </w:tr>
      <w:tr>
        <w:trPr>
          <w:trHeight w:val="24"/>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4</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 posterior de la mental</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7, 9-10, 12</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medios posteriores de la primer postmental</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8</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 posterior de la primer postmental</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11</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 anterior de la primer postmental</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13, 15-16, 18</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medios posteriores de la segunda postmental</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14, 17</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posteriores de la segunda postmental</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Vista lateral</w:t>
            </w:r>
          </w:p>
        </w:tc>
        <w:tc>
          <w:tcPr>
            <w:tcW w:w="5180" w:type="dxa"/>
            <w:vAlign w:val="bottom"/>
            <w:tcBorders>
              <w:right w:val="single" w:sz="8" w:color="auto"/>
            </w:tcBorders>
          </w:tcPr>
          <w:p>
            <w:pPr>
              <w:spacing w:after="0"/>
              <w:rPr>
                <w:sz w:val="21"/>
                <w:szCs w:val="21"/>
                <w:color w:val="auto"/>
              </w:rPr>
            </w:pPr>
          </w:p>
        </w:tc>
      </w:tr>
      <w:tr>
        <w:trPr>
          <w:trHeight w:val="31"/>
        </w:trPr>
        <w:tc>
          <w:tcPr>
            <w:tcW w:w="2020" w:type="dxa"/>
            <w:vAlign w:val="bottom"/>
            <w:tcBorders>
              <w:left w:val="single" w:sz="8" w:color="auto"/>
              <w:bottom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5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1, 2</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Extremo superior e inferior de la mandíbula</w:t>
            </w:r>
          </w:p>
        </w:tc>
      </w:tr>
      <w:tr>
        <w:trPr>
          <w:trHeight w:val="41"/>
        </w:trPr>
        <w:tc>
          <w:tcPr>
            <w:tcW w:w="2020" w:type="dxa"/>
            <w:vAlign w:val="bottom"/>
            <w:tcBorders>
              <w:left w:val="single" w:sz="8" w:color="auto"/>
              <w:bottom w:val="single" w:sz="8" w:color="auto"/>
              <w:right w:val="single" w:sz="8" w:color="auto"/>
            </w:tcBorders>
          </w:tcPr>
          <w:p>
            <w:pPr>
              <w:spacing w:after="0"/>
              <w:rPr>
                <w:sz w:val="3"/>
                <w:szCs w:val="3"/>
                <w:color w:val="auto"/>
              </w:rPr>
            </w:pPr>
          </w:p>
        </w:tc>
        <w:tc>
          <w:tcPr>
            <w:tcW w:w="5180" w:type="dxa"/>
            <w:vAlign w:val="bottom"/>
            <w:tcBorders>
              <w:bottom w:val="single" w:sz="8" w:color="auto"/>
              <w:right w:val="single" w:sz="8" w:color="auto"/>
            </w:tcBorders>
          </w:tcPr>
          <w:p>
            <w:pPr>
              <w:spacing w:after="0"/>
              <w:rPr>
                <w:sz w:val="3"/>
                <w:szCs w:val="3"/>
                <w:color w:val="auto"/>
              </w:rPr>
            </w:pPr>
          </w:p>
        </w:tc>
      </w:tr>
      <w:tr>
        <w:trPr>
          <w:trHeight w:val="270"/>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3, 4</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 anterior y posterior de la narina</w:t>
            </w:r>
          </w:p>
        </w:tc>
      </w:tr>
      <w:tr>
        <w:trPr>
          <w:trHeight w:val="52"/>
        </w:trPr>
        <w:tc>
          <w:tcPr>
            <w:tcW w:w="2020" w:type="dxa"/>
            <w:vAlign w:val="bottom"/>
            <w:tcBorders>
              <w:left w:val="single" w:sz="8" w:color="auto"/>
              <w:bottom w:val="single" w:sz="8" w:color="auto"/>
              <w:right w:val="single" w:sz="8" w:color="auto"/>
            </w:tcBorders>
          </w:tcPr>
          <w:p>
            <w:pPr>
              <w:spacing w:after="0"/>
              <w:rPr>
                <w:sz w:val="4"/>
                <w:szCs w:val="4"/>
                <w:color w:val="auto"/>
              </w:rPr>
            </w:pPr>
          </w:p>
        </w:tc>
        <w:tc>
          <w:tcPr>
            <w:tcW w:w="5180" w:type="dxa"/>
            <w:vAlign w:val="bottom"/>
            <w:tcBorders>
              <w:bottom w:val="single" w:sz="8" w:color="auto"/>
              <w:right w:val="single" w:sz="8" w:color="auto"/>
            </w:tcBorders>
          </w:tcPr>
          <w:p>
            <w:pPr>
              <w:spacing w:after="0"/>
              <w:rPr>
                <w:sz w:val="4"/>
                <w:szCs w:val="4"/>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5</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 posterior de la cantal</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6, 7</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anteriores de la preocular</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8, 9</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anteriores de la cantal</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p>
        <w:pPr>
          <w:sectPr>
            <w:pgSz w:w="9360" w:h="13039" w:orient="portrait"/>
            <w:cols w:equalWidth="0" w:num="1">
              <w:col w:w="7200"/>
            </w:cols>
            <w:pgMar w:left="1080" w:top="906" w:right="1080" w:bottom="437" w:gutter="0" w:footer="0" w:header="0"/>
          </w:sectPr>
        </w:pPr>
      </w:p>
    </w:tbl>
    <w:p>
      <w:pPr>
        <w:spacing w:after="0" w:line="200" w:lineRule="exact"/>
        <w:rPr>
          <w:sz w:val="20"/>
          <w:szCs w:val="20"/>
          <w:color w:val="auto"/>
        </w:rPr>
      </w:pPr>
    </w:p>
    <w:p>
      <w:pPr>
        <w:spacing w:after="0" w:line="200" w:lineRule="exact"/>
        <w:rPr>
          <w:sz w:val="20"/>
          <w:szCs w:val="20"/>
          <w:color w:val="auto"/>
        </w:rPr>
      </w:pPr>
    </w:p>
    <w:p>
      <w:pPr>
        <w:spacing w:after="0" w:line="279"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140" w:name="page141"/>
    <w:bookmarkEnd w:id="140"/>
    <w:tbl>
      <w:tblPr>
        <w:tblLayout w:type="fixed"/>
        <w:tblInd w:w="0" w:type="dxa"/>
        <w:tblCellMar>
          <w:top w:w="0" w:type="dxa"/>
          <w:left w:w="0" w:type="dxa"/>
          <w:bottom w:w="0" w:type="dxa"/>
          <w:right w:w="0" w:type="dxa"/>
        </w:tblCellMar>
      </w:tblPr>
      <w:tr>
        <w:trPr>
          <w:trHeight w:val="62"/>
        </w:trPr>
        <w:tc>
          <w:tcPr>
            <w:tcW w:w="1200" w:type="dxa"/>
            <w:vAlign w:val="bottom"/>
            <w:vMerge w:val="restart"/>
          </w:tcPr>
          <w:p>
            <w:pPr>
              <w:jc w:val="right"/>
              <w:ind w:right="900"/>
              <w:spacing w:after="0"/>
              <w:rPr>
                <w:sz w:val="20"/>
                <w:szCs w:val="20"/>
                <w:color w:val="auto"/>
              </w:rPr>
            </w:pPr>
            <w:r>
              <w:rPr>
                <w:rFonts w:ascii="Arial Narrow" w:cs="Arial Narrow" w:eastAsia="Arial Narrow" w:hAnsi="Arial Narrow"/>
                <w:sz w:val="16"/>
                <w:szCs w:val="16"/>
                <w:color w:val="auto"/>
                <w:w w:val="91"/>
              </w:rPr>
              <w:t>140</w:t>
            </w:r>
          </w:p>
        </w:tc>
        <w:tc>
          <w:tcPr>
            <w:tcW w:w="1660" w:type="dxa"/>
            <w:vAlign w:val="bottom"/>
            <w:vMerge w:val="restart"/>
          </w:tcPr>
          <w:p>
            <w:pPr>
              <w:ind w:left="980"/>
              <w:spacing w:after="0"/>
              <w:rPr>
                <w:sz w:val="20"/>
                <w:szCs w:val="20"/>
                <w:color w:val="auto"/>
              </w:rPr>
            </w:pPr>
            <w:r>
              <w:rPr>
                <w:rFonts w:ascii="Arial Narrow" w:cs="Arial Narrow" w:eastAsia="Arial Narrow" w:hAnsi="Arial Narrow"/>
                <w:sz w:val="11"/>
                <w:szCs w:val="11"/>
                <w:color w:val="auto"/>
              </w:rPr>
              <w:t>galindo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gil</w:t>
            </w:r>
          </w:p>
        </w:tc>
        <w:tc>
          <w:tcPr>
            <w:tcW w:w="20" w:type="dxa"/>
            <w:vAlign w:val="bottom"/>
          </w:tcPr>
          <w:p>
            <w:pPr>
              <w:spacing w:after="0"/>
              <w:rPr>
                <w:sz w:val="5"/>
                <w:szCs w:val="5"/>
                <w:color w:val="auto"/>
              </w:rPr>
            </w:pPr>
          </w:p>
        </w:tc>
        <w:tc>
          <w:tcPr>
            <w:tcW w:w="1160" w:type="dxa"/>
            <w:vAlign w:val="bottom"/>
            <w:vMerge w:val="restart"/>
          </w:tcPr>
          <w:p>
            <w:pPr>
              <w:ind w:left="40"/>
              <w:spacing w:after="0"/>
              <w:rPr>
                <w:sz w:val="20"/>
                <w:szCs w:val="20"/>
                <w:color w:val="auto"/>
              </w:rPr>
            </w:pP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p>
        </w:tc>
        <w:tc>
          <w:tcPr>
            <w:tcW w:w="20" w:type="dxa"/>
            <w:vAlign w:val="bottom"/>
          </w:tcPr>
          <w:p>
            <w:pPr>
              <w:spacing w:after="0"/>
              <w:rPr>
                <w:sz w:val="5"/>
                <w:szCs w:val="5"/>
                <w:color w:val="auto"/>
              </w:rPr>
            </w:pPr>
          </w:p>
        </w:tc>
        <w:tc>
          <w:tcPr>
            <w:tcW w:w="960" w:type="dxa"/>
            <w:vAlign w:val="bottom"/>
            <w:vMerge w:val="restart"/>
          </w:tcPr>
          <w:p>
            <w:pPr>
              <w:ind w:left="40"/>
              <w:spacing w:after="0"/>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p>
        </w:tc>
        <w:tc>
          <w:tcPr>
            <w:tcW w:w="0" w:type="dxa"/>
            <w:vAlign w:val="bottom"/>
          </w:tcPr>
          <w:p>
            <w:pPr>
              <w:spacing w:after="0"/>
              <w:rPr>
                <w:sz w:val="1"/>
                <w:szCs w:val="1"/>
                <w:color w:val="auto"/>
              </w:rPr>
            </w:pPr>
          </w:p>
        </w:tc>
      </w:tr>
      <w:tr>
        <w:trPr>
          <w:trHeight w:val="140"/>
        </w:trPr>
        <w:tc>
          <w:tcPr>
            <w:tcW w:w="1200" w:type="dxa"/>
            <w:vAlign w:val="bottom"/>
            <w:vMerge w:val="continue"/>
          </w:tcPr>
          <w:p>
            <w:pPr>
              <w:spacing w:after="0"/>
              <w:rPr>
                <w:sz w:val="12"/>
                <w:szCs w:val="12"/>
                <w:color w:val="auto"/>
              </w:rPr>
            </w:pPr>
          </w:p>
        </w:tc>
        <w:tc>
          <w:tcPr>
            <w:tcW w:w="166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116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960" w:type="dxa"/>
            <w:vAlign w:val="bottom"/>
            <w:vMerge w:val="continue"/>
          </w:tcPr>
          <w:p>
            <w:pPr>
              <w:spacing w:after="0"/>
              <w:rPr>
                <w:sz w:val="12"/>
                <w:szCs w:val="12"/>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328"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i w:val="1"/>
          <w:iCs w:val="1"/>
          <w:color w:val="auto"/>
        </w:rPr>
        <w:t>Continuación...</w:t>
      </w:r>
    </w:p>
    <w:p>
      <w:pPr>
        <w:spacing w:after="0" w:line="162" w:lineRule="exact"/>
        <w:rPr>
          <w:sz w:val="20"/>
          <w:szCs w:val="20"/>
          <w:color w:val="auto"/>
        </w:rPr>
      </w:pPr>
    </w:p>
    <w:tbl>
      <w:tblPr>
        <w:tblLayout w:type="fixed"/>
        <w:tblInd w:w="10" w:type="dxa"/>
        <w:tblCellMar>
          <w:top w:w="0" w:type="dxa"/>
          <w:left w:w="0" w:type="dxa"/>
          <w:bottom w:w="0" w:type="dxa"/>
          <w:right w:w="0" w:type="dxa"/>
        </w:tblCellMar>
      </w:tblPr>
      <w:tr>
        <w:trPr>
          <w:trHeight w:val="269"/>
        </w:trPr>
        <w:tc>
          <w:tcPr>
            <w:tcW w:w="2020" w:type="dxa"/>
            <w:vAlign w:val="bottom"/>
            <w:tcBorders>
              <w:top w:val="single" w:sz="8" w:color="auto"/>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10, 11</w:t>
            </w:r>
          </w:p>
        </w:tc>
        <w:tc>
          <w:tcPr>
            <w:tcW w:w="5180" w:type="dxa"/>
            <w:vAlign w:val="bottom"/>
            <w:tcBorders>
              <w:top w:val="single" w:sz="8" w:color="auto"/>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anterior y posterior de la última superciliar</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12, 13</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posteriores de la subocular</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14, 15</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Bordes anteriores de la subocular</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r>
        <w:trPr>
          <w:trHeight w:val="249"/>
        </w:trPr>
        <w:tc>
          <w:tcPr>
            <w:tcW w:w="2020" w:type="dxa"/>
            <w:vAlign w:val="bottom"/>
            <w:tcBorders>
              <w:left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16"/>
                <w:szCs w:val="16"/>
                <w:color w:val="auto"/>
              </w:rPr>
              <w:t>16</w:t>
            </w:r>
          </w:p>
        </w:tc>
        <w:tc>
          <w:tcPr>
            <w:tcW w:w="5180" w:type="dxa"/>
            <w:vAlign w:val="bottom"/>
            <w:tcBorders>
              <w:right w:val="single" w:sz="8" w:color="auto"/>
            </w:tcBorders>
          </w:tcPr>
          <w:p>
            <w:pPr>
              <w:ind w:left="60"/>
              <w:spacing w:after="0"/>
              <w:rPr>
                <w:sz w:val="20"/>
                <w:szCs w:val="20"/>
                <w:color w:val="auto"/>
              </w:rPr>
            </w:pPr>
            <w:r>
              <w:rPr>
                <w:rFonts w:ascii="Times New Roman" w:cs="Times New Roman" w:eastAsia="Times New Roman" w:hAnsi="Times New Roman"/>
                <w:sz w:val="16"/>
                <w:szCs w:val="16"/>
                <w:color w:val="auto"/>
              </w:rPr>
              <w:t>Borde posterior de la última supralabial</w:t>
            </w:r>
          </w:p>
        </w:tc>
      </w:tr>
      <w:tr>
        <w:trPr>
          <w:trHeight w:val="31"/>
        </w:trPr>
        <w:tc>
          <w:tcPr>
            <w:tcW w:w="2020" w:type="dxa"/>
            <w:vAlign w:val="bottom"/>
            <w:tcBorders>
              <w:left w:val="single" w:sz="8" w:color="auto"/>
              <w:bottom w:val="single" w:sz="8" w:color="auto"/>
              <w:right w:val="single" w:sz="8" w:color="auto"/>
            </w:tcBorders>
          </w:tcPr>
          <w:p>
            <w:pPr>
              <w:spacing w:after="0"/>
              <w:rPr>
                <w:sz w:val="2"/>
                <w:szCs w:val="2"/>
                <w:color w:val="auto"/>
              </w:rPr>
            </w:pPr>
          </w:p>
        </w:tc>
        <w:tc>
          <w:tcPr>
            <w:tcW w:w="5180" w:type="dxa"/>
            <w:vAlign w:val="bottom"/>
            <w:tcBorders>
              <w:bottom w:val="single" w:sz="8" w:color="auto"/>
              <w:right w:val="single" w:sz="8" w:color="auto"/>
            </w:tcBorders>
          </w:tcPr>
          <w:p>
            <w:pPr>
              <w:spacing w:after="0"/>
              <w:rPr>
                <w:sz w:val="2"/>
                <w:szCs w:val="2"/>
                <w:color w:val="auto"/>
              </w:rPr>
            </w:pPr>
          </w:p>
        </w:tc>
      </w:tr>
    </w:tbl>
    <w:p>
      <w:pPr>
        <w:spacing w:after="0" w:line="163" w:lineRule="exact"/>
        <w:rPr>
          <w:sz w:val="20"/>
          <w:szCs w:val="20"/>
          <w:color w:val="auto"/>
        </w:rPr>
      </w:pPr>
    </w:p>
    <w:p>
      <w:pPr>
        <w:jc w:val="both"/>
        <w:spacing w:after="0" w:line="286" w:lineRule="auto"/>
        <w:rPr>
          <w:sz w:val="20"/>
          <w:szCs w:val="20"/>
          <w:color w:val="auto"/>
        </w:rPr>
      </w:pPr>
      <w:r>
        <w:rPr>
          <w:rFonts w:ascii="Times New Roman" w:cs="Times New Roman" w:eastAsia="Times New Roman" w:hAnsi="Times New Roman"/>
          <w:sz w:val="16"/>
          <w:szCs w:val="16"/>
          <w:color w:val="auto"/>
        </w:rPr>
        <w:t xml:space="preserve">Nota: en el caso de </w:t>
      </w:r>
      <w:r>
        <w:rPr>
          <w:rFonts w:ascii="Times New Roman" w:cs="Times New Roman" w:eastAsia="Times New Roman" w:hAnsi="Times New Roman"/>
          <w:sz w:val="16"/>
          <w:szCs w:val="16"/>
          <w:i w:val="1"/>
          <w:iCs w:val="1"/>
          <w:color w:val="auto"/>
        </w:rPr>
        <w:t>S. bicanthalis,</w:t>
      </w:r>
      <w:r>
        <w:rPr>
          <w:rFonts w:ascii="Times New Roman" w:cs="Times New Roman" w:eastAsia="Times New Roman" w:hAnsi="Times New Roman"/>
          <w:sz w:val="16"/>
          <w:szCs w:val="16"/>
          <w:color w:val="auto"/>
        </w:rPr>
        <w:t xml:space="preserve"> que posee en su mayoría dos pares de cantales, solamente se tomó en cuenta la configuración de </w:t>
      </w:r>
      <w:r>
        <w:rPr>
          <w:rFonts w:ascii="Times New Roman" w:cs="Times New Roman" w:eastAsia="Times New Roman" w:hAnsi="Times New Roman"/>
          <w:sz w:val="16"/>
          <w:szCs w:val="16"/>
          <w:i w:val="1"/>
          <w:iCs w:val="1"/>
          <w:color w:val="auto"/>
        </w:rPr>
        <w:t>landmarks</w:t>
      </w:r>
      <w:r>
        <w:rPr>
          <w:rFonts w:ascii="Times New Roman" w:cs="Times New Roman" w:eastAsia="Times New Roman" w:hAnsi="Times New Roman"/>
          <w:sz w:val="16"/>
          <w:szCs w:val="16"/>
          <w:color w:val="auto"/>
        </w:rPr>
        <w:t xml:space="preserve"> de un par (una para la vista lateral derecha y otra para la vista lateral izquierda).</w:t>
      </w:r>
    </w:p>
    <w:p>
      <w:pPr>
        <w:spacing w:after="0" w:line="2"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Fuente: Galindo, 2011.</w:t>
      </w:r>
    </w:p>
    <w:p>
      <w:pPr>
        <w:spacing w:after="0" w:line="200" w:lineRule="exact"/>
        <w:rPr>
          <w:sz w:val="20"/>
          <w:szCs w:val="20"/>
          <w:color w:val="auto"/>
        </w:rPr>
      </w:pPr>
    </w:p>
    <w:p>
      <w:pPr>
        <w:spacing w:after="0" w:line="281" w:lineRule="exact"/>
        <w:rPr>
          <w:sz w:val="20"/>
          <w:szCs w:val="20"/>
          <w:color w:val="auto"/>
        </w:rPr>
      </w:pPr>
    </w:p>
    <w:p>
      <w:pPr>
        <w:jc w:val="both"/>
        <w:spacing w:after="0" w:line="338" w:lineRule="auto"/>
        <w:rPr>
          <w:sz w:val="20"/>
          <w:szCs w:val="20"/>
          <w:color w:val="auto"/>
        </w:rPr>
      </w:pPr>
      <w:r>
        <w:rPr>
          <w:rFonts w:ascii="Times New Roman" w:cs="Times New Roman" w:eastAsia="Times New Roman" w:hAnsi="Times New Roman"/>
          <w:sz w:val="20"/>
          <w:szCs w:val="20"/>
          <w:color w:val="auto"/>
        </w:rPr>
        <w:t xml:space="preserve">Las configuraciones de las marcas de cada especie fueron alineadas con la superimposición de Procrustes, utilizando el módulo CoordGen6f (Sheets, 2001) del Integrated Morphometrics Package (imp); además, se obtuvieron las gradillas de deformación de cada especie al realizar el análisis de </w:t>
      </w:r>
      <w:r>
        <w:rPr>
          <w:rFonts w:ascii="Times New Roman" w:cs="Times New Roman" w:eastAsia="Times New Roman" w:hAnsi="Times New Roman"/>
          <w:sz w:val="20"/>
          <w:szCs w:val="20"/>
          <w:i w:val="1"/>
          <w:iCs w:val="1"/>
          <w:color w:val="auto"/>
        </w:rPr>
        <w:t>thin plate spline</w:t>
      </w:r>
      <w:r>
        <w:rPr>
          <w:rFonts w:ascii="Times New Roman" w:cs="Times New Roman" w:eastAsia="Times New Roman" w:hAnsi="Times New Roman"/>
          <w:sz w:val="20"/>
          <w:szCs w:val="20"/>
          <w:color w:val="auto"/>
        </w:rPr>
        <w:t xml:space="preserve">. Para determinar el grado de variación de la forma de las escamas de la cabeza </w:t>
      </w:r>
      <w:r>
        <w:rPr>
          <w:rFonts w:ascii="Times New Roman" w:cs="Times New Roman" w:eastAsia="Times New Roman" w:hAnsi="Times New Roman"/>
          <w:sz w:val="18"/>
          <w:szCs w:val="18"/>
          <w:color w:val="auto"/>
        </w:rPr>
        <w:t>entre</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S. aeneus</w:t>
      </w:r>
      <w:r>
        <w:rPr>
          <w:rFonts w:ascii="Times New Roman" w:cs="Times New Roman" w:eastAsia="Times New Roman" w:hAnsi="Times New Roman"/>
          <w:sz w:val="20"/>
          <w:szCs w:val="20"/>
          <w:color w:val="auto"/>
        </w:rPr>
        <w:t xml:space="preserve"> y </w:t>
      </w:r>
      <w:r>
        <w:rPr>
          <w:rFonts w:ascii="Times New Roman" w:cs="Times New Roman" w:eastAsia="Times New Roman" w:hAnsi="Times New Roman"/>
          <w:sz w:val="20"/>
          <w:szCs w:val="20"/>
          <w:i w:val="1"/>
          <w:iCs w:val="1"/>
          <w:color w:val="auto"/>
        </w:rPr>
        <w:t>S.</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bicanthalis</w:t>
      </w:r>
      <w:r>
        <w:rPr>
          <w:rFonts w:ascii="Times New Roman" w:cs="Times New Roman" w:eastAsia="Times New Roman" w:hAnsi="Times New Roman"/>
          <w:sz w:val="20"/>
          <w:szCs w:val="20"/>
          <w:color w:val="auto"/>
        </w:rPr>
        <w:t>, se realizó un análisis de componentes principales (acp) sobre las coordenadas</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Procrustes (PCAGen6n, imp; Sheets, 2001). Un análisis de variables canónicas (avc) con el CVAGen6 (imp; Sheet</w:t>
      </w:r>
      <w:r>
        <w:rPr>
          <w:rFonts w:ascii="Times New Roman" w:cs="Times New Roman" w:eastAsia="Times New Roman" w:hAnsi="Times New Roman"/>
          <w:sz w:val="18"/>
          <w:szCs w:val="18"/>
          <w:color w:val="auto"/>
        </w:rPr>
        <w:t>s, 2001</w:t>
      </w:r>
      <w:r>
        <w:rPr>
          <w:rFonts w:ascii="Times New Roman" w:cs="Times New Roman" w:eastAsia="Times New Roman" w:hAnsi="Times New Roman"/>
          <w:sz w:val="20"/>
          <w:szCs w:val="20"/>
          <w:color w:val="auto"/>
        </w:rPr>
        <w:t>) fue empleado para discriminar, en función de la forma, las escamas de las especies de interés. Para evaluar si las diferencias encontradas eran significativas entre los dos morfotipos, se hizo la comparación de las dos especies con el módulo TwoGroupeh (imp). Respecto a los caracteres merísticos, se efectuó el conteo de las escamas cantales con la ayuda de las fotografías tomadas en vista lateral. En todas las pruebas estadísticas se utilizó un nivel de confianza de 0.05.</w:t>
      </w:r>
    </w:p>
    <w:p>
      <w:pPr>
        <w:spacing w:after="0" w:line="200" w:lineRule="exact"/>
        <w:rPr>
          <w:sz w:val="20"/>
          <w:szCs w:val="20"/>
          <w:color w:val="auto"/>
        </w:rPr>
      </w:pPr>
    </w:p>
    <w:p>
      <w:pPr>
        <w:spacing w:after="0" w:line="389"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Resultados</w:t>
      </w:r>
    </w:p>
    <w:p>
      <w:pPr>
        <w:spacing w:after="0" w:line="387" w:lineRule="exact"/>
        <w:rPr>
          <w:sz w:val="20"/>
          <w:szCs w:val="20"/>
          <w:color w:val="auto"/>
        </w:rPr>
      </w:pPr>
    </w:p>
    <w:p>
      <w:pPr>
        <w:jc w:val="both"/>
        <w:spacing w:after="0" w:line="309" w:lineRule="auto"/>
        <w:rPr>
          <w:sz w:val="20"/>
          <w:szCs w:val="20"/>
          <w:color w:val="auto"/>
        </w:rPr>
      </w:pPr>
      <w:r>
        <w:rPr>
          <w:rFonts w:ascii="Times New Roman" w:cs="Times New Roman" w:eastAsia="Times New Roman" w:hAnsi="Times New Roman"/>
          <w:sz w:val="22"/>
          <w:szCs w:val="22"/>
          <w:color w:val="auto"/>
        </w:rPr>
        <w:t xml:space="preserve">Las gradillas de deformación muestran un morfotipo bien definido para cada especie en las cuatro vistas analizadas. La vista dorsal de </w:t>
      </w:r>
      <w:r>
        <w:rPr>
          <w:rFonts w:ascii="Times New Roman" w:cs="Times New Roman" w:eastAsia="Times New Roman" w:hAnsi="Times New Roman"/>
          <w:sz w:val="22"/>
          <w:szCs w:val="22"/>
          <w:i w:val="1"/>
          <w:iCs w:val="1"/>
          <w:color w:val="auto"/>
        </w:rPr>
        <w:t>S. aeneus</w:t>
      </w:r>
      <w:r>
        <w:rPr>
          <w:rFonts w:ascii="Times New Roman" w:cs="Times New Roman" w:eastAsia="Times New Roman" w:hAnsi="Times New Roman"/>
          <w:sz w:val="22"/>
          <w:szCs w:val="22"/>
          <w:color w:val="auto"/>
        </w:rPr>
        <w:t xml:space="preserve"> presenta una amplificación lateral de las escamas interparietales y parietales; en </w:t>
      </w:r>
      <w:r>
        <w:rPr>
          <w:rFonts w:ascii="Times New Roman" w:cs="Times New Roman" w:eastAsia="Times New Roman" w:hAnsi="Times New Roman"/>
          <w:sz w:val="22"/>
          <w:szCs w:val="22"/>
          <w:i w:val="1"/>
          <w:iCs w:val="1"/>
          <w:color w:val="auto"/>
        </w:rPr>
        <w:t>S. bicanthalis</w:t>
      </w:r>
      <w:r>
        <w:rPr>
          <w:rFonts w:ascii="Times New Roman" w:cs="Times New Roman" w:eastAsia="Times New Roman" w:hAnsi="Times New Roman"/>
          <w:sz w:val="22"/>
          <w:szCs w:val="22"/>
          <w:color w:val="auto"/>
        </w:rPr>
        <w:t xml:space="preserve"> se nota una extensión hacia delante de la escama frontal anterior, la cual se relaciona con una reducción del borde anterior de esta escama hasta la rostral.</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22"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353" name="Shape 35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53" o:spid="_x0000_s137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354" name="Shape 35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54" o:spid="_x0000_s137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355" name="Shape 35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55" o:spid="_x0000_s138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41" w:name="page142"/>
    <w:bookmarkEnd w:id="141"/>
    <w:p>
      <w:pPr>
        <w:ind w:left="580"/>
        <w:spacing w:after="0"/>
        <w:tabs>
          <w:tab w:leader="dot" w:pos="6960" w:val="left"/>
        </w:tabs>
        <w:rPr>
          <w:sz w:val="20"/>
          <w:szCs w:val="20"/>
          <w:color w:val="auto"/>
        </w:rPr>
      </w:pPr>
      <w:r>
        <w:rPr>
          <w:rFonts w:ascii="Arial Narrow" w:cs="Arial Narrow" w:eastAsia="Arial Narrow" w:hAnsi="Arial Narrow"/>
          <w:sz w:val="11"/>
          <w:szCs w:val="11"/>
          <w:color w:val="auto"/>
        </w:rPr>
        <w:t xml:space="preserve">morfometría geométrica de las escamas cefálicas de dos especies hermanas del género </w:t>
      </w:r>
      <w:r>
        <w:rPr>
          <w:rFonts w:ascii="Arial Narrow" w:cs="Arial Narrow" w:eastAsia="Arial Narrow" w:hAnsi="Arial Narrow"/>
          <w:sz w:val="11"/>
          <w:szCs w:val="11"/>
          <w:i w:val="1"/>
          <w:iCs w:val="1"/>
          <w:color w:val="auto"/>
        </w:rPr>
        <w:t>sceloporus</w:t>
      </w:r>
      <w:r>
        <w:rPr>
          <w:sz w:val="20"/>
          <w:szCs w:val="20"/>
          <w:color w:val="auto"/>
        </w:rPr>
        <w:tab/>
      </w:r>
      <w:r>
        <w:rPr>
          <w:rFonts w:ascii="Arial Narrow" w:cs="Arial Narrow" w:eastAsia="Arial Narrow" w:hAnsi="Arial Narrow"/>
          <w:sz w:val="16"/>
          <w:szCs w:val="16"/>
          <w:color w:val="auto"/>
        </w:rPr>
        <w:t>141</w:t>
      </w:r>
    </w:p>
    <w:p>
      <w:pPr>
        <w:spacing w:after="0" w:line="200" w:lineRule="exact"/>
        <w:rPr>
          <w:sz w:val="20"/>
          <w:szCs w:val="20"/>
          <w:color w:val="auto"/>
        </w:rPr>
      </w:pPr>
    </w:p>
    <w:p>
      <w:pPr>
        <w:spacing w:after="0" w:line="347" w:lineRule="exact"/>
        <w:rPr>
          <w:sz w:val="20"/>
          <w:szCs w:val="20"/>
          <w:color w:val="auto"/>
        </w:rPr>
      </w:pPr>
    </w:p>
    <w:p>
      <w:pPr>
        <w:jc w:val="both"/>
        <w:ind w:firstLine="360"/>
        <w:spacing w:after="0" w:line="305" w:lineRule="auto"/>
        <w:rPr>
          <w:sz w:val="20"/>
          <w:szCs w:val="20"/>
          <w:color w:val="auto"/>
        </w:rPr>
      </w:pPr>
      <w:r>
        <w:rPr>
          <w:rFonts w:ascii="Times New Roman" w:cs="Times New Roman" w:eastAsia="Times New Roman" w:hAnsi="Times New Roman"/>
          <w:sz w:val="22"/>
          <w:szCs w:val="22"/>
          <w:color w:val="auto"/>
        </w:rPr>
        <w:t xml:space="preserve">En la vista ventral, </w:t>
      </w:r>
      <w:r>
        <w:rPr>
          <w:rFonts w:ascii="Times New Roman" w:cs="Times New Roman" w:eastAsia="Times New Roman" w:hAnsi="Times New Roman"/>
          <w:sz w:val="22"/>
          <w:szCs w:val="22"/>
          <w:i w:val="1"/>
          <w:iCs w:val="1"/>
          <w:color w:val="auto"/>
        </w:rPr>
        <w:t>S. aeneus</w:t>
      </w:r>
      <w:r>
        <w:rPr>
          <w:rFonts w:ascii="Times New Roman" w:cs="Times New Roman" w:eastAsia="Times New Roman" w:hAnsi="Times New Roman"/>
          <w:sz w:val="22"/>
          <w:szCs w:val="22"/>
          <w:color w:val="auto"/>
        </w:rPr>
        <w:t xml:space="preserve"> muestra menor variación. La parte posterior se extiende hasta los bordes del segundo par de escamas mentales posteriores; mientras que para el caso de </w:t>
      </w:r>
      <w:r>
        <w:rPr>
          <w:rFonts w:ascii="Times New Roman" w:cs="Times New Roman" w:eastAsia="Times New Roman" w:hAnsi="Times New Roman"/>
          <w:sz w:val="22"/>
          <w:szCs w:val="22"/>
          <w:i w:val="1"/>
          <w:iCs w:val="1"/>
          <w:color w:val="auto"/>
        </w:rPr>
        <w:t>S. bicanthalis</w:t>
      </w:r>
      <w:r>
        <w:rPr>
          <w:rFonts w:ascii="Times New Roman" w:cs="Times New Roman" w:eastAsia="Times New Roman" w:hAnsi="Times New Roman"/>
          <w:sz w:val="22"/>
          <w:szCs w:val="22"/>
          <w:color w:val="auto"/>
        </w:rPr>
        <w:t xml:space="preserve"> el acortamiento frontal de la escama mental está asociado a la reducción longitudinal del cráneo. Referente a la vista lateral derecha, </w:t>
      </w:r>
      <w:r>
        <w:rPr>
          <w:rFonts w:ascii="Times New Roman" w:cs="Times New Roman" w:eastAsia="Times New Roman" w:hAnsi="Times New Roman"/>
          <w:sz w:val="22"/>
          <w:szCs w:val="22"/>
          <w:i w:val="1"/>
          <w:iCs w:val="1"/>
          <w:color w:val="auto"/>
        </w:rPr>
        <w:t xml:space="preserve">S. aeneus </w:t>
      </w:r>
      <w:r>
        <w:rPr>
          <w:rFonts w:ascii="Times New Roman" w:cs="Times New Roman" w:eastAsia="Times New Roman" w:hAnsi="Times New Roman"/>
          <w:sz w:val="22"/>
          <w:szCs w:val="22"/>
          <w:color w:val="auto"/>
        </w:rPr>
        <w:t>exhibe una proyección hacia la parte posterior del cráneo. Se observa que</w:t>
      </w:r>
      <w:r>
        <w:rPr>
          <w:rFonts w:ascii="Times New Roman" w:cs="Times New Roman" w:eastAsia="Times New Roman" w:hAnsi="Times New Roman"/>
          <w:sz w:val="22"/>
          <w:szCs w:val="22"/>
          <w:i w:val="1"/>
          <w:iCs w:val="1"/>
          <w:color w:val="auto"/>
        </w:rPr>
        <w:t xml:space="preserve"> S. bicanthalis </w:t>
      </w:r>
      <w:r>
        <w:rPr>
          <w:rFonts w:ascii="Times New Roman" w:cs="Times New Roman" w:eastAsia="Times New Roman" w:hAnsi="Times New Roman"/>
          <w:sz w:val="22"/>
          <w:szCs w:val="22"/>
          <w:color w:val="auto"/>
        </w:rPr>
        <w:t>tiene mayor deformación enmarcada en la sección posterior, mostrando</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una reducción longitudinal. En lo que respecta a la vista lateral izquierda, ambas especies presentan variación en la parte posterior. </w:t>
      </w:r>
      <w:r>
        <w:rPr>
          <w:rFonts w:ascii="Times New Roman" w:cs="Times New Roman" w:eastAsia="Times New Roman" w:hAnsi="Times New Roman"/>
          <w:sz w:val="22"/>
          <w:szCs w:val="22"/>
          <w:i w:val="1"/>
          <w:iCs w:val="1"/>
          <w:color w:val="auto"/>
        </w:rPr>
        <w:t>S. aeneus</w:t>
      </w:r>
      <w:r>
        <w:rPr>
          <w:rFonts w:ascii="Times New Roman" w:cs="Times New Roman" w:eastAsia="Times New Roman" w:hAnsi="Times New Roman"/>
          <w:sz w:val="22"/>
          <w:szCs w:val="22"/>
          <w:color w:val="auto"/>
        </w:rPr>
        <w:t xml:space="preserve"> manifiesta una compresión muy marcada en la parte inferior, en la escama subocular, que además se observa con una extensión hacia atrás. Lo contrario ocurre con </w:t>
      </w:r>
      <w:r>
        <w:rPr>
          <w:rFonts w:ascii="Times New Roman" w:cs="Times New Roman" w:eastAsia="Times New Roman" w:hAnsi="Times New Roman"/>
          <w:sz w:val="22"/>
          <w:szCs w:val="22"/>
          <w:i w:val="1"/>
          <w:iCs w:val="1"/>
          <w:color w:val="auto"/>
        </w:rPr>
        <w:t>S. bicanthalis</w:t>
      </w:r>
      <w:r>
        <w:rPr>
          <w:rFonts w:ascii="Times New Roman" w:cs="Times New Roman" w:eastAsia="Times New Roman" w:hAnsi="Times New Roman"/>
          <w:sz w:val="22"/>
          <w:szCs w:val="22"/>
          <w:color w:val="auto"/>
        </w:rPr>
        <w:t>, cuya parte posterior se extiende de forma longitudinal y la subocular presenta una compresión hacia delante (figura 3).</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6"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142" w:name="page143"/>
    <w:bookmarkEnd w:id="142"/>
    <w:p>
      <w:pPr>
        <w:spacing w:after="0"/>
        <w:tabs>
          <w:tab w:leader="none" w:pos="2160" w:val="left"/>
          <w:tab w:leader="none" w:pos="2900" w:val="left"/>
          <w:tab w:leader="none" w:pos="4080" w:val="left"/>
        </w:tabs>
        <w:rPr>
          <w:sz w:val="20"/>
          <w:szCs w:val="20"/>
          <w:color w:val="auto"/>
        </w:rPr>
      </w:pPr>
      <w:r>
        <w:rPr>
          <w:rFonts w:ascii="Arial Narrow" w:cs="Arial Narrow" w:eastAsia="Arial Narrow" w:hAnsi="Arial Narrow"/>
          <w:sz w:val="16"/>
          <w:szCs w:val="16"/>
          <w:color w:val="auto"/>
        </w:rPr>
        <w:t>142</w:t>
      </w:r>
      <w:r>
        <w:rPr>
          <w:sz w:val="20"/>
          <w:szCs w:val="20"/>
          <w:color w:val="auto"/>
        </w:rPr>
        <w:tab/>
      </w:r>
      <w:r>
        <w:rPr>
          <w:rFonts w:ascii="Arial Narrow" w:cs="Arial Narrow" w:eastAsia="Arial Narrow" w:hAnsi="Arial Narrow"/>
          <w:sz w:val="11"/>
          <w:szCs w:val="11"/>
          <w:color w:val="auto"/>
        </w:rPr>
        <w:t>galindo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gil</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1822450</wp:posOffset>
                </wp:positionH>
                <wp:positionV relativeFrom="paragraph">
                  <wp:posOffset>-76835</wp:posOffset>
                </wp:positionV>
                <wp:extent cx="0" cy="88900"/>
                <wp:wrapNone/>
                <wp:docPr id="356" name="Shape 35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56" o:spid="_x0000_s138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3.5pt,-6.0499pt" to="143.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2566035</wp:posOffset>
                </wp:positionH>
                <wp:positionV relativeFrom="paragraph">
                  <wp:posOffset>-76835</wp:posOffset>
                </wp:positionV>
                <wp:extent cx="0" cy="88900"/>
                <wp:wrapNone/>
                <wp:docPr id="357" name="Shape 35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57" o:spid="_x0000_s138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2.05pt,-6.0499pt" to="202.05pt,0.95pt" o:allowincell="f" strokecolor="#000000" strokeweight="0.4pt"/>
            </w:pict>
          </mc:Fallback>
        </mc:AlternateContent>
      </w:r>
    </w:p>
    <w:p>
      <w:pPr>
        <w:spacing w:after="0" w:line="355" w:lineRule="exact"/>
        <w:rPr>
          <w:sz w:val="20"/>
          <w:szCs w:val="20"/>
          <w:color w:val="auto"/>
        </w:rPr>
      </w:pPr>
    </w:p>
    <w:p>
      <w:pPr>
        <w:ind w:left="3320"/>
        <w:spacing w:after="0"/>
        <w:rPr>
          <w:sz w:val="20"/>
          <w:szCs w:val="20"/>
          <w:color w:val="auto"/>
        </w:rPr>
      </w:pPr>
      <w:r>
        <w:rPr>
          <w:rFonts w:ascii="Times New Roman" w:cs="Times New Roman" w:eastAsia="Times New Roman" w:hAnsi="Times New Roman"/>
          <w:sz w:val="18"/>
          <w:szCs w:val="18"/>
          <w:i w:val="1"/>
          <w:iCs w:val="1"/>
          <w:color w:val="auto"/>
        </w:rPr>
        <w:t>Figura 3</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-2540</wp:posOffset>
            </wp:positionH>
            <wp:positionV relativeFrom="paragraph">
              <wp:posOffset>144145</wp:posOffset>
            </wp:positionV>
            <wp:extent cx="4574540" cy="5441950"/>
            <wp:wrapNone/>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64">
                      <a:extLst>
                        <a:ext uri="{28A0092B-C50C-407E-A947-70E740481C1C}"/>
                      </a:extLst>
                    </a:blip>
                    <a:srcRect/>
                    <a:stretch>
                      <a:fillRect/>
                    </a:stretch>
                  </pic:blipFill>
                  <pic:spPr bwMode="auto">
                    <a:xfrm>
                      <a:off x="0" y="0"/>
                      <a:ext cx="4574540" cy="544195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7" w:lineRule="exact"/>
        <w:rPr>
          <w:sz w:val="20"/>
          <w:szCs w:val="20"/>
          <w:color w:val="auto"/>
        </w:rPr>
      </w:pPr>
    </w:p>
    <w:p>
      <w:pPr>
        <w:ind w:left="220"/>
        <w:spacing w:after="0"/>
        <w:rPr>
          <w:sz w:val="20"/>
          <w:szCs w:val="20"/>
          <w:color w:val="auto"/>
        </w:rPr>
      </w:pPr>
      <w:r>
        <w:rPr>
          <w:rFonts w:ascii="Times New Roman" w:cs="Times New Roman" w:eastAsia="Times New Roman" w:hAnsi="Times New Roman"/>
          <w:sz w:val="16"/>
          <w:szCs w:val="16"/>
          <w:color w:val="auto"/>
        </w:rPr>
        <w:t>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6" w:lineRule="exact"/>
        <w:rPr>
          <w:sz w:val="20"/>
          <w:szCs w:val="20"/>
          <w:color w:val="auto"/>
        </w:rPr>
      </w:pPr>
    </w:p>
    <w:p>
      <w:pPr>
        <w:ind w:left="220"/>
        <w:spacing w:after="0"/>
        <w:rPr>
          <w:sz w:val="20"/>
          <w:szCs w:val="20"/>
          <w:color w:val="auto"/>
        </w:rPr>
      </w:pPr>
      <w:r>
        <w:rPr>
          <w:rFonts w:ascii="Times New Roman" w:cs="Times New Roman" w:eastAsia="Times New Roman" w:hAnsi="Times New Roman"/>
          <w:sz w:val="16"/>
          <w:szCs w:val="16"/>
          <w:color w:val="auto"/>
        </w:rPr>
        <w:t>b)</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6" w:lineRule="exact"/>
        <w:rPr>
          <w:sz w:val="20"/>
          <w:szCs w:val="20"/>
          <w:color w:val="auto"/>
        </w:rPr>
      </w:pPr>
    </w:p>
    <w:p>
      <w:pPr>
        <w:ind w:left="220"/>
        <w:spacing w:after="0"/>
        <w:rPr>
          <w:sz w:val="20"/>
          <w:szCs w:val="20"/>
          <w:color w:val="auto"/>
        </w:rPr>
      </w:pPr>
      <w:r>
        <w:rPr>
          <w:rFonts w:ascii="Times New Roman" w:cs="Times New Roman" w:eastAsia="Times New Roman" w:hAnsi="Times New Roman"/>
          <w:sz w:val="16"/>
          <w:szCs w:val="16"/>
          <w:color w:val="auto"/>
        </w:rPr>
        <w:t>c)</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6" w:lineRule="exact"/>
        <w:rPr>
          <w:sz w:val="20"/>
          <w:szCs w:val="20"/>
          <w:color w:val="auto"/>
        </w:rPr>
      </w:pPr>
    </w:p>
    <w:p>
      <w:pPr>
        <w:ind w:left="220"/>
        <w:spacing w:after="0"/>
        <w:rPr>
          <w:sz w:val="20"/>
          <w:szCs w:val="20"/>
          <w:color w:val="auto"/>
        </w:rPr>
      </w:pPr>
      <w:r>
        <w:rPr>
          <w:rFonts w:ascii="Times New Roman" w:cs="Times New Roman" w:eastAsia="Times New Roman" w:hAnsi="Times New Roman"/>
          <w:sz w:val="16"/>
          <w:szCs w:val="16"/>
          <w:color w:val="auto"/>
        </w:rPr>
        <w:t>d)</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7"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2860" w:type="dxa"/>
            <w:vAlign w:val="bottom"/>
          </w:tcPr>
          <w:p>
            <w:pPr>
              <w:ind w:left="1200"/>
              <w:spacing w:after="0"/>
              <w:rPr>
                <w:sz w:val="20"/>
                <w:szCs w:val="20"/>
                <w:color w:val="auto"/>
              </w:rPr>
            </w:pPr>
            <w:r>
              <w:rPr>
                <w:rFonts w:ascii="Times New Roman" w:cs="Times New Roman" w:eastAsia="Times New Roman" w:hAnsi="Times New Roman"/>
                <w:sz w:val="22"/>
                <w:szCs w:val="22"/>
                <w:i w:val="1"/>
                <w:iCs w:val="1"/>
                <w:color w:val="auto"/>
                <w:w w:val="99"/>
              </w:rPr>
              <w:t>Sceloporus aeneus</w:t>
            </w:r>
          </w:p>
        </w:tc>
        <w:tc>
          <w:tcPr>
            <w:tcW w:w="4340" w:type="dxa"/>
            <w:vAlign w:val="bottom"/>
          </w:tcPr>
          <w:p>
            <w:pPr>
              <w:ind w:left="1740"/>
              <w:spacing w:after="0"/>
              <w:rPr>
                <w:sz w:val="20"/>
                <w:szCs w:val="20"/>
                <w:color w:val="auto"/>
              </w:rPr>
            </w:pPr>
            <w:r>
              <w:rPr>
                <w:rFonts w:ascii="Times New Roman" w:cs="Times New Roman" w:eastAsia="Times New Roman" w:hAnsi="Times New Roman"/>
                <w:sz w:val="22"/>
                <w:szCs w:val="22"/>
                <w:i w:val="1"/>
                <w:iCs w:val="1"/>
                <w:color w:val="auto"/>
              </w:rPr>
              <w:t>Sceloporus bicanthalis</w:t>
            </w:r>
          </w:p>
        </w:tc>
      </w:tr>
      <w:tr>
        <w:trPr>
          <w:trHeight w:val="173"/>
        </w:trPr>
        <w:tc>
          <w:tcPr>
            <w:tcW w:w="2860" w:type="dxa"/>
            <w:vAlign w:val="bottom"/>
            <w:tcBorders>
              <w:bottom w:val="single" w:sz="8" w:color="auto"/>
            </w:tcBorders>
          </w:tcPr>
          <w:p>
            <w:pPr>
              <w:spacing w:after="0"/>
              <w:rPr>
                <w:sz w:val="15"/>
                <w:szCs w:val="15"/>
                <w:color w:val="auto"/>
              </w:rPr>
            </w:pPr>
          </w:p>
        </w:tc>
        <w:tc>
          <w:tcPr>
            <w:tcW w:w="4340" w:type="dxa"/>
            <w:vAlign w:val="bottom"/>
            <w:tcBorders>
              <w:bottom w:val="single" w:sz="8" w:color="auto"/>
            </w:tcBorders>
          </w:tcPr>
          <w:p>
            <w:pPr>
              <w:spacing w:after="0"/>
              <w:rPr>
                <w:sz w:val="15"/>
                <w:szCs w:val="15"/>
                <w:color w:val="auto"/>
              </w:rPr>
            </w:pPr>
          </w:p>
        </w:tc>
      </w:tr>
      <w:tr>
        <w:trPr>
          <w:trHeight w:val="423"/>
        </w:trPr>
        <w:tc>
          <w:tcPr>
            <w:tcW w:w="2860" w:type="dxa"/>
            <w:vAlign w:val="bottom"/>
          </w:tcPr>
          <w:p>
            <w:pPr>
              <w:spacing w:after="0"/>
              <w:rPr>
                <w:sz w:val="20"/>
                <w:szCs w:val="20"/>
                <w:color w:val="auto"/>
              </w:rPr>
            </w:pPr>
            <w:r>
              <w:rPr>
                <w:rFonts w:ascii="Times New Roman" w:cs="Times New Roman" w:eastAsia="Times New Roman" w:hAnsi="Times New Roman"/>
                <w:sz w:val="16"/>
                <w:szCs w:val="16"/>
                <w:color w:val="auto"/>
              </w:rPr>
              <w:t>Gradillas de deformación que muestran las</w:t>
            </w:r>
          </w:p>
        </w:tc>
        <w:tc>
          <w:tcPr>
            <w:tcW w:w="4340" w:type="dxa"/>
            <w:vAlign w:val="bottom"/>
          </w:tcPr>
          <w:p>
            <w:pPr>
              <w:ind w:left="40"/>
              <w:spacing w:after="0"/>
              <w:rPr>
                <w:sz w:val="20"/>
                <w:szCs w:val="20"/>
                <w:color w:val="auto"/>
              </w:rPr>
            </w:pPr>
            <w:r>
              <w:rPr>
                <w:rFonts w:ascii="Times New Roman" w:cs="Times New Roman" w:eastAsia="Times New Roman" w:hAnsi="Times New Roman"/>
                <w:sz w:val="16"/>
                <w:szCs w:val="16"/>
                <w:color w:val="auto"/>
              </w:rPr>
              <w:t>diferencias de forma en magnitud y dirección de los vectores en</w:t>
            </w:r>
          </w:p>
        </w:tc>
      </w:tr>
    </w:tbl>
    <w:p>
      <w:pPr>
        <w:spacing w:after="0" w:line="17" w:lineRule="exact"/>
        <w:rPr>
          <w:sz w:val="20"/>
          <w:szCs w:val="20"/>
          <w:color w:val="auto"/>
        </w:rPr>
      </w:pPr>
    </w:p>
    <w:p>
      <w:pPr>
        <w:jc w:val="both"/>
        <w:spacing w:after="0" w:line="311" w:lineRule="auto"/>
        <w:rPr>
          <w:sz w:val="20"/>
          <w:szCs w:val="20"/>
          <w:color w:val="auto"/>
        </w:rPr>
      </w:pPr>
      <w:r>
        <w:rPr>
          <w:rFonts w:ascii="Times New Roman" w:cs="Times New Roman" w:eastAsia="Times New Roman" w:hAnsi="Times New Roman"/>
          <w:sz w:val="16"/>
          <w:szCs w:val="16"/>
          <w:color w:val="auto"/>
        </w:rPr>
        <w:t xml:space="preserve">la configuración de las escamas cefálicas entre </w:t>
      </w:r>
      <w:r>
        <w:rPr>
          <w:rFonts w:ascii="Times New Roman" w:cs="Times New Roman" w:eastAsia="Times New Roman" w:hAnsi="Times New Roman"/>
          <w:sz w:val="16"/>
          <w:szCs w:val="16"/>
          <w:i w:val="1"/>
          <w:iCs w:val="1"/>
          <w:color w:val="auto"/>
        </w:rPr>
        <w:t>S. aeneus</w:t>
      </w:r>
      <w:r>
        <w:rPr>
          <w:rFonts w:ascii="Times New Roman" w:cs="Times New Roman" w:eastAsia="Times New Roman" w:hAnsi="Times New Roman"/>
          <w:sz w:val="16"/>
          <w:szCs w:val="16"/>
          <w:color w:val="auto"/>
        </w:rPr>
        <w:t xml:space="preserve"> y </w:t>
      </w:r>
      <w:r>
        <w:rPr>
          <w:rFonts w:ascii="Times New Roman" w:cs="Times New Roman" w:eastAsia="Times New Roman" w:hAnsi="Times New Roman"/>
          <w:sz w:val="16"/>
          <w:szCs w:val="16"/>
          <w:i w:val="1"/>
          <w:iCs w:val="1"/>
          <w:color w:val="auto"/>
        </w:rPr>
        <w:t>S. bicanthalis</w:t>
      </w:r>
      <w:r>
        <w:rPr>
          <w:rFonts w:ascii="Times New Roman" w:cs="Times New Roman" w:eastAsia="Times New Roman" w:hAnsi="Times New Roman"/>
          <w:sz w:val="16"/>
          <w:szCs w:val="16"/>
          <w:color w:val="auto"/>
        </w:rPr>
        <w:t xml:space="preserve"> para las cuatro vistas analizadas a) dorsal, b) ventral, c) lateral derecha y d) lateral izquierda (Fuente: Galindo, 2011).</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66"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359" name="Shape 35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59" o:spid="_x0000_s138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360" name="Shape 36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60" o:spid="_x0000_s138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361" name="Shape 36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61" o:spid="_x0000_s138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43" w:name="page144"/>
    <w:bookmarkEnd w:id="143"/>
    <w:p>
      <w:pPr>
        <w:ind w:left="580"/>
        <w:spacing w:after="0"/>
        <w:tabs>
          <w:tab w:leader="dot" w:pos="6960" w:val="left"/>
        </w:tabs>
        <w:rPr>
          <w:sz w:val="20"/>
          <w:szCs w:val="20"/>
          <w:color w:val="auto"/>
        </w:rPr>
      </w:pPr>
      <w:r>
        <w:rPr>
          <w:rFonts w:ascii="Arial Narrow" w:cs="Arial Narrow" w:eastAsia="Arial Narrow" w:hAnsi="Arial Narrow"/>
          <w:sz w:val="11"/>
          <w:szCs w:val="11"/>
          <w:color w:val="auto"/>
        </w:rPr>
        <w:t xml:space="preserve">morfometría geométrica de las escamas cefálicas de dos especies hermanas del género </w:t>
      </w:r>
      <w:r>
        <w:rPr>
          <w:rFonts w:ascii="Arial Narrow" w:cs="Arial Narrow" w:eastAsia="Arial Narrow" w:hAnsi="Arial Narrow"/>
          <w:sz w:val="11"/>
          <w:szCs w:val="11"/>
          <w:i w:val="1"/>
          <w:iCs w:val="1"/>
          <w:color w:val="auto"/>
        </w:rPr>
        <w:t>sceloporus</w:t>
      </w:r>
      <w:r>
        <w:rPr>
          <w:sz w:val="20"/>
          <w:szCs w:val="20"/>
          <w:color w:val="auto"/>
        </w:rPr>
        <w:tab/>
      </w:r>
      <w:r>
        <w:rPr>
          <w:rFonts w:ascii="Arial Narrow" w:cs="Arial Narrow" w:eastAsia="Arial Narrow" w:hAnsi="Arial Narrow"/>
          <w:sz w:val="16"/>
          <w:szCs w:val="16"/>
          <w:color w:val="auto"/>
        </w:rPr>
        <w:t>143</w:t>
      </w:r>
    </w:p>
    <w:p>
      <w:pPr>
        <w:spacing w:after="0" w:line="200" w:lineRule="exact"/>
        <w:rPr>
          <w:sz w:val="20"/>
          <w:szCs w:val="20"/>
          <w:color w:val="auto"/>
        </w:rPr>
      </w:pPr>
    </w:p>
    <w:p>
      <w:pPr>
        <w:spacing w:after="0" w:line="347" w:lineRule="exact"/>
        <w:rPr>
          <w:sz w:val="20"/>
          <w:szCs w:val="20"/>
          <w:color w:val="auto"/>
        </w:rPr>
      </w:pPr>
    </w:p>
    <w:p>
      <w:pPr>
        <w:jc w:val="both"/>
        <w:spacing w:after="0" w:line="322" w:lineRule="auto"/>
        <w:rPr>
          <w:sz w:val="20"/>
          <w:szCs w:val="20"/>
          <w:color w:val="auto"/>
        </w:rPr>
      </w:pPr>
      <w:r>
        <w:rPr>
          <w:rFonts w:ascii="Times New Roman" w:cs="Times New Roman" w:eastAsia="Times New Roman" w:hAnsi="Times New Roman"/>
          <w:sz w:val="21"/>
          <w:szCs w:val="21"/>
          <w:color w:val="auto"/>
        </w:rPr>
        <w:t>El acp indica que los primeros dos componentes explican la mayor varianza en las vistas analizadas. En cuanto a la variación, la vista dorsal muestra la mayor con 73% de la varianza acumulada; las vistas laterales presentan cerca de 50%; en tanto que la vista ventral únicamente evidencia 20%. El avc separa claramente ambas especies con respecto a las vistas dorsal, lateral derecha e izquierda, pero no en la vista ventral (cuadro 2, figura 4). Sin embargo, esta separación sí es estadísticamente significativa en las cuatro vistas al realizar la prueba F de Goodall: dorsal (</w:t>
      </w: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1"/>
          <w:szCs w:val="21"/>
          <w:color w:val="auto"/>
        </w:rPr>
        <w:t xml:space="preserve"> = 3.48, </w:t>
      </w:r>
      <w:r>
        <w:rPr>
          <w:rFonts w:ascii="Times New Roman" w:cs="Times New Roman" w:eastAsia="Times New Roman" w:hAnsi="Times New Roman"/>
          <w:sz w:val="21"/>
          <w:szCs w:val="21"/>
          <w:i w:val="1"/>
          <w:iCs w:val="1"/>
          <w:color w:val="auto"/>
        </w:rPr>
        <w:t>df</w:t>
      </w:r>
      <w:r>
        <w:rPr>
          <w:rFonts w:ascii="Times New Roman" w:cs="Times New Roman" w:eastAsia="Times New Roman" w:hAnsi="Times New Roman"/>
          <w:sz w:val="21"/>
          <w:szCs w:val="21"/>
          <w:color w:val="auto"/>
        </w:rPr>
        <w:t xml:space="preserve"> = 48, </w:t>
      </w:r>
      <w:r>
        <w:rPr>
          <w:rFonts w:ascii="Times New Roman" w:cs="Times New Roman" w:eastAsia="Times New Roman" w:hAnsi="Times New Roman"/>
          <w:sz w:val="21"/>
          <w:szCs w:val="21"/>
          <w:i w:val="1"/>
          <w:iCs w:val="1"/>
          <w:color w:val="auto"/>
        </w:rPr>
        <w:t xml:space="preserve">p </w:t>
      </w:r>
      <w:r>
        <w:rPr>
          <w:rFonts w:ascii="Times New Roman" w:cs="Times New Roman" w:eastAsia="Times New Roman" w:hAnsi="Times New Roman"/>
          <w:sz w:val="21"/>
          <w:szCs w:val="21"/>
          <w:color w:val="auto"/>
        </w:rPr>
        <w:t>= 1.0769e-014), ventral (</w:t>
      </w:r>
      <w:r>
        <w:rPr>
          <w:rFonts w:ascii="Times New Roman" w:cs="Times New Roman" w:eastAsia="Times New Roman" w:hAnsi="Times New Roman"/>
          <w:sz w:val="21"/>
          <w:szCs w:val="21"/>
          <w:i w:val="1"/>
          <w:iCs w:val="1"/>
          <w:color w:val="auto"/>
        </w:rPr>
        <w:t xml:space="preserve">F </w:t>
      </w:r>
      <w:r>
        <w:rPr>
          <w:rFonts w:ascii="Times New Roman" w:cs="Times New Roman" w:eastAsia="Times New Roman" w:hAnsi="Times New Roman"/>
          <w:sz w:val="21"/>
          <w:szCs w:val="21"/>
          <w:color w:val="auto"/>
        </w:rPr>
        <w:t>= 1.79,</w:t>
      </w:r>
      <w:r>
        <w:rPr>
          <w:rFonts w:ascii="Times New Roman" w:cs="Times New Roman" w:eastAsia="Times New Roman" w:hAnsi="Times New Roman"/>
          <w:sz w:val="21"/>
          <w:szCs w:val="21"/>
          <w:i w:val="1"/>
          <w:iCs w:val="1"/>
          <w:color w:val="auto"/>
        </w:rPr>
        <w:t xml:space="preserve"> df </w:t>
      </w:r>
      <w:r>
        <w:rPr>
          <w:rFonts w:ascii="Times New Roman" w:cs="Times New Roman" w:eastAsia="Times New Roman" w:hAnsi="Times New Roman"/>
          <w:sz w:val="21"/>
          <w:szCs w:val="21"/>
          <w:color w:val="auto"/>
        </w:rPr>
        <w:t>= 32,</w:t>
      </w:r>
      <w:r>
        <w:rPr>
          <w:rFonts w:ascii="Times New Roman" w:cs="Times New Roman" w:eastAsia="Times New Roman" w:hAnsi="Times New Roman"/>
          <w:sz w:val="21"/>
          <w:szCs w:val="21"/>
          <w:i w:val="1"/>
          <w:iCs w:val="1"/>
          <w:color w:val="auto"/>
        </w:rPr>
        <w:t xml:space="preserve"> p </w:t>
      </w:r>
      <w:r>
        <w:rPr>
          <w:rFonts w:ascii="Times New Roman" w:cs="Times New Roman" w:eastAsia="Times New Roman" w:hAnsi="Times New Roman"/>
          <w:sz w:val="21"/>
          <w:szCs w:val="21"/>
          <w:color w:val="auto"/>
        </w:rPr>
        <w:t>= 0.0042), lateral derecha (</w:t>
      </w:r>
      <w:r>
        <w:rPr>
          <w:rFonts w:ascii="Times New Roman" w:cs="Times New Roman" w:eastAsia="Times New Roman" w:hAnsi="Times New Roman"/>
          <w:sz w:val="21"/>
          <w:szCs w:val="21"/>
          <w:i w:val="1"/>
          <w:iCs w:val="1"/>
          <w:color w:val="auto"/>
        </w:rPr>
        <w:t xml:space="preserve">F </w:t>
      </w:r>
      <w:r>
        <w:rPr>
          <w:rFonts w:ascii="Times New Roman" w:cs="Times New Roman" w:eastAsia="Times New Roman" w:hAnsi="Times New Roman"/>
          <w:sz w:val="21"/>
          <w:szCs w:val="21"/>
          <w:color w:val="auto"/>
        </w:rPr>
        <w:t>= 20.10,</w:t>
      </w:r>
      <w:r>
        <w:rPr>
          <w:rFonts w:ascii="Times New Roman" w:cs="Times New Roman" w:eastAsia="Times New Roman" w:hAnsi="Times New Roman"/>
          <w:sz w:val="21"/>
          <w:szCs w:val="21"/>
          <w:i w:val="1"/>
          <w:iCs w:val="1"/>
          <w:color w:val="auto"/>
        </w:rPr>
        <w:t xml:space="preserve"> df </w:t>
      </w:r>
      <w:r>
        <w:rPr>
          <w:rFonts w:ascii="Times New Roman" w:cs="Times New Roman" w:eastAsia="Times New Roman" w:hAnsi="Times New Roman"/>
          <w:sz w:val="21"/>
          <w:szCs w:val="21"/>
          <w:color w:val="auto"/>
        </w:rPr>
        <w:t>= 28</w:t>
      </w:r>
      <w:r>
        <w:rPr>
          <w:rFonts w:ascii="Times New Roman" w:cs="Times New Roman" w:eastAsia="Times New Roman" w:hAnsi="Times New Roman"/>
          <w:sz w:val="21"/>
          <w:szCs w:val="21"/>
          <w:i w:val="1"/>
          <w:iCs w:val="1"/>
          <w:color w:val="auto"/>
        </w:rPr>
        <w:t xml:space="preserve">, p </w:t>
      </w:r>
      <w:r>
        <w:rPr>
          <w:rFonts w:ascii="Times New Roman" w:cs="Times New Roman" w:eastAsia="Times New Roman" w:hAnsi="Times New Roman"/>
          <w:sz w:val="21"/>
          <w:szCs w:val="21"/>
          <w:color w:val="auto"/>
        </w:rPr>
        <w:t>= 0) y lateral izquierda (</w:t>
      </w:r>
      <w:r>
        <w:rPr>
          <w:rFonts w:ascii="Times New Roman" w:cs="Times New Roman" w:eastAsia="Times New Roman" w:hAnsi="Times New Roman"/>
          <w:sz w:val="21"/>
          <w:szCs w:val="21"/>
          <w:i w:val="1"/>
          <w:iCs w:val="1"/>
          <w:color w:val="auto"/>
        </w:rPr>
        <w:t xml:space="preserve">F </w:t>
      </w:r>
      <w:r>
        <w:rPr>
          <w:rFonts w:ascii="Times New Roman" w:cs="Times New Roman" w:eastAsia="Times New Roman" w:hAnsi="Times New Roman"/>
          <w:sz w:val="21"/>
          <w:szCs w:val="21"/>
          <w:color w:val="auto"/>
        </w:rPr>
        <w:t>= 13.37,</w:t>
      </w:r>
      <w:r>
        <w:rPr>
          <w:rFonts w:ascii="Times New Roman" w:cs="Times New Roman" w:eastAsia="Times New Roman" w:hAnsi="Times New Roman"/>
          <w:sz w:val="21"/>
          <w:szCs w:val="21"/>
          <w:i w:val="1"/>
          <w:iCs w:val="1"/>
          <w:color w:val="auto"/>
        </w:rPr>
        <w:t xml:space="preserve"> df </w:t>
      </w:r>
      <w:r>
        <w:rPr>
          <w:rFonts w:ascii="Times New Roman" w:cs="Times New Roman" w:eastAsia="Times New Roman" w:hAnsi="Times New Roman"/>
          <w:sz w:val="21"/>
          <w:szCs w:val="21"/>
          <w:color w:val="auto"/>
        </w:rPr>
        <w:t>= 28,</w:t>
      </w:r>
      <w:r>
        <w:rPr>
          <w:rFonts w:ascii="Times New Roman" w:cs="Times New Roman" w:eastAsia="Times New Roman" w:hAnsi="Times New Roman"/>
          <w:sz w:val="21"/>
          <w:szCs w:val="21"/>
          <w:i w:val="1"/>
          <w:iCs w:val="1"/>
          <w:color w:val="auto"/>
        </w:rPr>
        <w:t xml:space="preserve"> p </w:t>
      </w:r>
      <w:r>
        <w:rPr>
          <w:rFonts w:ascii="Times New Roman" w:cs="Times New Roman" w:eastAsia="Times New Roman" w:hAnsi="Times New Roman"/>
          <w:sz w:val="21"/>
          <w:szCs w:val="21"/>
          <w:color w:val="auto"/>
        </w:rPr>
        <w:t>= 0).</w:t>
      </w:r>
    </w:p>
    <w:p>
      <w:pPr>
        <w:spacing w:after="0" w:line="241" w:lineRule="exact"/>
        <w:rPr>
          <w:sz w:val="20"/>
          <w:szCs w:val="20"/>
          <w:color w:val="auto"/>
        </w:rPr>
      </w:pPr>
    </w:p>
    <w:p>
      <w:pPr>
        <w:ind w:left="3280"/>
        <w:spacing w:after="0"/>
        <w:rPr>
          <w:sz w:val="20"/>
          <w:szCs w:val="20"/>
          <w:color w:val="auto"/>
        </w:rPr>
      </w:pPr>
      <w:r>
        <w:rPr>
          <w:rFonts w:ascii="Times New Roman" w:cs="Times New Roman" w:eastAsia="Times New Roman" w:hAnsi="Times New Roman"/>
          <w:sz w:val="18"/>
          <w:szCs w:val="18"/>
          <w:i w:val="1"/>
          <w:iCs w:val="1"/>
          <w:color w:val="auto"/>
        </w:rPr>
        <w:t>Cuadro 2</w:t>
      </w:r>
    </w:p>
    <w:p>
      <w:pPr>
        <w:spacing w:after="0" w:line="33" w:lineRule="exact"/>
        <w:rPr>
          <w:sz w:val="20"/>
          <w:szCs w:val="20"/>
          <w:color w:val="auto"/>
        </w:rPr>
      </w:pPr>
    </w:p>
    <w:p>
      <w:pPr>
        <w:ind w:left="2240"/>
        <w:spacing w:after="0"/>
        <w:rPr>
          <w:sz w:val="20"/>
          <w:szCs w:val="20"/>
          <w:color w:val="auto"/>
        </w:rPr>
      </w:pPr>
      <w:r>
        <w:rPr>
          <w:rFonts w:ascii="Times New Roman" w:cs="Times New Roman" w:eastAsia="Times New Roman" w:hAnsi="Times New Roman"/>
          <w:sz w:val="18"/>
          <w:szCs w:val="18"/>
          <w:color w:val="auto"/>
        </w:rPr>
        <w:t>Valores obtenidos del acp y del avc</w:t>
      </w:r>
    </w:p>
    <w:p>
      <w:pPr>
        <w:spacing w:after="0" w:line="188" w:lineRule="exact"/>
        <w:rPr>
          <w:sz w:val="20"/>
          <w:szCs w:val="20"/>
          <w:color w:val="auto"/>
        </w:rPr>
      </w:pPr>
    </w:p>
    <w:tbl>
      <w:tblPr>
        <w:tblLayout w:type="fixed"/>
        <w:tblInd w:w="10" w:type="dxa"/>
        <w:tblCellMar>
          <w:top w:w="0" w:type="dxa"/>
          <w:left w:w="0" w:type="dxa"/>
          <w:bottom w:w="0" w:type="dxa"/>
          <w:right w:w="0" w:type="dxa"/>
        </w:tblCellMar>
      </w:tblPr>
      <w:tr>
        <w:trPr>
          <w:trHeight w:val="278"/>
        </w:trPr>
        <w:tc>
          <w:tcPr>
            <w:tcW w:w="1440" w:type="dxa"/>
            <w:vAlign w:val="bottom"/>
            <w:tcBorders>
              <w:top w:val="single" w:sz="8" w:color="auto"/>
              <w:left w:val="single" w:sz="8" w:color="auto"/>
            </w:tcBorders>
          </w:tcPr>
          <w:p>
            <w:pPr>
              <w:spacing w:after="0"/>
              <w:rPr>
                <w:sz w:val="24"/>
                <w:szCs w:val="24"/>
                <w:color w:val="auto"/>
              </w:rPr>
            </w:pPr>
          </w:p>
        </w:tc>
        <w:tc>
          <w:tcPr>
            <w:tcW w:w="640" w:type="dxa"/>
            <w:vAlign w:val="bottom"/>
            <w:tcBorders>
              <w:top w:val="single" w:sz="8" w:color="auto"/>
            </w:tcBorders>
          </w:tcPr>
          <w:p>
            <w:pPr>
              <w:spacing w:after="0"/>
              <w:rPr>
                <w:sz w:val="24"/>
                <w:szCs w:val="24"/>
                <w:color w:val="auto"/>
              </w:rPr>
            </w:pPr>
          </w:p>
        </w:tc>
        <w:tc>
          <w:tcPr>
            <w:tcW w:w="1260" w:type="dxa"/>
            <w:vAlign w:val="bottom"/>
            <w:tcBorders>
              <w:top w:val="single" w:sz="8" w:color="auto"/>
            </w:tcBorders>
            <w:gridSpan w:val="2"/>
          </w:tcPr>
          <w:p>
            <w:pPr>
              <w:ind w:left="20"/>
              <w:spacing w:after="0"/>
              <w:rPr>
                <w:sz w:val="20"/>
                <w:szCs w:val="20"/>
                <w:color w:val="auto"/>
              </w:rPr>
            </w:pPr>
            <w:r>
              <w:rPr>
                <w:rFonts w:ascii="Times New Roman" w:cs="Times New Roman" w:eastAsia="Times New Roman" w:hAnsi="Times New Roman"/>
                <w:sz w:val="11"/>
                <w:szCs w:val="11"/>
                <w:i w:val="1"/>
                <w:iCs w:val="1"/>
                <w:color w:val="auto"/>
              </w:rPr>
              <w:t>acp</w:t>
            </w:r>
          </w:p>
        </w:tc>
        <w:tc>
          <w:tcPr>
            <w:tcW w:w="1080" w:type="dxa"/>
            <w:vAlign w:val="bottom"/>
            <w:tcBorders>
              <w:top w:val="single" w:sz="8" w:color="auto"/>
              <w:right w:val="single" w:sz="8" w:color="auto"/>
            </w:tcBorders>
          </w:tcPr>
          <w:p>
            <w:pPr>
              <w:spacing w:after="0"/>
              <w:rPr>
                <w:sz w:val="24"/>
                <w:szCs w:val="24"/>
                <w:color w:val="auto"/>
              </w:rPr>
            </w:pPr>
          </w:p>
        </w:tc>
        <w:tc>
          <w:tcPr>
            <w:tcW w:w="940" w:type="dxa"/>
            <w:vAlign w:val="bottom"/>
            <w:tcBorders>
              <w:top w:val="single" w:sz="8" w:color="auto"/>
            </w:tcBorders>
          </w:tcPr>
          <w:p>
            <w:pPr>
              <w:spacing w:after="0"/>
              <w:rPr>
                <w:sz w:val="24"/>
                <w:szCs w:val="24"/>
                <w:color w:val="auto"/>
              </w:rPr>
            </w:pPr>
          </w:p>
        </w:tc>
        <w:tc>
          <w:tcPr>
            <w:tcW w:w="940" w:type="dxa"/>
            <w:vAlign w:val="bottom"/>
            <w:tcBorders>
              <w:top w:val="single" w:sz="8" w:color="auto"/>
            </w:tcBorders>
          </w:tcPr>
          <w:p>
            <w:pPr>
              <w:jc w:val="center"/>
              <w:spacing w:after="0"/>
              <w:rPr>
                <w:sz w:val="20"/>
                <w:szCs w:val="20"/>
                <w:color w:val="auto"/>
              </w:rPr>
            </w:pPr>
            <w:r>
              <w:rPr>
                <w:rFonts w:ascii="Times New Roman" w:cs="Times New Roman" w:eastAsia="Times New Roman" w:hAnsi="Times New Roman"/>
                <w:sz w:val="11"/>
                <w:szCs w:val="11"/>
                <w:i w:val="1"/>
                <w:iCs w:val="1"/>
                <w:color w:val="auto"/>
              </w:rPr>
              <w:t>avc</w:t>
            </w:r>
          </w:p>
        </w:tc>
        <w:tc>
          <w:tcPr>
            <w:tcW w:w="900" w:type="dxa"/>
            <w:vAlign w:val="bottom"/>
            <w:tcBorders>
              <w:top w:val="single" w:sz="8" w:color="auto"/>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80"/>
        </w:trPr>
        <w:tc>
          <w:tcPr>
            <w:tcW w:w="1440" w:type="dxa"/>
            <w:vAlign w:val="bottom"/>
            <w:tcBorders>
              <w:left w:val="single" w:sz="8" w:color="auto"/>
              <w:bottom w:val="single" w:sz="8" w:color="auto"/>
            </w:tcBorders>
          </w:tcPr>
          <w:p>
            <w:pPr>
              <w:spacing w:after="0"/>
              <w:rPr>
                <w:sz w:val="6"/>
                <w:szCs w:val="6"/>
                <w:color w:val="auto"/>
              </w:rPr>
            </w:pPr>
          </w:p>
        </w:tc>
        <w:tc>
          <w:tcPr>
            <w:tcW w:w="980" w:type="dxa"/>
            <w:vAlign w:val="bottom"/>
            <w:tcBorders>
              <w:bottom w:val="single" w:sz="8" w:color="auto"/>
            </w:tcBorders>
            <w:gridSpan w:val="2"/>
          </w:tcPr>
          <w:p>
            <w:pPr>
              <w:spacing w:after="0"/>
              <w:rPr>
                <w:sz w:val="6"/>
                <w:szCs w:val="6"/>
                <w:color w:val="auto"/>
              </w:rPr>
            </w:pPr>
          </w:p>
        </w:tc>
        <w:tc>
          <w:tcPr>
            <w:tcW w:w="920" w:type="dxa"/>
            <w:vAlign w:val="bottom"/>
            <w:tcBorders>
              <w:bottom w:val="single" w:sz="8" w:color="auto"/>
            </w:tcBorders>
          </w:tcPr>
          <w:p>
            <w:pPr>
              <w:spacing w:after="0"/>
              <w:rPr>
                <w:sz w:val="6"/>
                <w:szCs w:val="6"/>
                <w:color w:val="auto"/>
              </w:rPr>
            </w:pPr>
          </w:p>
        </w:tc>
        <w:tc>
          <w:tcPr>
            <w:tcW w:w="1080" w:type="dxa"/>
            <w:vAlign w:val="bottom"/>
            <w:tcBorders>
              <w:bottom w:val="single" w:sz="8" w:color="auto"/>
              <w:right w:val="single" w:sz="8" w:color="auto"/>
            </w:tcBorders>
          </w:tcPr>
          <w:p>
            <w:pPr>
              <w:spacing w:after="0"/>
              <w:rPr>
                <w:sz w:val="6"/>
                <w:szCs w:val="6"/>
                <w:color w:val="auto"/>
              </w:rPr>
            </w:pPr>
          </w:p>
        </w:tc>
        <w:tc>
          <w:tcPr>
            <w:tcW w:w="940" w:type="dxa"/>
            <w:vAlign w:val="bottom"/>
            <w:tcBorders>
              <w:bottom w:val="single" w:sz="8" w:color="auto"/>
            </w:tcBorders>
          </w:tcPr>
          <w:p>
            <w:pPr>
              <w:spacing w:after="0"/>
              <w:rPr>
                <w:sz w:val="6"/>
                <w:szCs w:val="6"/>
                <w:color w:val="auto"/>
              </w:rPr>
            </w:pPr>
          </w:p>
        </w:tc>
        <w:tc>
          <w:tcPr>
            <w:tcW w:w="940" w:type="dxa"/>
            <w:vAlign w:val="bottom"/>
            <w:tcBorders>
              <w:bottom w:val="single" w:sz="8" w:color="auto"/>
            </w:tcBorders>
          </w:tcPr>
          <w:p>
            <w:pPr>
              <w:spacing w:after="0"/>
              <w:rPr>
                <w:sz w:val="6"/>
                <w:szCs w:val="6"/>
                <w:color w:val="auto"/>
              </w:rPr>
            </w:pPr>
          </w:p>
        </w:tc>
        <w:tc>
          <w:tcPr>
            <w:tcW w:w="900" w:type="dxa"/>
            <w:vAlign w:val="bottom"/>
            <w:tcBorders>
              <w:bottom w:val="single" w:sz="8" w:color="auto"/>
              <w:right w:val="single" w:sz="8" w:color="auto"/>
            </w:tcBorders>
          </w:tcPr>
          <w:p>
            <w:pPr>
              <w:spacing w:after="0"/>
              <w:rPr>
                <w:sz w:val="6"/>
                <w:szCs w:val="6"/>
                <w:color w:val="auto"/>
              </w:rPr>
            </w:pPr>
          </w:p>
        </w:tc>
        <w:tc>
          <w:tcPr>
            <w:tcW w:w="0" w:type="dxa"/>
            <w:vAlign w:val="bottom"/>
          </w:tcPr>
          <w:p>
            <w:pPr>
              <w:spacing w:after="0"/>
              <w:rPr>
                <w:sz w:val="1"/>
                <w:szCs w:val="1"/>
                <w:color w:val="auto"/>
              </w:rPr>
            </w:pPr>
          </w:p>
        </w:tc>
      </w:tr>
      <w:tr>
        <w:trPr>
          <w:trHeight w:val="268"/>
        </w:trPr>
        <w:tc>
          <w:tcPr>
            <w:tcW w:w="1440" w:type="dxa"/>
            <w:vAlign w:val="bottom"/>
            <w:tcBorders>
              <w:left w:val="single" w:sz="8" w:color="auto"/>
              <w:right w:val="single" w:sz="8" w:color="auto"/>
            </w:tcBorders>
            <w:vMerge w:val="restart"/>
          </w:tcPr>
          <w:p>
            <w:pPr>
              <w:ind w:left="560"/>
              <w:spacing w:after="0"/>
              <w:rPr>
                <w:sz w:val="20"/>
                <w:szCs w:val="20"/>
                <w:color w:val="auto"/>
              </w:rPr>
            </w:pPr>
            <w:r>
              <w:rPr>
                <w:rFonts w:ascii="Times New Roman" w:cs="Times New Roman" w:eastAsia="Times New Roman" w:hAnsi="Times New Roman"/>
                <w:sz w:val="16"/>
                <w:szCs w:val="16"/>
                <w:i w:val="1"/>
                <w:iCs w:val="1"/>
                <w:color w:val="auto"/>
              </w:rPr>
              <w:t>Vista</w:t>
            </w:r>
          </w:p>
        </w:tc>
        <w:tc>
          <w:tcPr>
            <w:tcW w:w="1900" w:type="dxa"/>
            <w:vAlign w:val="bottom"/>
            <w:tcBorders>
              <w:right w:val="single" w:sz="8" w:color="auto"/>
            </w:tcBorders>
            <w:gridSpan w:val="3"/>
          </w:tcPr>
          <w:p>
            <w:pPr>
              <w:ind w:left="220"/>
              <w:spacing w:after="0"/>
              <w:rPr>
                <w:sz w:val="20"/>
                <w:szCs w:val="20"/>
                <w:color w:val="auto"/>
              </w:rPr>
            </w:pPr>
            <w:r>
              <w:rPr>
                <w:rFonts w:ascii="Times New Roman" w:cs="Times New Roman" w:eastAsia="Times New Roman" w:hAnsi="Times New Roman"/>
                <w:sz w:val="16"/>
                <w:szCs w:val="16"/>
                <w:i w:val="1"/>
                <w:iCs w:val="1"/>
                <w:color w:val="auto"/>
              </w:rPr>
              <w:t>Varianza explicada (%)</w:t>
            </w:r>
          </w:p>
        </w:tc>
        <w:tc>
          <w:tcPr>
            <w:tcW w:w="1080" w:type="dxa"/>
            <w:vAlign w:val="bottom"/>
            <w:tcBorders>
              <w:right w:val="single" w:sz="8" w:color="auto"/>
            </w:tcBorders>
            <w:vMerge w:val="restart"/>
          </w:tcPr>
          <w:p>
            <w:pPr>
              <w:jc w:val="right"/>
              <w:ind w:right="200"/>
              <w:spacing w:after="0"/>
              <w:rPr>
                <w:sz w:val="20"/>
                <w:szCs w:val="20"/>
                <w:color w:val="auto"/>
              </w:rPr>
            </w:pPr>
            <w:r>
              <w:rPr>
                <w:rFonts w:ascii="Times New Roman" w:cs="Times New Roman" w:eastAsia="Times New Roman" w:hAnsi="Times New Roman"/>
                <w:sz w:val="16"/>
                <w:szCs w:val="16"/>
                <w:i w:val="1"/>
                <w:iCs w:val="1"/>
                <w:color w:val="auto"/>
              </w:rPr>
              <w:t>Varianza</w:t>
            </w:r>
          </w:p>
        </w:tc>
        <w:tc>
          <w:tcPr>
            <w:tcW w:w="940" w:type="dxa"/>
            <w:vAlign w:val="bottom"/>
            <w:tcBorders>
              <w:right w:val="single" w:sz="8" w:color="auto"/>
            </w:tcBorders>
            <w:vMerge w:val="restart"/>
          </w:tcPr>
          <w:p>
            <w:pPr>
              <w:jc w:val="center"/>
              <w:spacing w:after="0"/>
              <w:rPr>
                <w:sz w:val="20"/>
                <w:szCs w:val="20"/>
                <w:color w:val="auto"/>
              </w:rPr>
            </w:pPr>
            <w:r>
              <w:rPr>
                <w:rFonts w:ascii="Times New Roman" w:cs="Times New Roman" w:eastAsia="Times New Roman" w:hAnsi="Times New Roman"/>
                <w:sz w:val="16"/>
                <w:szCs w:val="16"/>
                <w:i w:val="1"/>
                <w:iCs w:val="1"/>
                <w:color w:val="auto"/>
                <w:w w:val="95"/>
              </w:rPr>
              <w:t>Lambda</w:t>
            </w:r>
          </w:p>
        </w:tc>
        <w:tc>
          <w:tcPr>
            <w:tcW w:w="940" w:type="dxa"/>
            <w:vAlign w:val="bottom"/>
            <w:tcBorders>
              <w:right w:val="single" w:sz="8" w:color="auto"/>
            </w:tcBorders>
            <w:vMerge w:val="restart"/>
          </w:tcPr>
          <w:p>
            <w:pPr>
              <w:jc w:val="center"/>
              <w:spacing w:after="0"/>
              <w:rPr>
                <w:sz w:val="20"/>
                <w:szCs w:val="20"/>
                <w:color w:val="auto"/>
              </w:rPr>
            </w:pPr>
            <w:r>
              <w:rPr>
                <w:rFonts w:ascii="Times New Roman" w:cs="Times New Roman" w:eastAsia="Times New Roman" w:hAnsi="Times New Roman"/>
                <w:sz w:val="16"/>
                <w:szCs w:val="16"/>
                <w:i w:val="1"/>
                <w:iCs w:val="1"/>
                <w:color w:val="auto"/>
                <w:w w:val="87"/>
              </w:rPr>
              <w:t>Grados</w:t>
            </w:r>
          </w:p>
        </w:tc>
        <w:tc>
          <w:tcPr>
            <w:tcW w:w="900" w:type="dxa"/>
            <w:vAlign w:val="bottom"/>
            <w:tcBorders>
              <w:right w:val="single" w:sz="8" w:color="auto"/>
            </w:tcBorders>
            <w:vMerge w:val="restart"/>
          </w:tcPr>
          <w:p>
            <w:pPr>
              <w:ind w:left="380"/>
              <w:spacing w:after="0"/>
              <w:rPr>
                <w:sz w:val="20"/>
                <w:szCs w:val="20"/>
                <w:color w:val="auto"/>
              </w:rPr>
            </w:pPr>
            <w:r>
              <w:rPr>
                <w:rFonts w:ascii="Times New Roman" w:cs="Times New Roman" w:eastAsia="Times New Roman" w:hAnsi="Times New Roman"/>
                <w:sz w:val="16"/>
                <w:szCs w:val="16"/>
                <w:i w:val="1"/>
                <w:iCs w:val="1"/>
                <w:color w:val="auto"/>
              </w:rPr>
              <w:t>P</w:t>
            </w:r>
          </w:p>
        </w:tc>
        <w:tc>
          <w:tcPr>
            <w:tcW w:w="0" w:type="dxa"/>
            <w:vAlign w:val="bottom"/>
          </w:tcPr>
          <w:p>
            <w:pPr>
              <w:spacing w:after="0"/>
              <w:rPr>
                <w:sz w:val="1"/>
                <w:szCs w:val="1"/>
                <w:color w:val="auto"/>
              </w:rPr>
            </w:pPr>
          </w:p>
        </w:tc>
      </w:tr>
      <w:tr>
        <w:trPr>
          <w:trHeight w:val="54"/>
        </w:trPr>
        <w:tc>
          <w:tcPr>
            <w:tcW w:w="1440" w:type="dxa"/>
            <w:vAlign w:val="bottom"/>
            <w:tcBorders>
              <w:left w:val="single" w:sz="8" w:color="auto"/>
              <w:right w:val="single" w:sz="8" w:color="auto"/>
            </w:tcBorders>
            <w:vMerge w:val="continue"/>
          </w:tcPr>
          <w:p>
            <w:pPr>
              <w:spacing w:after="0"/>
              <w:rPr>
                <w:sz w:val="4"/>
                <w:szCs w:val="4"/>
                <w:color w:val="auto"/>
              </w:rPr>
            </w:pPr>
          </w:p>
        </w:tc>
        <w:tc>
          <w:tcPr>
            <w:tcW w:w="640" w:type="dxa"/>
            <w:vAlign w:val="bottom"/>
            <w:tcBorders>
              <w:bottom w:val="single" w:sz="8" w:color="auto"/>
            </w:tcBorders>
          </w:tcPr>
          <w:p>
            <w:pPr>
              <w:spacing w:after="0"/>
              <w:rPr>
                <w:sz w:val="4"/>
                <w:szCs w:val="4"/>
                <w:color w:val="auto"/>
              </w:rPr>
            </w:pPr>
          </w:p>
        </w:tc>
        <w:tc>
          <w:tcPr>
            <w:tcW w:w="340" w:type="dxa"/>
            <w:vAlign w:val="bottom"/>
            <w:tcBorders>
              <w:bottom w:val="single" w:sz="8" w:color="auto"/>
            </w:tcBorders>
          </w:tcPr>
          <w:p>
            <w:pPr>
              <w:spacing w:after="0"/>
              <w:rPr>
                <w:sz w:val="4"/>
                <w:szCs w:val="4"/>
                <w:color w:val="auto"/>
              </w:rPr>
            </w:pPr>
          </w:p>
        </w:tc>
        <w:tc>
          <w:tcPr>
            <w:tcW w:w="920" w:type="dxa"/>
            <w:vAlign w:val="bottom"/>
            <w:tcBorders>
              <w:bottom w:val="single" w:sz="8" w:color="auto"/>
              <w:right w:val="single" w:sz="8" w:color="auto"/>
            </w:tcBorders>
          </w:tcPr>
          <w:p>
            <w:pPr>
              <w:spacing w:after="0"/>
              <w:rPr>
                <w:sz w:val="4"/>
                <w:szCs w:val="4"/>
                <w:color w:val="auto"/>
              </w:rPr>
            </w:pPr>
          </w:p>
        </w:tc>
        <w:tc>
          <w:tcPr>
            <w:tcW w:w="1080" w:type="dxa"/>
            <w:vAlign w:val="bottom"/>
            <w:tcBorders>
              <w:right w:val="single" w:sz="8" w:color="auto"/>
            </w:tcBorders>
            <w:vMerge w:val="continue"/>
          </w:tcPr>
          <w:p>
            <w:pPr>
              <w:spacing w:after="0"/>
              <w:rPr>
                <w:sz w:val="4"/>
                <w:szCs w:val="4"/>
                <w:color w:val="auto"/>
              </w:rPr>
            </w:pPr>
          </w:p>
        </w:tc>
        <w:tc>
          <w:tcPr>
            <w:tcW w:w="940" w:type="dxa"/>
            <w:vAlign w:val="bottom"/>
            <w:tcBorders>
              <w:right w:val="single" w:sz="8" w:color="auto"/>
            </w:tcBorders>
            <w:vMerge w:val="continue"/>
          </w:tcPr>
          <w:p>
            <w:pPr>
              <w:spacing w:after="0"/>
              <w:rPr>
                <w:sz w:val="4"/>
                <w:szCs w:val="4"/>
                <w:color w:val="auto"/>
              </w:rPr>
            </w:pPr>
          </w:p>
        </w:tc>
        <w:tc>
          <w:tcPr>
            <w:tcW w:w="940" w:type="dxa"/>
            <w:vAlign w:val="bottom"/>
            <w:tcBorders>
              <w:right w:val="single" w:sz="8" w:color="auto"/>
            </w:tcBorders>
            <w:vMerge w:val="continue"/>
          </w:tcPr>
          <w:p>
            <w:pPr>
              <w:spacing w:after="0"/>
              <w:rPr>
                <w:sz w:val="4"/>
                <w:szCs w:val="4"/>
                <w:color w:val="auto"/>
              </w:rPr>
            </w:pPr>
          </w:p>
        </w:tc>
        <w:tc>
          <w:tcPr>
            <w:tcW w:w="900" w:type="dxa"/>
            <w:vAlign w:val="bottom"/>
            <w:tcBorders>
              <w:right w:val="single" w:sz="8" w:color="auto"/>
            </w:tcBorders>
            <w:vMerge w:val="continue"/>
          </w:tcPr>
          <w:p>
            <w:pPr>
              <w:spacing w:after="0"/>
              <w:rPr>
                <w:sz w:val="4"/>
                <w:szCs w:val="4"/>
                <w:color w:val="auto"/>
              </w:rPr>
            </w:pPr>
          </w:p>
        </w:tc>
        <w:tc>
          <w:tcPr>
            <w:tcW w:w="0" w:type="dxa"/>
            <w:vAlign w:val="bottom"/>
          </w:tcPr>
          <w:p>
            <w:pPr>
              <w:spacing w:after="0"/>
              <w:rPr>
                <w:sz w:val="1"/>
                <w:szCs w:val="1"/>
                <w:color w:val="auto"/>
              </w:rPr>
            </w:pPr>
          </w:p>
        </w:tc>
      </w:tr>
      <w:tr>
        <w:trPr>
          <w:trHeight w:val="104"/>
        </w:trPr>
        <w:tc>
          <w:tcPr>
            <w:tcW w:w="1440" w:type="dxa"/>
            <w:vAlign w:val="bottom"/>
            <w:tcBorders>
              <w:left w:val="single" w:sz="8" w:color="auto"/>
              <w:right w:val="single" w:sz="8" w:color="auto"/>
            </w:tcBorders>
            <w:vMerge w:val="continue"/>
          </w:tcPr>
          <w:p>
            <w:pPr>
              <w:spacing w:after="0"/>
              <w:rPr>
                <w:sz w:val="9"/>
                <w:szCs w:val="9"/>
                <w:color w:val="auto"/>
              </w:rPr>
            </w:pPr>
          </w:p>
        </w:tc>
        <w:tc>
          <w:tcPr>
            <w:tcW w:w="640" w:type="dxa"/>
            <w:vAlign w:val="bottom"/>
            <w:vMerge w:val="restart"/>
          </w:tcPr>
          <w:p>
            <w:pPr>
              <w:jc w:val="center"/>
              <w:ind w:left="220"/>
              <w:spacing w:after="0"/>
              <w:rPr>
                <w:sz w:val="20"/>
                <w:szCs w:val="20"/>
                <w:color w:val="auto"/>
              </w:rPr>
            </w:pPr>
            <w:r>
              <w:rPr>
                <w:rFonts w:ascii="Times New Roman" w:cs="Times New Roman" w:eastAsia="Times New Roman" w:hAnsi="Times New Roman"/>
                <w:sz w:val="16"/>
                <w:szCs w:val="16"/>
                <w:i w:val="1"/>
                <w:iCs w:val="1"/>
                <w:color w:val="auto"/>
                <w:w w:val="91"/>
              </w:rPr>
              <w:t>CP1</w:t>
            </w:r>
          </w:p>
        </w:tc>
        <w:tc>
          <w:tcPr>
            <w:tcW w:w="340" w:type="dxa"/>
            <w:vAlign w:val="bottom"/>
            <w:tcBorders>
              <w:right w:val="single" w:sz="8" w:color="auto"/>
            </w:tcBorders>
          </w:tcPr>
          <w:p>
            <w:pPr>
              <w:spacing w:after="0"/>
              <w:rPr>
                <w:sz w:val="9"/>
                <w:szCs w:val="9"/>
                <w:color w:val="auto"/>
              </w:rPr>
            </w:pPr>
          </w:p>
        </w:tc>
        <w:tc>
          <w:tcPr>
            <w:tcW w:w="920" w:type="dxa"/>
            <w:vAlign w:val="bottom"/>
            <w:tcBorders>
              <w:right w:val="single" w:sz="8" w:color="auto"/>
            </w:tcBorders>
            <w:vMerge w:val="restart"/>
          </w:tcPr>
          <w:p>
            <w:pPr>
              <w:jc w:val="center"/>
              <w:spacing w:after="0"/>
              <w:rPr>
                <w:sz w:val="20"/>
                <w:szCs w:val="20"/>
                <w:color w:val="auto"/>
              </w:rPr>
            </w:pPr>
            <w:r>
              <w:rPr>
                <w:rFonts w:ascii="Times New Roman" w:cs="Times New Roman" w:eastAsia="Times New Roman" w:hAnsi="Times New Roman"/>
                <w:sz w:val="16"/>
                <w:szCs w:val="16"/>
                <w:i w:val="1"/>
                <w:iCs w:val="1"/>
                <w:color w:val="auto"/>
                <w:w w:val="91"/>
              </w:rPr>
              <w:t>CP2</w:t>
            </w:r>
          </w:p>
        </w:tc>
        <w:tc>
          <w:tcPr>
            <w:tcW w:w="1080" w:type="dxa"/>
            <w:vAlign w:val="bottom"/>
            <w:tcBorders>
              <w:right w:val="single" w:sz="8" w:color="auto"/>
            </w:tcBorders>
            <w:vMerge w:val="restart"/>
          </w:tcPr>
          <w:p>
            <w:pPr>
              <w:jc w:val="right"/>
              <w:ind w:right="140"/>
              <w:spacing w:after="0"/>
              <w:rPr>
                <w:sz w:val="20"/>
                <w:szCs w:val="20"/>
                <w:color w:val="auto"/>
              </w:rPr>
            </w:pPr>
            <w:r>
              <w:rPr>
                <w:rFonts w:ascii="Times New Roman" w:cs="Times New Roman" w:eastAsia="Times New Roman" w:hAnsi="Times New Roman"/>
                <w:sz w:val="16"/>
                <w:szCs w:val="16"/>
                <w:i w:val="1"/>
                <w:iCs w:val="1"/>
                <w:color w:val="auto"/>
              </w:rPr>
              <w:t>acumulada</w:t>
            </w:r>
          </w:p>
        </w:tc>
        <w:tc>
          <w:tcPr>
            <w:tcW w:w="940" w:type="dxa"/>
            <w:vAlign w:val="bottom"/>
            <w:tcBorders>
              <w:right w:val="single" w:sz="8" w:color="auto"/>
            </w:tcBorders>
            <w:vMerge w:val="restart"/>
          </w:tcPr>
          <w:p>
            <w:pPr>
              <w:jc w:val="center"/>
              <w:spacing w:after="0"/>
              <w:rPr>
                <w:sz w:val="20"/>
                <w:szCs w:val="20"/>
                <w:color w:val="auto"/>
              </w:rPr>
            </w:pPr>
            <w:r>
              <w:rPr>
                <w:rFonts w:ascii="Times New Roman" w:cs="Times New Roman" w:eastAsia="Times New Roman" w:hAnsi="Times New Roman"/>
                <w:sz w:val="16"/>
                <w:szCs w:val="16"/>
                <w:i w:val="1"/>
                <w:iCs w:val="1"/>
                <w:color w:val="auto"/>
                <w:w w:val="91"/>
              </w:rPr>
              <w:t>de Wilks</w:t>
            </w:r>
          </w:p>
        </w:tc>
        <w:tc>
          <w:tcPr>
            <w:tcW w:w="940" w:type="dxa"/>
            <w:vAlign w:val="bottom"/>
            <w:tcBorders>
              <w:right w:val="single" w:sz="8" w:color="auto"/>
            </w:tcBorders>
            <w:vMerge w:val="restart"/>
          </w:tcPr>
          <w:p>
            <w:pPr>
              <w:jc w:val="center"/>
              <w:spacing w:after="0"/>
              <w:rPr>
                <w:sz w:val="20"/>
                <w:szCs w:val="20"/>
                <w:color w:val="auto"/>
              </w:rPr>
            </w:pPr>
            <w:r>
              <w:rPr>
                <w:rFonts w:ascii="Times New Roman" w:cs="Times New Roman" w:eastAsia="Times New Roman" w:hAnsi="Times New Roman"/>
                <w:sz w:val="16"/>
                <w:szCs w:val="16"/>
                <w:i w:val="1"/>
                <w:iCs w:val="1"/>
                <w:color w:val="auto"/>
                <w:w w:val="88"/>
              </w:rPr>
              <w:t>de libertad</w:t>
            </w:r>
          </w:p>
        </w:tc>
        <w:tc>
          <w:tcPr>
            <w:tcW w:w="900" w:type="dxa"/>
            <w:vAlign w:val="bottom"/>
            <w:tcBorders>
              <w:right w:val="single" w:sz="8" w:color="auto"/>
            </w:tcBorders>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10"/>
        </w:trPr>
        <w:tc>
          <w:tcPr>
            <w:tcW w:w="1440" w:type="dxa"/>
            <w:vAlign w:val="bottom"/>
            <w:tcBorders>
              <w:left w:val="single" w:sz="8" w:color="auto"/>
              <w:right w:val="single" w:sz="8" w:color="auto"/>
            </w:tcBorders>
          </w:tcPr>
          <w:p>
            <w:pPr>
              <w:spacing w:after="0"/>
              <w:rPr>
                <w:sz w:val="9"/>
                <w:szCs w:val="9"/>
                <w:color w:val="auto"/>
              </w:rPr>
            </w:pPr>
          </w:p>
        </w:tc>
        <w:tc>
          <w:tcPr>
            <w:tcW w:w="640" w:type="dxa"/>
            <w:vAlign w:val="bottom"/>
            <w:vMerge w:val="continue"/>
          </w:tcPr>
          <w:p>
            <w:pPr>
              <w:spacing w:after="0"/>
              <w:rPr>
                <w:sz w:val="9"/>
                <w:szCs w:val="9"/>
                <w:color w:val="auto"/>
              </w:rPr>
            </w:pPr>
          </w:p>
        </w:tc>
        <w:tc>
          <w:tcPr>
            <w:tcW w:w="340" w:type="dxa"/>
            <w:vAlign w:val="bottom"/>
            <w:tcBorders>
              <w:right w:val="single" w:sz="8" w:color="auto"/>
            </w:tcBorders>
          </w:tcPr>
          <w:p>
            <w:pPr>
              <w:spacing w:after="0"/>
              <w:rPr>
                <w:sz w:val="9"/>
                <w:szCs w:val="9"/>
                <w:color w:val="auto"/>
              </w:rPr>
            </w:pPr>
          </w:p>
        </w:tc>
        <w:tc>
          <w:tcPr>
            <w:tcW w:w="920" w:type="dxa"/>
            <w:vAlign w:val="bottom"/>
            <w:tcBorders>
              <w:right w:val="single" w:sz="8" w:color="auto"/>
            </w:tcBorders>
            <w:vMerge w:val="continue"/>
          </w:tcPr>
          <w:p>
            <w:pPr>
              <w:spacing w:after="0"/>
              <w:rPr>
                <w:sz w:val="9"/>
                <w:szCs w:val="9"/>
                <w:color w:val="auto"/>
              </w:rPr>
            </w:pPr>
          </w:p>
        </w:tc>
        <w:tc>
          <w:tcPr>
            <w:tcW w:w="1080" w:type="dxa"/>
            <w:vAlign w:val="bottom"/>
            <w:tcBorders>
              <w:right w:val="single" w:sz="8" w:color="auto"/>
            </w:tcBorders>
            <w:vMerge w:val="continue"/>
          </w:tcPr>
          <w:p>
            <w:pPr>
              <w:spacing w:after="0"/>
              <w:rPr>
                <w:sz w:val="9"/>
                <w:szCs w:val="9"/>
                <w:color w:val="auto"/>
              </w:rPr>
            </w:pPr>
          </w:p>
        </w:tc>
        <w:tc>
          <w:tcPr>
            <w:tcW w:w="940" w:type="dxa"/>
            <w:vAlign w:val="bottom"/>
            <w:tcBorders>
              <w:right w:val="single" w:sz="8" w:color="auto"/>
            </w:tcBorders>
            <w:vMerge w:val="continue"/>
          </w:tcPr>
          <w:p>
            <w:pPr>
              <w:spacing w:after="0"/>
              <w:rPr>
                <w:sz w:val="9"/>
                <w:szCs w:val="9"/>
                <w:color w:val="auto"/>
              </w:rPr>
            </w:pPr>
          </w:p>
        </w:tc>
        <w:tc>
          <w:tcPr>
            <w:tcW w:w="940" w:type="dxa"/>
            <w:vAlign w:val="bottom"/>
            <w:tcBorders>
              <w:right w:val="single" w:sz="8" w:color="auto"/>
            </w:tcBorders>
            <w:vMerge w:val="continue"/>
          </w:tcPr>
          <w:p>
            <w:pPr>
              <w:spacing w:after="0"/>
              <w:rPr>
                <w:sz w:val="9"/>
                <w:szCs w:val="9"/>
                <w:color w:val="auto"/>
              </w:rPr>
            </w:pPr>
          </w:p>
        </w:tc>
        <w:tc>
          <w:tcPr>
            <w:tcW w:w="900" w:type="dxa"/>
            <w:vAlign w:val="bottom"/>
            <w:tcBorders>
              <w:right w:val="single" w:sz="8" w:color="auto"/>
            </w:tcBorders>
          </w:tcPr>
          <w:p>
            <w:pPr>
              <w:spacing w:after="0"/>
              <w:rPr>
                <w:sz w:val="9"/>
                <w:szCs w:val="9"/>
                <w:color w:val="auto"/>
              </w:rPr>
            </w:pPr>
          </w:p>
        </w:tc>
        <w:tc>
          <w:tcPr>
            <w:tcW w:w="0" w:type="dxa"/>
            <w:vAlign w:val="bottom"/>
          </w:tcPr>
          <w:p>
            <w:pPr>
              <w:spacing w:after="0"/>
              <w:rPr>
                <w:sz w:val="1"/>
                <w:szCs w:val="1"/>
                <w:color w:val="auto"/>
              </w:rPr>
            </w:pPr>
          </w:p>
        </w:tc>
      </w:tr>
      <w:tr>
        <w:trPr>
          <w:trHeight w:val="61"/>
        </w:trPr>
        <w:tc>
          <w:tcPr>
            <w:tcW w:w="1440" w:type="dxa"/>
            <w:vAlign w:val="bottom"/>
            <w:tcBorders>
              <w:left w:val="single" w:sz="8" w:color="auto"/>
              <w:right w:val="single" w:sz="8" w:color="auto"/>
            </w:tcBorders>
          </w:tcPr>
          <w:p>
            <w:pPr>
              <w:spacing w:after="0"/>
              <w:rPr>
                <w:sz w:val="5"/>
                <w:szCs w:val="5"/>
                <w:color w:val="auto"/>
              </w:rPr>
            </w:pPr>
          </w:p>
        </w:tc>
        <w:tc>
          <w:tcPr>
            <w:tcW w:w="640" w:type="dxa"/>
            <w:vAlign w:val="bottom"/>
            <w:vMerge w:val="continue"/>
          </w:tcPr>
          <w:p>
            <w:pPr>
              <w:spacing w:after="0"/>
              <w:rPr>
                <w:sz w:val="5"/>
                <w:szCs w:val="5"/>
                <w:color w:val="auto"/>
              </w:rPr>
            </w:pPr>
          </w:p>
        </w:tc>
        <w:tc>
          <w:tcPr>
            <w:tcW w:w="340" w:type="dxa"/>
            <w:vAlign w:val="bottom"/>
            <w:tcBorders>
              <w:right w:val="single" w:sz="8" w:color="auto"/>
            </w:tcBorders>
          </w:tcPr>
          <w:p>
            <w:pPr>
              <w:spacing w:after="0"/>
              <w:rPr>
                <w:sz w:val="5"/>
                <w:szCs w:val="5"/>
                <w:color w:val="auto"/>
              </w:rPr>
            </w:pPr>
          </w:p>
        </w:tc>
        <w:tc>
          <w:tcPr>
            <w:tcW w:w="920" w:type="dxa"/>
            <w:vAlign w:val="bottom"/>
            <w:tcBorders>
              <w:right w:val="single" w:sz="8" w:color="auto"/>
            </w:tcBorders>
            <w:vMerge w:val="continue"/>
          </w:tcPr>
          <w:p>
            <w:pPr>
              <w:spacing w:after="0"/>
              <w:rPr>
                <w:sz w:val="5"/>
                <w:szCs w:val="5"/>
                <w:color w:val="auto"/>
              </w:rPr>
            </w:pPr>
          </w:p>
        </w:tc>
        <w:tc>
          <w:tcPr>
            <w:tcW w:w="1080" w:type="dxa"/>
            <w:vAlign w:val="bottom"/>
            <w:tcBorders>
              <w:right w:val="single" w:sz="8" w:color="auto"/>
            </w:tcBorders>
          </w:tcPr>
          <w:p>
            <w:pPr>
              <w:spacing w:after="0"/>
              <w:rPr>
                <w:sz w:val="5"/>
                <w:szCs w:val="5"/>
                <w:color w:val="auto"/>
              </w:rPr>
            </w:pPr>
          </w:p>
        </w:tc>
        <w:tc>
          <w:tcPr>
            <w:tcW w:w="940" w:type="dxa"/>
            <w:vAlign w:val="bottom"/>
            <w:tcBorders>
              <w:right w:val="single" w:sz="8" w:color="auto"/>
            </w:tcBorders>
          </w:tcPr>
          <w:p>
            <w:pPr>
              <w:spacing w:after="0"/>
              <w:rPr>
                <w:sz w:val="5"/>
                <w:szCs w:val="5"/>
                <w:color w:val="auto"/>
              </w:rPr>
            </w:pPr>
          </w:p>
        </w:tc>
        <w:tc>
          <w:tcPr>
            <w:tcW w:w="940" w:type="dxa"/>
            <w:vAlign w:val="bottom"/>
            <w:tcBorders>
              <w:right w:val="single" w:sz="8" w:color="auto"/>
            </w:tcBorders>
          </w:tcPr>
          <w:p>
            <w:pPr>
              <w:spacing w:after="0"/>
              <w:rPr>
                <w:sz w:val="5"/>
                <w:szCs w:val="5"/>
                <w:color w:val="auto"/>
              </w:rPr>
            </w:pPr>
          </w:p>
        </w:tc>
        <w:tc>
          <w:tcPr>
            <w:tcW w:w="900" w:type="dxa"/>
            <w:vAlign w:val="bottom"/>
            <w:tcBorders>
              <w:right w:val="single" w:sz="8" w:color="auto"/>
            </w:tcBorders>
          </w:tcPr>
          <w:p>
            <w:pPr>
              <w:spacing w:after="0"/>
              <w:rPr>
                <w:sz w:val="5"/>
                <w:szCs w:val="5"/>
                <w:color w:val="auto"/>
              </w:rPr>
            </w:pPr>
          </w:p>
        </w:tc>
        <w:tc>
          <w:tcPr>
            <w:tcW w:w="0" w:type="dxa"/>
            <w:vAlign w:val="bottom"/>
          </w:tcPr>
          <w:p>
            <w:pPr>
              <w:spacing w:after="0"/>
              <w:rPr>
                <w:sz w:val="1"/>
                <w:szCs w:val="1"/>
                <w:color w:val="auto"/>
              </w:rPr>
            </w:pPr>
          </w:p>
        </w:tc>
      </w:tr>
      <w:tr>
        <w:trPr>
          <w:trHeight w:val="62"/>
        </w:trPr>
        <w:tc>
          <w:tcPr>
            <w:tcW w:w="1440" w:type="dxa"/>
            <w:vAlign w:val="bottom"/>
            <w:tcBorders>
              <w:left w:val="single" w:sz="8" w:color="auto"/>
              <w:bottom w:val="single" w:sz="8" w:color="auto"/>
              <w:right w:val="single" w:sz="8" w:color="auto"/>
            </w:tcBorders>
          </w:tcPr>
          <w:p>
            <w:pPr>
              <w:spacing w:after="0"/>
              <w:rPr>
                <w:sz w:val="5"/>
                <w:szCs w:val="5"/>
                <w:color w:val="auto"/>
              </w:rPr>
            </w:pPr>
          </w:p>
        </w:tc>
        <w:tc>
          <w:tcPr>
            <w:tcW w:w="640" w:type="dxa"/>
            <w:vAlign w:val="bottom"/>
            <w:tcBorders>
              <w:bottom w:val="single" w:sz="8" w:color="auto"/>
            </w:tcBorders>
          </w:tcPr>
          <w:p>
            <w:pPr>
              <w:spacing w:after="0"/>
              <w:rPr>
                <w:sz w:val="5"/>
                <w:szCs w:val="5"/>
                <w:color w:val="auto"/>
              </w:rPr>
            </w:pPr>
          </w:p>
        </w:tc>
        <w:tc>
          <w:tcPr>
            <w:tcW w:w="340" w:type="dxa"/>
            <w:vAlign w:val="bottom"/>
            <w:tcBorders>
              <w:bottom w:val="single" w:sz="8" w:color="auto"/>
              <w:right w:val="single" w:sz="8" w:color="auto"/>
            </w:tcBorders>
          </w:tcPr>
          <w:p>
            <w:pPr>
              <w:spacing w:after="0"/>
              <w:rPr>
                <w:sz w:val="5"/>
                <w:szCs w:val="5"/>
                <w:color w:val="auto"/>
              </w:rPr>
            </w:pPr>
          </w:p>
        </w:tc>
        <w:tc>
          <w:tcPr>
            <w:tcW w:w="920" w:type="dxa"/>
            <w:vAlign w:val="bottom"/>
            <w:tcBorders>
              <w:bottom w:val="single" w:sz="8" w:color="auto"/>
              <w:right w:val="single" w:sz="8" w:color="auto"/>
            </w:tcBorders>
          </w:tcPr>
          <w:p>
            <w:pPr>
              <w:spacing w:after="0"/>
              <w:rPr>
                <w:sz w:val="5"/>
                <w:szCs w:val="5"/>
                <w:color w:val="auto"/>
              </w:rPr>
            </w:pPr>
          </w:p>
        </w:tc>
        <w:tc>
          <w:tcPr>
            <w:tcW w:w="1080" w:type="dxa"/>
            <w:vAlign w:val="bottom"/>
            <w:tcBorders>
              <w:bottom w:val="single" w:sz="8" w:color="auto"/>
              <w:right w:val="single" w:sz="8" w:color="auto"/>
            </w:tcBorders>
          </w:tcPr>
          <w:p>
            <w:pPr>
              <w:spacing w:after="0"/>
              <w:rPr>
                <w:sz w:val="5"/>
                <w:szCs w:val="5"/>
                <w:color w:val="auto"/>
              </w:rPr>
            </w:pPr>
          </w:p>
        </w:tc>
        <w:tc>
          <w:tcPr>
            <w:tcW w:w="940" w:type="dxa"/>
            <w:vAlign w:val="bottom"/>
            <w:tcBorders>
              <w:bottom w:val="single" w:sz="8" w:color="auto"/>
              <w:right w:val="single" w:sz="8" w:color="auto"/>
            </w:tcBorders>
          </w:tcPr>
          <w:p>
            <w:pPr>
              <w:spacing w:after="0"/>
              <w:rPr>
                <w:sz w:val="5"/>
                <w:szCs w:val="5"/>
                <w:color w:val="auto"/>
              </w:rPr>
            </w:pPr>
          </w:p>
        </w:tc>
        <w:tc>
          <w:tcPr>
            <w:tcW w:w="940" w:type="dxa"/>
            <w:vAlign w:val="bottom"/>
            <w:tcBorders>
              <w:bottom w:val="single" w:sz="8" w:color="auto"/>
              <w:right w:val="single" w:sz="8" w:color="auto"/>
            </w:tcBorders>
          </w:tcPr>
          <w:p>
            <w:pPr>
              <w:spacing w:after="0"/>
              <w:rPr>
                <w:sz w:val="5"/>
                <w:szCs w:val="5"/>
                <w:color w:val="auto"/>
              </w:rPr>
            </w:pPr>
          </w:p>
        </w:tc>
        <w:tc>
          <w:tcPr>
            <w:tcW w:w="900" w:type="dxa"/>
            <w:vAlign w:val="bottom"/>
            <w:tcBorders>
              <w:bottom w:val="single" w:sz="8" w:color="auto"/>
              <w:right w:val="single" w:sz="8" w:color="auto"/>
            </w:tcBorders>
          </w:tcPr>
          <w:p>
            <w:pPr>
              <w:spacing w:after="0"/>
              <w:rPr>
                <w:sz w:val="5"/>
                <w:szCs w:val="5"/>
                <w:color w:val="auto"/>
              </w:rPr>
            </w:pPr>
          </w:p>
        </w:tc>
        <w:tc>
          <w:tcPr>
            <w:tcW w:w="0" w:type="dxa"/>
            <w:vAlign w:val="bottom"/>
          </w:tcPr>
          <w:p>
            <w:pPr>
              <w:spacing w:after="0"/>
              <w:rPr>
                <w:sz w:val="1"/>
                <w:szCs w:val="1"/>
                <w:color w:val="auto"/>
              </w:rPr>
            </w:pPr>
          </w:p>
        </w:tc>
      </w:tr>
      <w:tr>
        <w:trPr>
          <w:trHeight w:val="270"/>
        </w:trPr>
        <w:tc>
          <w:tcPr>
            <w:tcW w:w="1440" w:type="dxa"/>
            <w:vAlign w:val="bottom"/>
            <w:tcBorders>
              <w:left w:val="single" w:sz="8" w:color="auto"/>
              <w:right w:val="single" w:sz="8" w:color="auto"/>
            </w:tcBorders>
          </w:tcPr>
          <w:p>
            <w:pPr>
              <w:ind w:left="120"/>
              <w:spacing w:after="0"/>
              <w:rPr>
                <w:sz w:val="20"/>
                <w:szCs w:val="20"/>
                <w:color w:val="auto"/>
              </w:rPr>
            </w:pPr>
            <w:r>
              <w:rPr>
                <w:rFonts w:ascii="Times New Roman" w:cs="Times New Roman" w:eastAsia="Times New Roman" w:hAnsi="Times New Roman"/>
                <w:sz w:val="16"/>
                <w:szCs w:val="16"/>
                <w:color w:val="auto"/>
              </w:rPr>
              <w:t>Dorsal</w:t>
            </w:r>
          </w:p>
        </w:tc>
        <w:tc>
          <w:tcPr>
            <w:tcW w:w="640" w:type="dxa"/>
            <w:vAlign w:val="bottom"/>
          </w:tcPr>
          <w:p>
            <w:pPr>
              <w:jc w:val="center"/>
              <w:ind w:left="200"/>
              <w:spacing w:after="0"/>
              <w:rPr>
                <w:sz w:val="20"/>
                <w:szCs w:val="20"/>
                <w:color w:val="auto"/>
              </w:rPr>
            </w:pPr>
            <w:r>
              <w:rPr>
                <w:rFonts w:ascii="Times New Roman" w:cs="Times New Roman" w:eastAsia="Times New Roman" w:hAnsi="Times New Roman"/>
                <w:sz w:val="16"/>
                <w:szCs w:val="16"/>
                <w:color w:val="auto"/>
                <w:w w:val="99"/>
              </w:rPr>
              <w:t>67</w:t>
            </w:r>
          </w:p>
        </w:tc>
        <w:tc>
          <w:tcPr>
            <w:tcW w:w="340" w:type="dxa"/>
            <w:vAlign w:val="bottom"/>
            <w:tcBorders>
              <w:right w:val="single" w:sz="8" w:color="auto"/>
            </w:tcBorders>
          </w:tcPr>
          <w:p>
            <w:pPr>
              <w:spacing w:after="0"/>
              <w:rPr>
                <w:sz w:val="23"/>
                <w:szCs w:val="23"/>
                <w:color w:val="auto"/>
              </w:rPr>
            </w:pPr>
          </w:p>
        </w:tc>
        <w:tc>
          <w:tcPr>
            <w:tcW w:w="92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6</w:t>
            </w:r>
          </w:p>
        </w:tc>
        <w:tc>
          <w:tcPr>
            <w:tcW w:w="1080" w:type="dxa"/>
            <w:vAlign w:val="bottom"/>
            <w:tcBorders>
              <w:right w:val="single" w:sz="8" w:color="auto"/>
            </w:tcBorders>
          </w:tcPr>
          <w:p>
            <w:pPr>
              <w:jc w:val="right"/>
              <w:ind w:right="280"/>
              <w:spacing w:after="0"/>
              <w:rPr>
                <w:sz w:val="20"/>
                <w:szCs w:val="20"/>
                <w:color w:val="auto"/>
              </w:rPr>
            </w:pPr>
            <w:r>
              <w:rPr>
                <w:rFonts w:ascii="Times New Roman" w:cs="Times New Roman" w:eastAsia="Times New Roman" w:hAnsi="Times New Roman"/>
                <w:sz w:val="16"/>
                <w:szCs w:val="16"/>
                <w:color w:val="auto"/>
              </w:rPr>
              <w:t>73 %</w:t>
            </w:r>
          </w:p>
        </w:tc>
        <w:tc>
          <w:tcPr>
            <w:tcW w:w="94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0.223</w:t>
            </w:r>
          </w:p>
        </w:tc>
        <w:tc>
          <w:tcPr>
            <w:tcW w:w="94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48</w:t>
            </w:r>
          </w:p>
        </w:tc>
        <w:tc>
          <w:tcPr>
            <w:tcW w:w="9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0.0004</w:t>
            </w:r>
          </w:p>
        </w:tc>
        <w:tc>
          <w:tcPr>
            <w:tcW w:w="0" w:type="dxa"/>
            <w:vAlign w:val="bottom"/>
          </w:tcPr>
          <w:p>
            <w:pPr>
              <w:spacing w:after="0"/>
              <w:rPr>
                <w:sz w:val="1"/>
                <w:szCs w:val="1"/>
                <w:color w:val="auto"/>
              </w:rPr>
            </w:pPr>
          </w:p>
        </w:tc>
      </w:tr>
      <w:tr>
        <w:trPr>
          <w:trHeight w:val="52"/>
        </w:trPr>
        <w:tc>
          <w:tcPr>
            <w:tcW w:w="1440" w:type="dxa"/>
            <w:vAlign w:val="bottom"/>
            <w:tcBorders>
              <w:left w:val="single" w:sz="8" w:color="auto"/>
              <w:bottom w:val="single" w:sz="8" w:color="auto"/>
              <w:right w:val="single" w:sz="8" w:color="auto"/>
            </w:tcBorders>
          </w:tcPr>
          <w:p>
            <w:pPr>
              <w:spacing w:after="0"/>
              <w:rPr>
                <w:sz w:val="4"/>
                <w:szCs w:val="4"/>
                <w:color w:val="auto"/>
              </w:rPr>
            </w:pPr>
          </w:p>
        </w:tc>
        <w:tc>
          <w:tcPr>
            <w:tcW w:w="640" w:type="dxa"/>
            <w:vAlign w:val="bottom"/>
            <w:tcBorders>
              <w:bottom w:val="single" w:sz="8" w:color="auto"/>
            </w:tcBorders>
          </w:tcPr>
          <w:p>
            <w:pPr>
              <w:spacing w:after="0"/>
              <w:rPr>
                <w:sz w:val="4"/>
                <w:szCs w:val="4"/>
                <w:color w:val="auto"/>
              </w:rPr>
            </w:pPr>
          </w:p>
        </w:tc>
        <w:tc>
          <w:tcPr>
            <w:tcW w:w="340" w:type="dxa"/>
            <w:vAlign w:val="bottom"/>
            <w:tcBorders>
              <w:bottom w:val="single" w:sz="8" w:color="auto"/>
              <w:right w:val="single" w:sz="8" w:color="auto"/>
            </w:tcBorders>
          </w:tcPr>
          <w:p>
            <w:pPr>
              <w:spacing w:after="0"/>
              <w:rPr>
                <w:sz w:val="4"/>
                <w:szCs w:val="4"/>
                <w:color w:val="auto"/>
              </w:rPr>
            </w:pPr>
          </w:p>
        </w:tc>
        <w:tc>
          <w:tcPr>
            <w:tcW w:w="920" w:type="dxa"/>
            <w:vAlign w:val="bottom"/>
            <w:tcBorders>
              <w:bottom w:val="single" w:sz="8" w:color="auto"/>
              <w:right w:val="single" w:sz="8" w:color="auto"/>
            </w:tcBorders>
          </w:tcPr>
          <w:p>
            <w:pPr>
              <w:spacing w:after="0"/>
              <w:rPr>
                <w:sz w:val="4"/>
                <w:szCs w:val="4"/>
                <w:color w:val="auto"/>
              </w:rPr>
            </w:pPr>
          </w:p>
        </w:tc>
        <w:tc>
          <w:tcPr>
            <w:tcW w:w="1080" w:type="dxa"/>
            <w:vAlign w:val="bottom"/>
            <w:tcBorders>
              <w:bottom w:val="single" w:sz="8" w:color="auto"/>
              <w:right w:val="single" w:sz="8" w:color="auto"/>
            </w:tcBorders>
          </w:tcPr>
          <w:p>
            <w:pPr>
              <w:spacing w:after="0"/>
              <w:rPr>
                <w:sz w:val="4"/>
                <w:szCs w:val="4"/>
                <w:color w:val="auto"/>
              </w:rPr>
            </w:pPr>
          </w:p>
        </w:tc>
        <w:tc>
          <w:tcPr>
            <w:tcW w:w="940" w:type="dxa"/>
            <w:vAlign w:val="bottom"/>
            <w:tcBorders>
              <w:bottom w:val="single" w:sz="8" w:color="auto"/>
              <w:right w:val="single" w:sz="8" w:color="auto"/>
            </w:tcBorders>
          </w:tcPr>
          <w:p>
            <w:pPr>
              <w:spacing w:after="0"/>
              <w:rPr>
                <w:sz w:val="4"/>
                <w:szCs w:val="4"/>
                <w:color w:val="auto"/>
              </w:rPr>
            </w:pPr>
          </w:p>
        </w:tc>
        <w:tc>
          <w:tcPr>
            <w:tcW w:w="940" w:type="dxa"/>
            <w:vAlign w:val="bottom"/>
            <w:tcBorders>
              <w:bottom w:val="single" w:sz="8" w:color="auto"/>
              <w:right w:val="single" w:sz="8" w:color="auto"/>
            </w:tcBorders>
          </w:tcPr>
          <w:p>
            <w:pPr>
              <w:spacing w:after="0"/>
              <w:rPr>
                <w:sz w:val="4"/>
                <w:szCs w:val="4"/>
                <w:color w:val="auto"/>
              </w:rPr>
            </w:pPr>
          </w:p>
        </w:tc>
        <w:tc>
          <w:tcPr>
            <w:tcW w:w="90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70"/>
        </w:trPr>
        <w:tc>
          <w:tcPr>
            <w:tcW w:w="1440" w:type="dxa"/>
            <w:vAlign w:val="bottom"/>
            <w:tcBorders>
              <w:left w:val="single" w:sz="8" w:color="auto"/>
              <w:right w:val="single" w:sz="8" w:color="auto"/>
            </w:tcBorders>
          </w:tcPr>
          <w:p>
            <w:pPr>
              <w:ind w:left="120"/>
              <w:spacing w:after="0"/>
              <w:rPr>
                <w:sz w:val="20"/>
                <w:szCs w:val="20"/>
                <w:color w:val="auto"/>
              </w:rPr>
            </w:pPr>
            <w:r>
              <w:rPr>
                <w:rFonts w:ascii="Times New Roman" w:cs="Times New Roman" w:eastAsia="Times New Roman" w:hAnsi="Times New Roman"/>
                <w:sz w:val="16"/>
                <w:szCs w:val="16"/>
                <w:color w:val="auto"/>
              </w:rPr>
              <w:t>Ventral</w:t>
            </w:r>
          </w:p>
        </w:tc>
        <w:tc>
          <w:tcPr>
            <w:tcW w:w="640" w:type="dxa"/>
            <w:vAlign w:val="bottom"/>
          </w:tcPr>
          <w:p>
            <w:pPr>
              <w:jc w:val="center"/>
              <w:ind w:left="200"/>
              <w:spacing w:after="0"/>
              <w:rPr>
                <w:sz w:val="20"/>
                <w:szCs w:val="20"/>
                <w:color w:val="auto"/>
              </w:rPr>
            </w:pPr>
            <w:r>
              <w:rPr>
                <w:rFonts w:ascii="Times New Roman" w:cs="Times New Roman" w:eastAsia="Times New Roman" w:hAnsi="Times New Roman"/>
                <w:sz w:val="16"/>
                <w:szCs w:val="16"/>
                <w:color w:val="auto"/>
                <w:w w:val="99"/>
              </w:rPr>
              <w:t>15</w:t>
            </w:r>
          </w:p>
        </w:tc>
        <w:tc>
          <w:tcPr>
            <w:tcW w:w="340" w:type="dxa"/>
            <w:vAlign w:val="bottom"/>
            <w:tcBorders>
              <w:right w:val="single" w:sz="8" w:color="auto"/>
            </w:tcBorders>
          </w:tcPr>
          <w:p>
            <w:pPr>
              <w:spacing w:after="0"/>
              <w:rPr>
                <w:sz w:val="23"/>
                <w:szCs w:val="23"/>
                <w:color w:val="auto"/>
              </w:rPr>
            </w:pPr>
          </w:p>
        </w:tc>
        <w:tc>
          <w:tcPr>
            <w:tcW w:w="92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5</w:t>
            </w:r>
          </w:p>
        </w:tc>
        <w:tc>
          <w:tcPr>
            <w:tcW w:w="1080" w:type="dxa"/>
            <w:vAlign w:val="bottom"/>
            <w:tcBorders>
              <w:right w:val="single" w:sz="8" w:color="auto"/>
            </w:tcBorders>
          </w:tcPr>
          <w:p>
            <w:pPr>
              <w:jc w:val="right"/>
              <w:ind w:right="280"/>
              <w:spacing w:after="0"/>
              <w:rPr>
                <w:sz w:val="20"/>
                <w:szCs w:val="20"/>
                <w:color w:val="auto"/>
              </w:rPr>
            </w:pPr>
            <w:r>
              <w:rPr>
                <w:rFonts w:ascii="Times New Roman" w:cs="Times New Roman" w:eastAsia="Times New Roman" w:hAnsi="Times New Roman"/>
                <w:sz w:val="16"/>
                <w:szCs w:val="16"/>
                <w:color w:val="auto"/>
              </w:rPr>
              <w:t>20 %</w:t>
            </w:r>
          </w:p>
        </w:tc>
        <w:tc>
          <w:tcPr>
            <w:tcW w:w="94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0.4468</w:t>
            </w:r>
          </w:p>
        </w:tc>
        <w:tc>
          <w:tcPr>
            <w:tcW w:w="94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32</w:t>
            </w:r>
          </w:p>
        </w:tc>
        <w:tc>
          <w:tcPr>
            <w:tcW w:w="9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0.0107</w:t>
            </w:r>
          </w:p>
        </w:tc>
        <w:tc>
          <w:tcPr>
            <w:tcW w:w="0" w:type="dxa"/>
            <w:vAlign w:val="bottom"/>
          </w:tcPr>
          <w:p>
            <w:pPr>
              <w:spacing w:after="0"/>
              <w:rPr>
                <w:sz w:val="1"/>
                <w:szCs w:val="1"/>
                <w:color w:val="auto"/>
              </w:rPr>
            </w:pPr>
          </w:p>
        </w:tc>
      </w:tr>
      <w:tr>
        <w:trPr>
          <w:trHeight w:val="52"/>
        </w:trPr>
        <w:tc>
          <w:tcPr>
            <w:tcW w:w="1440" w:type="dxa"/>
            <w:vAlign w:val="bottom"/>
            <w:tcBorders>
              <w:left w:val="single" w:sz="8" w:color="auto"/>
              <w:bottom w:val="single" w:sz="8" w:color="auto"/>
              <w:right w:val="single" w:sz="8" w:color="auto"/>
            </w:tcBorders>
          </w:tcPr>
          <w:p>
            <w:pPr>
              <w:spacing w:after="0"/>
              <w:rPr>
                <w:sz w:val="4"/>
                <w:szCs w:val="4"/>
                <w:color w:val="auto"/>
              </w:rPr>
            </w:pPr>
          </w:p>
        </w:tc>
        <w:tc>
          <w:tcPr>
            <w:tcW w:w="640" w:type="dxa"/>
            <w:vAlign w:val="bottom"/>
            <w:tcBorders>
              <w:bottom w:val="single" w:sz="8" w:color="auto"/>
            </w:tcBorders>
          </w:tcPr>
          <w:p>
            <w:pPr>
              <w:spacing w:after="0"/>
              <w:rPr>
                <w:sz w:val="4"/>
                <w:szCs w:val="4"/>
                <w:color w:val="auto"/>
              </w:rPr>
            </w:pPr>
          </w:p>
        </w:tc>
        <w:tc>
          <w:tcPr>
            <w:tcW w:w="340" w:type="dxa"/>
            <w:vAlign w:val="bottom"/>
            <w:tcBorders>
              <w:bottom w:val="single" w:sz="8" w:color="auto"/>
              <w:right w:val="single" w:sz="8" w:color="auto"/>
            </w:tcBorders>
          </w:tcPr>
          <w:p>
            <w:pPr>
              <w:spacing w:after="0"/>
              <w:rPr>
                <w:sz w:val="4"/>
                <w:szCs w:val="4"/>
                <w:color w:val="auto"/>
              </w:rPr>
            </w:pPr>
          </w:p>
        </w:tc>
        <w:tc>
          <w:tcPr>
            <w:tcW w:w="920" w:type="dxa"/>
            <w:vAlign w:val="bottom"/>
            <w:tcBorders>
              <w:bottom w:val="single" w:sz="8" w:color="auto"/>
              <w:right w:val="single" w:sz="8" w:color="auto"/>
            </w:tcBorders>
          </w:tcPr>
          <w:p>
            <w:pPr>
              <w:spacing w:after="0"/>
              <w:rPr>
                <w:sz w:val="4"/>
                <w:szCs w:val="4"/>
                <w:color w:val="auto"/>
              </w:rPr>
            </w:pPr>
          </w:p>
        </w:tc>
        <w:tc>
          <w:tcPr>
            <w:tcW w:w="1080" w:type="dxa"/>
            <w:vAlign w:val="bottom"/>
            <w:tcBorders>
              <w:bottom w:val="single" w:sz="8" w:color="auto"/>
              <w:right w:val="single" w:sz="8" w:color="auto"/>
            </w:tcBorders>
          </w:tcPr>
          <w:p>
            <w:pPr>
              <w:spacing w:after="0"/>
              <w:rPr>
                <w:sz w:val="4"/>
                <w:szCs w:val="4"/>
                <w:color w:val="auto"/>
              </w:rPr>
            </w:pPr>
          </w:p>
        </w:tc>
        <w:tc>
          <w:tcPr>
            <w:tcW w:w="940" w:type="dxa"/>
            <w:vAlign w:val="bottom"/>
            <w:tcBorders>
              <w:bottom w:val="single" w:sz="8" w:color="auto"/>
              <w:right w:val="single" w:sz="8" w:color="auto"/>
            </w:tcBorders>
          </w:tcPr>
          <w:p>
            <w:pPr>
              <w:spacing w:after="0"/>
              <w:rPr>
                <w:sz w:val="4"/>
                <w:szCs w:val="4"/>
                <w:color w:val="auto"/>
              </w:rPr>
            </w:pPr>
          </w:p>
        </w:tc>
        <w:tc>
          <w:tcPr>
            <w:tcW w:w="940" w:type="dxa"/>
            <w:vAlign w:val="bottom"/>
            <w:tcBorders>
              <w:bottom w:val="single" w:sz="8" w:color="auto"/>
              <w:right w:val="single" w:sz="8" w:color="auto"/>
            </w:tcBorders>
          </w:tcPr>
          <w:p>
            <w:pPr>
              <w:spacing w:after="0"/>
              <w:rPr>
                <w:sz w:val="4"/>
                <w:szCs w:val="4"/>
                <w:color w:val="auto"/>
              </w:rPr>
            </w:pPr>
          </w:p>
        </w:tc>
        <w:tc>
          <w:tcPr>
            <w:tcW w:w="90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70"/>
        </w:trPr>
        <w:tc>
          <w:tcPr>
            <w:tcW w:w="1440" w:type="dxa"/>
            <w:vAlign w:val="bottom"/>
            <w:tcBorders>
              <w:left w:val="single" w:sz="8" w:color="auto"/>
              <w:right w:val="single" w:sz="8" w:color="auto"/>
            </w:tcBorders>
          </w:tcPr>
          <w:p>
            <w:pPr>
              <w:ind w:left="120"/>
              <w:spacing w:after="0"/>
              <w:rPr>
                <w:sz w:val="20"/>
                <w:szCs w:val="20"/>
                <w:color w:val="auto"/>
              </w:rPr>
            </w:pPr>
            <w:r>
              <w:rPr>
                <w:rFonts w:ascii="Times New Roman" w:cs="Times New Roman" w:eastAsia="Times New Roman" w:hAnsi="Times New Roman"/>
                <w:sz w:val="16"/>
                <w:szCs w:val="16"/>
                <w:color w:val="auto"/>
              </w:rPr>
              <w:t>Lateral derecho</w:t>
            </w:r>
          </w:p>
        </w:tc>
        <w:tc>
          <w:tcPr>
            <w:tcW w:w="640" w:type="dxa"/>
            <w:vAlign w:val="bottom"/>
          </w:tcPr>
          <w:p>
            <w:pPr>
              <w:jc w:val="center"/>
              <w:ind w:left="200"/>
              <w:spacing w:after="0"/>
              <w:rPr>
                <w:sz w:val="20"/>
                <w:szCs w:val="20"/>
                <w:color w:val="auto"/>
              </w:rPr>
            </w:pPr>
            <w:r>
              <w:rPr>
                <w:rFonts w:ascii="Times New Roman" w:cs="Times New Roman" w:eastAsia="Times New Roman" w:hAnsi="Times New Roman"/>
                <w:sz w:val="16"/>
                <w:szCs w:val="16"/>
                <w:color w:val="auto"/>
                <w:w w:val="99"/>
              </w:rPr>
              <w:t>29</w:t>
            </w:r>
          </w:p>
        </w:tc>
        <w:tc>
          <w:tcPr>
            <w:tcW w:w="340" w:type="dxa"/>
            <w:vAlign w:val="bottom"/>
            <w:tcBorders>
              <w:right w:val="single" w:sz="8" w:color="auto"/>
            </w:tcBorders>
          </w:tcPr>
          <w:p>
            <w:pPr>
              <w:spacing w:after="0"/>
              <w:rPr>
                <w:sz w:val="23"/>
                <w:szCs w:val="23"/>
                <w:color w:val="auto"/>
              </w:rPr>
            </w:pPr>
          </w:p>
        </w:tc>
        <w:tc>
          <w:tcPr>
            <w:tcW w:w="92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14</w:t>
            </w:r>
          </w:p>
        </w:tc>
        <w:tc>
          <w:tcPr>
            <w:tcW w:w="1080" w:type="dxa"/>
            <w:vAlign w:val="bottom"/>
            <w:tcBorders>
              <w:right w:val="single" w:sz="8" w:color="auto"/>
            </w:tcBorders>
          </w:tcPr>
          <w:p>
            <w:pPr>
              <w:jc w:val="right"/>
              <w:ind w:right="280"/>
              <w:spacing w:after="0"/>
              <w:rPr>
                <w:sz w:val="20"/>
                <w:szCs w:val="20"/>
                <w:color w:val="auto"/>
              </w:rPr>
            </w:pPr>
            <w:r>
              <w:rPr>
                <w:rFonts w:ascii="Times New Roman" w:cs="Times New Roman" w:eastAsia="Times New Roman" w:hAnsi="Times New Roman"/>
                <w:sz w:val="16"/>
                <w:szCs w:val="16"/>
                <w:color w:val="auto"/>
              </w:rPr>
              <w:t>43 %</w:t>
            </w:r>
          </w:p>
        </w:tc>
        <w:tc>
          <w:tcPr>
            <w:tcW w:w="94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0.1858</w:t>
            </w:r>
          </w:p>
        </w:tc>
        <w:tc>
          <w:tcPr>
            <w:tcW w:w="94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28</w:t>
            </w:r>
          </w:p>
        </w:tc>
        <w:tc>
          <w:tcPr>
            <w:tcW w:w="9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8"/>
              </w:rPr>
              <w:t>2.06E-12</w:t>
            </w:r>
          </w:p>
        </w:tc>
        <w:tc>
          <w:tcPr>
            <w:tcW w:w="0" w:type="dxa"/>
            <w:vAlign w:val="bottom"/>
          </w:tcPr>
          <w:p>
            <w:pPr>
              <w:spacing w:after="0"/>
              <w:rPr>
                <w:sz w:val="1"/>
                <w:szCs w:val="1"/>
                <w:color w:val="auto"/>
              </w:rPr>
            </w:pPr>
          </w:p>
        </w:tc>
      </w:tr>
      <w:tr>
        <w:trPr>
          <w:trHeight w:val="52"/>
        </w:trPr>
        <w:tc>
          <w:tcPr>
            <w:tcW w:w="1440" w:type="dxa"/>
            <w:vAlign w:val="bottom"/>
            <w:tcBorders>
              <w:left w:val="single" w:sz="8" w:color="auto"/>
              <w:bottom w:val="single" w:sz="8" w:color="auto"/>
              <w:right w:val="single" w:sz="8" w:color="auto"/>
            </w:tcBorders>
          </w:tcPr>
          <w:p>
            <w:pPr>
              <w:spacing w:after="0"/>
              <w:rPr>
                <w:sz w:val="4"/>
                <w:szCs w:val="4"/>
                <w:color w:val="auto"/>
              </w:rPr>
            </w:pPr>
          </w:p>
        </w:tc>
        <w:tc>
          <w:tcPr>
            <w:tcW w:w="640" w:type="dxa"/>
            <w:vAlign w:val="bottom"/>
            <w:tcBorders>
              <w:bottom w:val="single" w:sz="8" w:color="auto"/>
            </w:tcBorders>
          </w:tcPr>
          <w:p>
            <w:pPr>
              <w:spacing w:after="0"/>
              <w:rPr>
                <w:sz w:val="4"/>
                <w:szCs w:val="4"/>
                <w:color w:val="auto"/>
              </w:rPr>
            </w:pPr>
          </w:p>
        </w:tc>
        <w:tc>
          <w:tcPr>
            <w:tcW w:w="340" w:type="dxa"/>
            <w:vAlign w:val="bottom"/>
            <w:tcBorders>
              <w:bottom w:val="single" w:sz="8" w:color="auto"/>
              <w:right w:val="single" w:sz="8" w:color="auto"/>
            </w:tcBorders>
          </w:tcPr>
          <w:p>
            <w:pPr>
              <w:spacing w:after="0"/>
              <w:rPr>
                <w:sz w:val="4"/>
                <w:szCs w:val="4"/>
                <w:color w:val="auto"/>
              </w:rPr>
            </w:pPr>
          </w:p>
        </w:tc>
        <w:tc>
          <w:tcPr>
            <w:tcW w:w="920" w:type="dxa"/>
            <w:vAlign w:val="bottom"/>
            <w:tcBorders>
              <w:bottom w:val="single" w:sz="8" w:color="auto"/>
              <w:right w:val="single" w:sz="8" w:color="auto"/>
            </w:tcBorders>
          </w:tcPr>
          <w:p>
            <w:pPr>
              <w:spacing w:after="0"/>
              <w:rPr>
                <w:sz w:val="4"/>
                <w:szCs w:val="4"/>
                <w:color w:val="auto"/>
              </w:rPr>
            </w:pPr>
          </w:p>
        </w:tc>
        <w:tc>
          <w:tcPr>
            <w:tcW w:w="1080" w:type="dxa"/>
            <w:vAlign w:val="bottom"/>
            <w:tcBorders>
              <w:bottom w:val="single" w:sz="8" w:color="auto"/>
              <w:right w:val="single" w:sz="8" w:color="auto"/>
            </w:tcBorders>
          </w:tcPr>
          <w:p>
            <w:pPr>
              <w:spacing w:after="0"/>
              <w:rPr>
                <w:sz w:val="4"/>
                <w:szCs w:val="4"/>
                <w:color w:val="auto"/>
              </w:rPr>
            </w:pPr>
          </w:p>
        </w:tc>
        <w:tc>
          <w:tcPr>
            <w:tcW w:w="940" w:type="dxa"/>
            <w:vAlign w:val="bottom"/>
            <w:tcBorders>
              <w:bottom w:val="single" w:sz="8" w:color="auto"/>
              <w:right w:val="single" w:sz="8" w:color="auto"/>
            </w:tcBorders>
          </w:tcPr>
          <w:p>
            <w:pPr>
              <w:spacing w:after="0"/>
              <w:rPr>
                <w:sz w:val="4"/>
                <w:szCs w:val="4"/>
                <w:color w:val="auto"/>
              </w:rPr>
            </w:pPr>
          </w:p>
        </w:tc>
        <w:tc>
          <w:tcPr>
            <w:tcW w:w="940" w:type="dxa"/>
            <w:vAlign w:val="bottom"/>
            <w:tcBorders>
              <w:bottom w:val="single" w:sz="8" w:color="auto"/>
              <w:right w:val="single" w:sz="8" w:color="auto"/>
            </w:tcBorders>
          </w:tcPr>
          <w:p>
            <w:pPr>
              <w:spacing w:after="0"/>
              <w:rPr>
                <w:sz w:val="4"/>
                <w:szCs w:val="4"/>
                <w:color w:val="auto"/>
              </w:rPr>
            </w:pPr>
          </w:p>
        </w:tc>
        <w:tc>
          <w:tcPr>
            <w:tcW w:w="90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70"/>
        </w:trPr>
        <w:tc>
          <w:tcPr>
            <w:tcW w:w="1440" w:type="dxa"/>
            <w:vAlign w:val="bottom"/>
            <w:tcBorders>
              <w:left w:val="single" w:sz="8" w:color="auto"/>
              <w:right w:val="single" w:sz="8" w:color="auto"/>
            </w:tcBorders>
          </w:tcPr>
          <w:p>
            <w:pPr>
              <w:ind w:left="120"/>
              <w:spacing w:after="0"/>
              <w:rPr>
                <w:sz w:val="20"/>
                <w:szCs w:val="20"/>
                <w:color w:val="auto"/>
              </w:rPr>
            </w:pPr>
            <w:r>
              <w:rPr>
                <w:rFonts w:ascii="Times New Roman" w:cs="Times New Roman" w:eastAsia="Times New Roman" w:hAnsi="Times New Roman"/>
                <w:sz w:val="16"/>
                <w:szCs w:val="16"/>
                <w:color w:val="auto"/>
              </w:rPr>
              <w:t>Lateral izquierdo</w:t>
            </w:r>
          </w:p>
        </w:tc>
        <w:tc>
          <w:tcPr>
            <w:tcW w:w="640" w:type="dxa"/>
            <w:vAlign w:val="bottom"/>
          </w:tcPr>
          <w:p>
            <w:pPr>
              <w:jc w:val="center"/>
              <w:ind w:left="200"/>
              <w:spacing w:after="0"/>
              <w:rPr>
                <w:sz w:val="20"/>
                <w:szCs w:val="20"/>
                <w:color w:val="auto"/>
              </w:rPr>
            </w:pPr>
            <w:r>
              <w:rPr>
                <w:rFonts w:ascii="Times New Roman" w:cs="Times New Roman" w:eastAsia="Times New Roman" w:hAnsi="Times New Roman"/>
                <w:sz w:val="16"/>
                <w:szCs w:val="16"/>
                <w:color w:val="auto"/>
                <w:w w:val="99"/>
              </w:rPr>
              <w:t>22</w:t>
            </w:r>
          </w:p>
        </w:tc>
        <w:tc>
          <w:tcPr>
            <w:tcW w:w="340" w:type="dxa"/>
            <w:vAlign w:val="bottom"/>
            <w:tcBorders>
              <w:right w:val="single" w:sz="8" w:color="auto"/>
            </w:tcBorders>
          </w:tcPr>
          <w:p>
            <w:pPr>
              <w:spacing w:after="0"/>
              <w:rPr>
                <w:sz w:val="23"/>
                <w:szCs w:val="23"/>
                <w:color w:val="auto"/>
              </w:rPr>
            </w:pPr>
          </w:p>
        </w:tc>
        <w:tc>
          <w:tcPr>
            <w:tcW w:w="92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17</w:t>
            </w:r>
          </w:p>
        </w:tc>
        <w:tc>
          <w:tcPr>
            <w:tcW w:w="1080" w:type="dxa"/>
            <w:vAlign w:val="bottom"/>
            <w:tcBorders>
              <w:right w:val="single" w:sz="8" w:color="auto"/>
            </w:tcBorders>
          </w:tcPr>
          <w:p>
            <w:pPr>
              <w:jc w:val="right"/>
              <w:ind w:right="280"/>
              <w:spacing w:after="0"/>
              <w:rPr>
                <w:sz w:val="20"/>
                <w:szCs w:val="20"/>
                <w:color w:val="auto"/>
              </w:rPr>
            </w:pPr>
            <w:r>
              <w:rPr>
                <w:rFonts w:ascii="Times New Roman" w:cs="Times New Roman" w:eastAsia="Times New Roman" w:hAnsi="Times New Roman"/>
                <w:sz w:val="16"/>
                <w:szCs w:val="16"/>
                <w:color w:val="auto"/>
              </w:rPr>
              <w:t>39 %</w:t>
            </w:r>
          </w:p>
        </w:tc>
        <w:tc>
          <w:tcPr>
            <w:tcW w:w="94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0.1932</w:t>
            </w:r>
          </w:p>
        </w:tc>
        <w:tc>
          <w:tcPr>
            <w:tcW w:w="94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9"/>
              </w:rPr>
              <w:t>28</w:t>
            </w:r>
          </w:p>
        </w:tc>
        <w:tc>
          <w:tcPr>
            <w:tcW w:w="9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16"/>
                <w:szCs w:val="16"/>
                <w:color w:val="auto"/>
                <w:w w:val="98"/>
              </w:rPr>
              <w:t>5.74E-12</w:t>
            </w:r>
          </w:p>
        </w:tc>
        <w:tc>
          <w:tcPr>
            <w:tcW w:w="0" w:type="dxa"/>
            <w:vAlign w:val="bottom"/>
          </w:tcPr>
          <w:p>
            <w:pPr>
              <w:spacing w:after="0"/>
              <w:rPr>
                <w:sz w:val="1"/>
                <w:szCs w:val="1"/>
                <w:color w:val="auto"/>
              </w:rPr>
            </w:pPr>
          </w:p>
        </w:tc>
      </w:tr>
      <w:tr>
        <w:trPr>
          <w:trHeight w:val="52"/>
        </w:trPr>
        <w:tc>
          <w:tcPr>
            <w:tcW w:w="1440" w:type="dxa"/>
            <w:vAlign w:val="bottom"/>
            <w:tcBorders>
              <w:left w:val="single" w:sz="8" w:color="auto"/>
              <w:bottom w:val="single" w:sz="8" w:color="auto"/>
              <w:right w:val="single" w:sz="8" w:color="auto"/>
            </w:tcBorders>
          </w:tcPr>
          <w:p>
            <w:pPr>
              <w:spacing w:after="0"/>
              <w:rPr>
                <w:sz w:val="4"/>
                <w:szCs w:val="4"/>
                <w:color w:val="auto"/>
              </w:rPr>
            </w:pPr>
          </w:p>
        </w:tc>
        <w:tc>
          <w:tcPr>
            <w:tcW w:w="640" w:type="dxa"/>
            <w:vAlign w:val="bottom"/>
            <w:tcBorders>
              <w:bottom w:val="single" w:sz="8" w:color="auto"/>
            </w:tcBorders>
          </w:tcPr>
          <w:p>
            <w:pPr>
              <w:spacing w:after="0"/>
              <w:rPr>
                <w:sz w:val="4"/>
                <w:szCs w:val="4"/>
                <w:color w:val="auto"/>
              </w:rPr>
            </w:pPr>
          </w:p>
        </w:tc>
        <w:tc>
          <w:tcPr>
            <w:tcW w:w="340" w:type="dxa"/>
            <w:vAlign w:val="bottom"/>
            <w:tcBorders>
              <w:bottom w:val="single" w:sz="8" w:color="auto"/>
              <w:right w:val="single" w:sz="8" w:color="auto"/>
            </w:tcBorders>
          </w:tcPr>
          <w:p>
            <w:pPr>
              <w:spacing w:after="0"/>
              <w:rPr>
                <w:sz w:val="4"/>
                <w:szCs w:val="4"/>
                <w:color w:val="auto"/>
              </w:rPr>
            </w:pPr>
          </w:p>
        </w:tc>
        <w:tc>
          <w:tcPr>
            <w:tcW w:w="920" w:type="dxa"/>
            <w:vAlign w:val="bottom"/>
            <w:tcBorders>
              <w:bottom w:val="single" w:sz="8" w:color="auto"/>
              <w:right w:val="single" w:sz="8" w:color="auto"/>
            </w:tcBorders>
          </w:tcPr>
          <w:p>
            <w:pPr>
              <w:spacing w:after="0"/>
              <w:rPr>
                <w:sz w:val="4"/>
                <w:szCs w:val="4"/>
                <w:color w:val="auto"/>
              </w:rPr>
            </w:pPr>
          </w:p>
        </w:tc>
        <w:tc>
          <w:tcPr>
            <w:tcW w:w="1080" w:type="dxa"/>
            <w:vAlign w:val="bottom"/>
            <w:tcBorders>
              <w:bottom w:val="single" w:sz="8" w:color="auto"/>
              <w:right w:val="single" w:sz="8" w:color="auto"/>
            </w:tcBorders>
          </w:tcPr>
          <w:p>
            <w:pPr>
              <w:spacing w:after="0"/>
              <w:rPr>
                <w:sz w:val="4"/>
                <w:szCs w:val="4"/>
                <w:color w:val="auto"/>
              </w:rPr>
            </w:pPr>
          </w:p>
        </w:tc>
        <w:tc>
          <w:tcPr>
            <w:tcW w:w="940" w:type="dxa"/>
            <w:vAlign w:val="bottom"/>
            <w:tcBorders>
              <w:bottom w:val="single" w:sz="8" w:color="auto"/>
              <w:right w:val="single" w:sz="8" w:color="auto"/>
            </w:tcBorders>
          </w:tcPr>
          <w:p>
            <w:pPr>
              <w:spacing w:after="0"/>
              <w:rPr>
                <w:sz w:val="4"/>
                <w:szCs w:val="4"/>
                <w:color w:val="auto"/>
              </w:rPr>
            </w:pPr>
          </w:p>
        </w:tc>
        <w:tc>
          <w:tcPr>
            <w:tcW w:w="940" w:type="dxa"/>
            <w:vAlign w:val="bottom"/>
            <w:tcBorders>
              <w:bottom w:val="single" w:sz="8" w:color="auto"/>
              <w:right w:val="single" w:sz="8" w:color="auto"/>
            </w:tcBorders>
          </w:tcPr>
          <w:p>
            <w:pPr>
              <w:spacing w:after="0"/>
              <w:rPr>
                <w:sz w:val="4"/>
                <w:szCs w:val="4"/>
                <w:color w:val="auto"/>
              </w:rPr>
            </w:pPr>
          </w:p>
        </w:tc>
        <w:tc>
          <w:tcPr>
            <w:tcW w:w="90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bl>
    <w:p>
      <w:pPr>
        <w:spacing w:after="0" w:line="132"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Fuente: Galindo, 2011.</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8"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144" w:name="page145"/>
    <w:bookmarkEnd w:id="144"/>
    <w:tbl>
      <w:tblPr>
        <w:tblLayout w:type="fixed"/>
        <w:tblInd w:w="0" w:type="dxa"/>
        <w:tblCellMar>
          <w:top w:w="0" w:type="dxa"/>
          <w:left w:w="0" w:type="dxa"/>
          <w:bottom w:w="0" w:type="dxa"/>
          <w:right w:w="0" w:type="dxa"/>
        </w:tblCellMar>
      </w:tblPr>
      <w:tr>
        <w:trPr>
          <w:trHeight w:val="62"/>
        </w:trPr>
        <w:tc>
          <w:tcPr>
            <w:tcW w:w="1200" w:type="dxa"/>
            <w:vAlign w:val="bottom"/>
            <w:vMerge w:val="restart"/>
          </w:tcPr>
          <w:p>
            <w:pPr>
              <w:jc w:val="right"/>
              <w:ind w:right="900"/>
              <w:spacing w:after="0"/>
              <w:rPr>
                <w:sz w:val="20"/>
                <w:szCs w:val="20"/>
                <w:color w:val="auto"/>
              </w:rPr>
            </w:pPr>
            <w:r>
              <w:rPr>
                <w:rFonts w:ascii="Arial Narrow" w:cs="Arial Narrow" w:eastAsia="Arial Narrow" w:hAnsi="Arial Narrow"/>
                <w:sz w:val="16"/>
                <w:szCs w:val="16"/>
                <w:color w:val="auto"/>
                <w:w w:val="91"/>
              </w:rPr>
              <w:t>144</w:t>
            </w:r>
          </w:p>
        </w:tc>
        <w:tc>
          <w:tcPr>
            <w:tcW w:w="1660" w:type="dxa"/>
            <w:vAlign w:val="bottom"/>
            <w:vMerge w:val="restart"/>
          </w:tcPr>
          <w:p>
            <w:pPr>
              <w:ind w:left="980"/>
              <w:spacing w:after="0"/>
              <w:rPr>
                <w:sz w:val="20"/>
                <w:szCs w:val="20"/>
                <w:color w:val="auto"/>
              </w:rPr>
            </w:pPr>
            <w:r>
              <w:rPr>
                <w:rFonts w:ascii="Arial Narrow" w:cs="Arial Narrow" w:eastAsia="Arial Narrow" w:hAnsi="Arial Narrow"/>
                <w:sz w:val="11"/>
                <w:szCs w:val="11"/>
                <w:color w:val="auto"/>
              </w:rPr>
              <w:t>galindo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gil</w:t>
            </w:r>
          </w:p>
        </w:tc>
        <w:tc>
          <w:tcPr>
            <w:tcW w:w="20" w:type="dxa"/>
            <w:vAlign w:val="bottom"/>
          </w:tcPr>
          <w:p>
            <w:pPr>
              <w:spacing w:after="0"/>
              <w:rPr>
                <w:sz w:val="5"/>
                <w:szCs w:val="5"/>
                <w:color w:val="auto"/>
              </w:rPr>
            </w:pPr>
          </w:p>
        </w:tc>
        <w:tc>
          <w:tcPr>
            <w:tcW w:w="1160" w:type="dxa"/>
            <w:vAlign w:val="bottom"/>
            <w:vMerge w:val="restart"/>
          </w:tcPr>
          <w:p>
            <w:pPr>
              <w:ind w:left="40"/>
              <w:spacing w:after="0"/>
              <w:rPr>
                <w:sz w:val="20"/>
                <w:szCs w:val="20"/>
                <w:color w:val="auto"/>
              </w:rPr>
            </w:pP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p>
        </w:tc>
        <w:tc>
          <w:tcPr>
            <w:tcW w:w="20" w:type="dxa"/>
            <w:vAlign w:val="bottom"/>
          </w:tcPr>
          <w:p>
            <w:pPr>
              <w:spacing w:after="0"/>
              <w:rPr>
                <w:sz w:val="5"/>
                <w:szCs w:val="5"/>
                <w:color w:val="auto"/>
              </w:rPr>
            </w:pPr>
          </w:p>
        </w:tc>
        <w:tc>
          <w:tcPr>
            <w:tcW w:w="960" w:type="dxa"/>
            <w:vAlign w:val="bottom"/>
            <w:vMerge w:val="restart"/>
          </w:tcPr>
          <w:p>
            <w:pPr>
              <w:ind w:left="40"/>
              <w:spacing w:after="0"/>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p>
        </w:tc>
        <w:tc>
          <w:tcPr>
            <w:tcW w:w="0" w:type="dxa"/>
            <w:vAlign w:val="bottom"/>
          </w:tcPr>
          <w:p>
            <w:pPr>
              <w:spacing w:after="0"/>
              <w:rPr>
                <w:sz w:val="1"/>
                <w:szCs w:val="1"/>
                <w:color w:val="auto"/>
              </w:rPr>
            </w:pPr>
          </w:p>
        </w:tc>
      </w:tr>
      <w:tr>
        <w:trPr>
          <w:trHeight w:val="140"/>
        </w:trPr>
        <w:tc>
          <w:tcPr>
            <w:tcW w:w="1200" w:type="dxa"/>
            <w:vAlign w:val="bottom"/>
            <w:vMerge w:val="continue"/>
          </w:tcPr>
          <w:p>
            <w:pPr>
              <w:spacing w:after="0"/>
              <w:rPr>
                <w:sz w:val="12"/>
                <w:szCs w:val="12"/>
                <w:color w:val="auto"/>
              </w:rPr>
            </w:pPr>
          </w:p>
        </w:tc>
        <w:tc>
          <w:tcPr>
            <w:tcW w:w="166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1160" w:type="dxa"/>
            <w:vAlign w:val="bottom"/>
            <w:vMerge w:val="continue"/>
          </w:tcPr>
          <w:p>
            <w:pPr>
              <w:spacing w:after="0"/>
              <w:rPr>
                <w:sz w:val="12"/>
                <w:szCs w:val="12"/>
                <w:color w:val="auto"/>
              </w:rPr>
            </w:pPr>
          </w:p>
        </w:tc>
        <w:tc>
          <w:tcPr>
            <w:tcW w:w="20" w:type="dxa"/>
            <w:vAlign w:val="bottom"/>
            <w:shd w:val="clear" w:color="auto" w:fill="000000"/>
          </w:tcPr>
          <w:p>
            <w:pPr>
              <w:spacing w:after="0"/>
              <w:rPr>
                <w:sz w:val="12"/>
                <w:szCs w:val="12"/>
                <w:color w:val="auto"/>
              </w:rPr>
            </w:pPr>
          </w:p>
        </w:tc>
        <w:tc>
          <w:tcPr>
            <w:tcW w:w="960" w:type="dxa"/>
            <w:vAlign w:val="bottom"/>
            <w:vMerge w:val="continue"/>
          </w:tcPr>
          <w:p>
            <w:pPr>
              <w:spacing w:after="0"/>
              <w:rPr>
                <w:sz w:val="12"/>
                <w:szCs w:val="12"/>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332" w:lineRule="exact"/>
        <w:rPr>
          <w:sz w:val="20"/>
          <w:szCs w:val="20"/>
          <w:color w:val="auto"/>
        </w:rPr>
      </w:pPr>
    </w:p>
    <w:p>
      <w:pPr>
        <w:ind w:left="3280"/>
        <w:spacing w:after="0"/>
        <w:rPr>
          <w:sz w:val="20"/>
          <w:szCs w:val="20"/>
          <w:color w:val="auto"/>
        </w:rPr>
      </w:pPr>
      <w:r>
        <w:rPr>
          <w:rFonts w:ascii="Times New Roman" w:cs="Times New Roman" w:eastAsia="Times New Roman" w:hAnsi="Times New Roman"/>
          <w:sz w:val="20"/>
          <w:szCs w:val="20"/>
          <w:i w:val="1"/>
          <w:iCs w:val="1"/>
          <w:color w:val="auto"/>
        </w:rPr>
        <w:t>Figura 4</w:t>
      </w:r>
    </w:p>
    <w:p>
      <w:pPr>
        <w:spacing w:after="0" w:line="273"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4571365</wp:posOffset>
                </wp:positionH>
                <wp:positionV relativeFrom="paragraph">
                  <wp:posOffset>67945</wp:posOffset>
                </wp:positionV>
                <wp:extent cx="0" cy="5658485"/>
                <wp:wrapNone/>
                <wp:docPr id="362" name="Shape 36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5658485"/>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62" o:spid="_x0000_s138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59.95pt,5.35pt" to="359.95pt,450.9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-6350</wp:posOffset>
                </wp:positionH>
                <wp:positionV relativeFrom="paragraph">
                  <wp:posOffset>71120</wp:posOffset>
                </wp:positionV>
                <wp:extent cx="4580890" cy="0"/>
                <wp:wrapNone/>
                <wp:docPr id="363" name="Shape 36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580890" cy="0"/>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63" o:spid="_x0000_s138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999pt,5.6pt" to="360.2pt,5.6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-3175</wp:posOffset>
                </wp:positionH>
                <wp:positionV relativeFrom="paragraph">
                  <wp:posOffset>67945</wp:posOffset>
                </wp:positionV>
                <wp:extent cx="0" cy="5658485"/>
                <wp:wrapNone/>
                <wp:docPr id="364" name="Shape 36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5658485"/>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64" o:spid="_x0000_s138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2499pt,5.35pt" to="-0.2499pt,450.9pt" o:allowincell="f" strokecolor="#000000" strokeweight="0.5pt"/>
            </w:pict>
          </mc:Fallback>
        </mc:AlternateContent>
        <mc:AlternateContent>
          <mc:Choice Requires="wps">
            <w:drawing>
              <wp:anchor simplePos="0" relativeHeight="251657728" behindDoc="1" locked="0" layoutInCell="0" allowOverlap="1">
                <wp:simplePos x="0" y="0"/>
                <wp:positionH relativeFrom="column">
                  <wp:posOffset>-6350</wp:posOffset>
                </wp:positionH>
                <wp:positionV relativeFrom="paragraph">
                  <wp:posOffset>5723255</wp:posOffset>
                </wp:positionV>
                <wp:extent cx="4580890" cy="0"/>
                <wp:wrapNone/>
                <wp:docPr id="365" name="Shape 36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580890" cy="0"/>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65" o:spid="_x0000_s139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999pt,450.65pt" to="360.2pt,450.65pt" o:allowincell="f" strokecolor="#000000" strokeweight="0.5pt"/>
            </w:pict>
          </mc:Fallback>
        </mc:AlternateContent>
      </w:r>
    </w:p>
    <w:p>
      <w:pPr>
        <w:ind w:left="1660"/>
        <w:spacing w:after="0"/>
        <w:tabs>
          <w:tab w:leader="none" w:pos="5160" w:val="left"/>
        </w:tabs>
        <w:rPr>
          <w:sz w:val="20"/>
          <w:szCs w:val="20"/>
          <w:color w:val="auto"/>
        </w:rPr>
      </w:pPr>
      <w:r>
        <w:rPr>
          <w:rFonts w:ascii="Times New Roman" w:cs="Times New Roman" w:eastAsia="Times New Roman" w:hAnsi="Times New Roman"/>
          <w:sz w:val="16"/>
          <w:szCs w:val="16"/>
          <w:b w:val="1"/>
          <w:bCs w:val="1"/>
          <w:color w:val="auto"/>
        </w:rPr>
        <w:t>DORSAL</w:t>
      </w:r>
      <w:r>
        <w:rPr>
          <w:sz w:val="20"/>
          <w:szCs w:val="20"/>
          <w:color w:val="auto"/>
        </w:rPr>
        <w:tab/>
      </w:r>
      <w:r>
        <w:rPr>
          <w:rFonts w:ascii="Times New Roman" w:cs="Times New Roman" w:eastAsia="Times New Roman" w:hAnsi="Times New Roman"/>
          <w:sz w:val="16"/>
          <w:szCs w:val="16"/>
          <w:b w:val="1"/>
          <w:bCs w:val="1"/>
          <w:color w:val="auto"/>
        </w:rPr>
        <w:t>VENTRAL</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27305</wp:posOffset>
            </wp:positionH>
            <wp:positionV relativeFrom="paragraph">
              <wp:posOffset>29210</wp:posOffset>
            </wp:positionV>
            <wp:extent cx="4499610" cy="2438400"/>
            <wp:wrapNone/>
            <wp:docPr id="366" name="Pictur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65">
                      <a:clrChange>
                        <a:clrFrom>
                          <a:srgbClr val="000000"/>
                        </a:clrFrom>
                        <a:clrTo>
                          <a:srgbClr val="000000">
                            <a:alpha val="0"/>
                          </a:srgbClr>
                        </a:clrTo>
                      </a:clrChange>
                      <a:extLst>
                        <a:ext uri="{28A0092B-C50C-407E-A947-70E740481C1C}"/>
                      </a:extLst>
                    </a:blip>
                    <a:srcRect/>
                    <a:stretch>
                      <a:fillRect/>
                    </a:stretch>
                  </pic:blipFill>
                  <pic:spPr bwMode="auto">
                    <a:xfrm>
                      <a:off x="0" y="0"/>
                      <a:ext cx="4499610" cy="2438400"/>
                    </a:xfrm>
                    <a:prstGeom prst="rect">
                      <a:avLst/>
                    </a:prstGeom>
                    <a:noFill/>
                  </pic:spPr>
                </pic:pic>
              </a:graphicData>
            </a:graphic>
          </wp:anchor>
        </w:drawing>
        <w:drawing>
          <wp:anchor simplePos="0" relativeHeight="251657728" behindDoc="1" locked="0" layoutInCell="0" allowOverlap="1">
            <wp:simplePos x="0" y="0"/>
            <wp:positionH relativeFrom="column">
              <wp:posOffset>27305</wp:posOffset>
            </wp:positionH>
            <wp:positionV relativeFrom="paragraph">
              <wp:posOffset>29210</wp:posOffset>
            </wp:positionV>
            <wp:extent cx="4499610" cy="2438400"/>
            <wp:wrapNone/>
            <wp:docPr id="367" name="Pictur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66">
                      <a:clrChange>
                        <a:clrFrom>
                          <a:srgbClr val="FFFFFF"/>
                        </a:clrFrom>
                        <a:clrTo>
                          <a:srgbClr val="FFFFFF">
                            <a:alpha val="0"/>
                          </a:srgbClr>
                        </a:clrTo>
                      </a:clrChange>
                      <a:extLst>
                        <a:ext uri="{28A0092B-C50C-407E-A947-70E740481C1C}"/>
                      </a:extLst>
                    </a:blip>
                    <a:srcRect/>
                    <a:stretch>
                      <a:fillRect/>
                    </a:stretch>
                  </pic:blipFill>
                  <pic:spPr bwMode="auto">
                    <a:xfrm>
                      <a:off x="0" y="0"/>
                      <a:ext cx="4499610" cy="243840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7" w:lineRule="exact"/>
        <w:rPr>
          <w:sz w:val="20"/>
          <w:szCs w:val="20"/>
          <w:color w:val="auto"/>
        </w:rPr>
      </w:pPr>
    </w:p>
    <w:p>
      <w:pPr>
        <w:ind w:left="3420"/>
        <w:spacing w:after="0"/>
        <w:rPr>
          <w:sz w:val="20"/>
          <w:szCs w:val="20"/>
          <w:color w:val="auto"/>
        </w:rPr>
      </w:pPr>
      <w:r>
        <w:rPr>
          <w:rFonts w:ascii="Times New Roman" w:cs="Times New Roman" w:eastAsia="Times New Roman" w:hAnsi="Times New Roman"/>
          <w:sz w:val="16"/>
          <w:szCs w:val="16"/>
          <w:i w:val="1"/>
          <w:iCs w:val="1"/>
          <w:color w:val="auto"/>
        </w:rPr>
        <w:t>S. aeneus</w:t>
      </w:r>
    </w:p>
    <w:p>
      <w:pPr>
        <w:spacing w:after="0" w:line="56" w:lineRule="exact"/>
        <w:rPr>
          <w:sz w:val="20"/>
          <w:szCs w:val="20"/>
          <w:color w:val="auto"/>
        </w:rPr>
      </w:pPr>
    </w:p>
    <w:p>
      <w:pPr>
        <w:ind w:left="3420"/>
        <w:spacing w:after="0"/>
        <w:rPr>
          <w:sz w:val="20"/>
          <w:szCs w:val="20"/>
          <w:color w:val="auto"/>
        </w:rPr>
      </w:pPr>
      <w:r>
        <w:rPr>
          <w:rFonts w:ascii="Times New Roman" w:cs="Times New Roman" w:eastAsia="Times New Roman" w:hAnsi="Times New Roman"/>
          <w:sz w:val="16"/>
          <w:szCs w:val="16"/>
          <w:i w:val="1"/>
          <w:iCs w:val="1"/>
          <w:color w:val="auto"/>
        </w:rPr>
        <w:t>S. bicanthalis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8" w:lineRule="exact"/>
        <w:rPr>
          <w:sz w:val="20"/>
          <w:szCs w:val="20"/>
          <w:color w:val="auto"/>
        </w:rPr>
      </w:pPr>
    </w:p>
    <w:p>
      <w:pPr>
        <w:ind w:left="1220"/>
        <w:spacing w:after="0"/>
        <w:tabs>
          <w:tab w:leader="none" w:pos="4700" w:val="left"/>
        </w:tabs>
        <w:rPr>
          <w:sz w:val="20"/>
          <w:szCs w:val="20"/>
          <w:color w:val="auto"/>
        </w:rPr>
      </w:pPr>
      <w:r>
        <w:rPr>
          <w:rFonts w:ascii="Times New Roman" w:cs="Times New Roman" w:eastAsia="Times New Roman" w:hAnsi="Times New Roman"/>
          <w:sz w:val="16"/>
          <w:szCs w:val="16"/>
          <w:b w:val="1"/>
          <w:bCs w:val="1"/>
          <w:color w:val="auto"/>
        </w:rPr>
        <w:t>LATERAL DERECHO</w:t>
      </w:r>
      <w:r>
        <w:rPr>
          <w:sz w:val="20"/>
          <w:szCs w:val="20"/>
          <w:color w:val="auto"/>
        </w:rPr>
        <w:tab/>
      </w:r>
      <w:r>
        <w:rPr>
          <w:rFonts w:ascii="Times New Roman" w:cs="Times New Roman" w:eastAsia="Times New Roman" w:hAnsi="Times New Roman"/>
          <w:sz w:val="15"/>
          <w:szCs w:val="15"/>
          <w:b w:val="1"/>
          <w:bCs w:val="1"/>
          <w:color w:val="auto"/>
        </w:rPr>
        <w:t>LATERAL IZQUIERDO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3175</wp:posOffset>
            </wp:positionH>
            <wp:positionV relativeFrom="paragraph">
              <wp:posOffset>89535</wp:posOffset>
            </wp:positionV>
            <wp:extent cx="4499610" cy="2426970"/>
            <wp:wrapNone/>
            <wp:docPr id="368" name="Pictur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67">
                      <a:clrChange>
                        <a:clrFrom>
                          <a:srgbClr val="000000"/>
                        </a:clrFrom>
                        <a:clrTo>
                          <a:srgbClr val="000000">
                            <a:alpha val="0"/>
                          </a:srgbClr>
                        </a:clrTo>
                      </a:clrChange>
                      <a:extLst>
                        <a:ext uri="{28A0092B-C50C-407E-A947-70E740481C1C}"/>
                      </a:extLst>
                    </a:blip>
                    <a:srcRect/>
                    <a:stretch>
                      <a:fillRect/>
                    </a:stretch>
                  </pic:blipFill>
                  <pic:spPr bwMode="auto">
                    <a:xfrm>
                      <a:off x="0" y="0"/>
                      <a:ext cx="4499610" cy="2426970"/>
                    </a:xfrm>
                    <a:prstGeom prst="rect">
                      <a:avLst/>
                    </a:prstGeom>
                    <a:noFill/>
                  </pic:spPr>
                </pic:pic>
              </a:graphicData>
            </a:graphic>
          </wp:anchor>
        </w:drawing>
        <w:drawing>
          <wp:anchor simplePos="0" relativeHeight="251657728" behindDoc="1" locked="0" layoutInCell="0" allowOverlap="1">
            <wp:simplePos x="0" y="0"/>
            <wp:positionH relativeFrom="column">
              <wp:posOffset>3175</wp:posOffset>
            </wp:positionH>
            <wp:positionV relativeFrom="paragraph">
              <wp:posOffset>89535</wp:posOffset>
            </wp:positionV>
            <wp:extent cx="4499610" cy="2426970"/>
            <wp:wrapNone/>
            <wp:docPr id="369" name="Pictur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68">
                      <a:clrChange>
                        <a:clrFrom>
                          <a:srgbClr val="FFFFFF"/>
                        </a:clrFrom>
                        <a:clrTo>
                          <a:srgbClr val="FFFFFF">
                            <a:alpha val="0"/>
                          </a:srgbClr>
                        </a:clrTo>
                      </a:clrChange>
                      <a:extLst>
                        <a:ext uri="{28A0092B-C50C-407E-A947-70E740481C1C}"/>
                      </a:extLst>
                    </a:blip>
                    <a:srcRect/>
                    <a:stretch>
                      <a:fillRect/>
                    </a:stretch>
                  </pic:blipFill>
                  <pic:spPr bwMode="auto">
                    <a:xfrm>
                      <a:off x="0" y="0"/>
                      <a:ext cx="4499610" cy="242697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0" w:lineRule="exact"/>
        <w:rPr>
          <w:sz w:val="20"/>
          <w:szCs w:val="20"/>
          <w:color w:val="auto"/>
        </w:rPr>
      </w:pPr>
    </w:p>
    <w:p>
      <w:pPr>
        <w:ind w:left="3320"/>
        <w:spacing w:after="0"/>
        <w:rPr>
          <w:sz w:val="20"/>
          <w:szCs w:val="20"/>
          <w:color w:val="auto"/>
        </w:rPr>
      </w:pPr>
      <w:r>
        <w:rPr>
          <w:rFonts w:ascii="Times New Roman" w:cs="Times New Roman" w:eastAsia="Times New Roman" w:hAnsi="Times New Roman"/>
          <w:sz w:val="16"/>
          <w:szCs w:val="16"/>
          <w:i w:val="1"/>
          <w:iCs w:val="1"/>
          <w:color w:val="auto"/>
        </w:rPr>
        <w:t>S. aeneus</w:t>
      </w:r>
    </w:p>
    <w:p>
      <w:pPr>
        <w:spacing w:after="0" w:line="56" w:lineRule="exact"/>
        <w:rPr>
          <w:sz w:val="20"/>
          <w:szCs w:val="20"/>
          <w:color w:val="auto"/>
        </w:rPr>
      </w:pPr>
    </w:p>
    <w:p>
      <w:pPr>
        <w:ind w:left="3320"/>
        <w:spacing w:after="0"/>
        <w:rPr>
          <w:sz w:val="20"/>
          <w:szCs w:val="20"/>
          <w:color w:val="auto"/>
        </w:rPr>
      </w:pPr>
      <w:r>
        <w:rPr>
          <w:rFonts w:ascii="Times New Roman" w:cs="Times New Roman" w:eastAsia="Times New Roman" w:hAnsi="Times New Roman"/>
          <w:sz w:val="16"/>
          <w:szCs w:val="16"/>
          <w:i w:val="1"/>
          <w:iCs w:val="1"/>
          <w:color w:val="auto"/>
        </w:rPr>
        <w:t>S. bicanthalis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9" w:lineRule="exact"/>
        <w:rPr>
          <w:sz w:val="20"/>
          <w:szCs w:val="20"/>
          <w:color w:val="auto"/>
        </w:rPr>
      </w:pPr>
    </w:p>
    <w:p>
      <w:pPr>
        <w:spacing w:after="0" w:line="311" w:lineRule="auto"/>
        <w:rPr>
          <w:sz w:val="20"/>
          <w:szCs w:val="20"/>
          <w:color w:val="auto"/>
        </w:rPr>
      </w:pPr>
      <w:r>
        <w:rPr>
          <w:rFonts w:ascii="Times New Roman" w:cs="Times New Roman" w:eastAsia="Times New Roman" w:hAnsi="Times New Roman"/>
          <w:sz w:val="16"/>
          <w:szCs w:val="16"/>
          <w:color w:val="auto"/>
        </w:rPr>
        <w:t>avc de cada una de las vistas analizadas. Se muestra la deformación de las escamas que separa a las dos especies con respecto a la variable canónica uno (Fuente: Galindo, 2011).</w:t>
      </w:r>
    </w:p>
    <w:p>
      <w:pPr>
        <w:sectPr>
          <w:pgSz w:w="9360" w:h="13039" w:orient="portrait"/>
          <w:cols w:equalWidth="0" w:num="1">
            <w:col w:w="7180"/>
          </w:cols>
          <w:pgMar w:left="1080" w:top="906" w:right="1100" w:bottom="437" w:gutter="0" w:footer="0" w:header="0"/>
        </w:sectPr>
      </w:pPr>
    </w:p>
    <w:p>
      <w:pPr>
        <w:spacing w:after="0" w:line="200" w:lineRule="exact"/>
        <w:rPr>
          <w:sz w:val="20"/>
          <w:szCs w:val="20"/>
          <w:color w:val="auto"/>
        </w:rPr>
      </w:pPr>
    </w:p>
    <w:p>
      <w:pPr>
        <w:spacing w:after="0" w:line="371"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370" name="Shape 37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70" o:spid="_x0000_s139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371" name="Shape 37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71" o:spid="_x0000_s139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372" name="Shape 37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72" o:spid="_x0000_s139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45" w:name="page146"/>
    <w:bookmarkEnd w:id="145"/>
    <w:p>
      <w:pPr>
        <w:ind w:left="580"/>
        <w:spacing w:after="0"/>
        <w:tabs>
          <w:tab w:leader="dot" w:pos="6960" w:val="left"/>
        </w:tabs>
        <w:rPr>
          <w:sz w:val="20"/>
          <w:szCs w:val="20"/>
          <w:color w:val="auto"/>
        </w:rPr>
      </w:pPr>
      <w:r>
        <w:rPr>
          <w:rFonts w:ascii="Arial Narrow" w:cs="Arial Narrow" w:eastAsia="Arial Narrow" w:hAnsi="Arial Narrow"/>
          <w:sz w:val="11"/>
          <w:szCs w:val="11"/>
          <w:color w:val="auto"/>
        </w:rPr>
        <w:t xml:space="preserve">morfometría geométrica de las escamas cefálicas de dos especies hermanas del género </w:t>
      </w:r>
      <w:r>
        <w:rPr>
          <w:rFonts w:ascii="Arial Narrow" w:cs="Arial Narrow" w:eastAsia="Arial Narrow" w:hAnsi="Arial Narrow"/>
          <w:sz w:val="11"/>
          <w:szCs w:val="11"/>
          <w:i w:val="1"/>
          <w:iCs w:val="1"/>
          <w:color w:val="auto"/>
        </w:rPr>
        <w:t>sceloporus</w:t>
      </w:r>
      <w:r>
        <w:rPr>
          <w:sz w:val="20"/>
          <w:szCs w:val="20"/>
          <w:color w:val="auto"/>
        </w:rPr>
        <w:tab/>
      </w:r>
      <w:r>
        <w:rPr>
          <w:rFonts w:ascii="Arial Narrow" w:cs="Arial Narrow" w:eastAsia="Arial Narrow" w:hAnsi="Arial Narrow"/>
          <w:sz w:val="16"/>
          <w:szCs w:val="16"/>
          <w:color w:val="auto"/>
        </w:rPr>
        <w:t>145</w:t>
      </w:r>
    </w:p>
    <w:p>
      <w:pPr>
        <w:spacing w:after="0" w:line="200" w:lineRule="exact"/>
        <w:rPr>
          <w:sz w:val="20"/>
          <w:szCs w:val="20"/>
          <w:color w:val="auto"/>
        </w:rPr>
      </w:pPr>
    </w:p>
    <w:p>
      <w:pPr>
        <w:spacing w:after="0" w:line="347" w:lineRule="exact"/>
        <w:rPr>
          <w:sz w:val="20"/>
          <w:szCs w:val="20"/>
          <w:color w:val="auto"/>
        </w:rPr>
      </w:pPr>
    </w:p>
    <w:p>
      <w:pPr>
        <w:jc w:val="both"/>
        <w:spacing w:after="0" w:line="307" w:lineRule="auto"/>
        <w:rPr>
          <w:sz w:val="20"/>
          <w:szCs w:val="20"/>
          <w:color w:val="auto"/>
        </w:rPr>
      </w:pPr>
      <w:r>
        <w:rPr>
          <w:rFonts w:ascii="Times New Roman" w:cs="Times New Roman" w:eastAsia="Times New Roman" w:hAnsi="Times New Roman"/>
          <w:sz w:val="22"/>
          <w:szCs w:val="22"/>
          <w:color w:val="auto"/>
        </w:rPr>
        <w:t xml:space="preserve">En cuanto a los datos merísticos, </w:t>
      </w:r>
      <w:r>
        <w:rPr>
          <w:rFonts w:ascii="Times New Roman" w:cs="Times New Roman" w:eastAsia="Times New Roman" w:hAnsi="Times New Roman"/>
          <w:sz w:val="22"/>
          <w:szCs w:val="22"/>
          <w:i w:val="1"/>
          <w:iCs w:val="1"/>
          <w:color w:val="auto"/>
        </w:rPr>
        <w:t>S. aeneus</w:t>
      </w:r>
      <w:r>
        <w:rPr>
          <w:rFonts w:ascii="Times New Roman" w:cs="Times New Roman" w:eastAsia="Times New Roman" w:hAnsi="Times New Roman"/>
          <w:sz w:val="22"/>
          <w:szCs w:val="22"/>
          <w:color w:val="auto"/>
        </w:rPr>
        <w:t xml:space="preserve"> confirma lo descrito en la literatura, ya que todos los organismos analizados de esta especie presentan un par de cantales (una escama cantal en cada lado de la cabeza); mientras que </w:t>
      </w:r>
      <w:r>
        <w:rPr>
          <w:rFonts w:ascii="Times New Roman" w:cs="Times New Roman" w:eastAsia="Times New Roman" w:hAnsi="Times New Roman"/>
          <w:sz w:val="22"/>
          <w:szCs w:val="22"/>
          <w:i w:val="1"/>
          <w:iCs w:val="1"/>
          <w:color w:val="auto"/>
        </w:rPr>
        <w:t>S. bicanthalis</w:t>
      </w:r>
      <w:r>
        <w:rPr>
          <w:rFonts w:ascii="Times New Roman" w:cs="Times New Roman" w:eastAsia="Times New Roman" w:hAnsi="Times New Roman"/>
          <w:sz w:val="22"/>
          <w:szCs w:val="22"/>
          <w:color w:val="auto"/>
        </w:rPr>
        <w:t xml:space="preserve"> sí manifiesta una variación en el número de escamas cantales, pues 27 (48%) presentaron dos pares de escamas (dos escamas cantales en cada lado de la cabeza), consideradas como carácter para su identificación, y las 29 restantes (52%) tuvieron números par o impar de éstas (cuadro 3).</w:t>
      </w:r>
    </w:p>
    <w:p>
      <w:pPr>
        <w:spacing w:after="0" w:line="251" w:lineRule="exact"/>
        <w:rPr>
          <w:sz w:val="20"/>
          <w:szCs w:val="20"/>
          <w:color w:val="auto"/>
        </w:rPr>
      </w:pPr>
    </w:p>
    <w:p>
      <w:pPr>
        <w:ind w:left="3280"/>
        <w:spacing w:after="0"/>
        <w:rPr>
          <w:sz w:val="20"/>
          <w:szCs w:val="20"/>
          <w:color w:val="auto"/>
        </w:rPr>
      </w:pPr>
      <w:r>
        <w:rPr>
          <w:rFonts w:ascii="Times New Roman" w:cs="Times New Roman" w:eastAsia="Times New Roman" w:hAnsi="Times New Roman"/>
          <w:sz w:val="18"/>
          <w:szCs w:val="18"/>
          <w:i w:val="1"/>
          <w:iCs w:val="1"/>
          <w:color w:val="auto"/>
        </w:rPr>
        <w:t>Cuadro 3</w:t>
      </w:r>
    </w:p>
    <w:p>
      <w:pPr>
        <w:spacing w:after="0" w:line="33" w:lineRule="exact"/>
        <w:rPr>
          <w:sz w:val="20"/>
          <w:szCs w:val="20"/>
          <w:color w:val="auto"/>
        </w:rPr>
      </w:pPr>
    </w:p>
    <w:p>
      <w:pPr>
        <w:ind w:left="1440" w:right="280" w:hanging="1147"/>
        <w:spacing w:after="0" w:line="301" w:lineRule="auto"/>
        <w:rPr>
          <w:sz w:val="20"/>
          <w:szCs w:val="20"/>
          <w:color w:val="auto"/>
        </w:rPr>
      </w:pPr>
      <w:r>
        <w:rPr>
          <w:rFonts w:ascii="Times New Roman" w:cs="Times New Roman" w:eastAsia="Times New Roman" w:hAnsi="Times New Roman"/>
          <w:sz w:val="18"/>
          <w:szCs w:val="18"/>
          <w:color w:val="auto"/>
        </w:rPr>
        <w:t xml:space="preserve">Número de escamas cantales presentes en cada lado de la cabeza (derecho-izquierdo) de </w:t>
      </w:r>
      <w:r>
        <w:rPr>
          <w:rFonts w:ascii="Times New Roman" w:cs="Times New Roman" w:eastAsia="Times New Roman" w:hAnsi="Times New Roman"/>
          <w:sz w:val="18"/>
          <w:szCs w:val="18"/>
          <w:i w:val="1"/>
          <w:iCs w:val="1"/>
          <w:color w:val="auto"/>
        </w:rPr>
        <w:t>S.</w:t>
      </w:r>
      <w:r>
        <w:rPr>
          <w:rFonts w:ascii="Times New Roman" w:cs="Times New Roman" w:eastAsia="Times New Roman" w:hAnsi="Times New Roman"/>
          <w:sz w:val="18"/>
          <w:szCs w:val="18"/>
          <w:color w:val="auto"/>
        </w:rPr>
        <w:t xml:space="preserve"> </w:t>
      </w:r>
      <w:r>
        <w:rPr>
          <w:rFonts w:ascii="Times New Roman" w:cs="Times New Roman" w:eastAsia="Times New Roman" w:hAnsi="Times New Roman"/>
          <w:sz w:val="12"/>
          <w:szCs w:val="12"/>
          <w:i w:val="1"/>
          <w:iCs w:val="1"/>
          <w:color w:val="auto"/>
        </w:rPr>
        <w:t>aeneus</w:t>
      </w:r>
      <w:r>
        <w:rPr>
          <w:rFonts w:ascii="Times New Roman" w:cs="Times New Roman" w:eastAsia="Times New Roman" w:hAnsi="Times New Roman"/>
          <w:sz w:val="18"/>
          <w:szCs w:val="18"/>
          <w:color w:val="auto"/>
        </w:rPr>
        <w:t xml:space="preserve"> y </w:t>
      </w:r>
      <w:r>
        <w:rPr>
          <w:rFonts w:ascii="Times New Roman" w:cs="Times New Roman" w:eastAsia="Times New Roman" w:hAnsi="Times New Roman"/>
          <w:sz w:val="18"/>
          <w:szCs w:val="18"/>
          <w:i w:val="1"/>
          <w:iCs w:val="1"/>
          <w:color w:val="auto"/>
        </w:rPr>
        <w:t>S.</w:t>
      </w:r>
      <w:r>
        <w:rPr>
          <w:rFonts w:ascii="Times New Roman" w:cs="Times New Roman" w:eastAsia="Times New Roman" w:hAnsi="Times New Roman"/>
          <w:sz w:val="18"/>
          <w:szCs w:val="18"/>
          <w:color w:val="auto"/>
        </w:rPr>
        <w:t xml:space="preserve"> </w:t>
      </w:r>
      <w:r>
        <w:rPr>
          <w:rFonts w:ascii="Times New Roman" w:cs="Times New Roman" w:eastAsia="Times New Roman" w:hAnsi="Times New Roman"/>
          <w:sz w:val="12"/>
          <w:szCs w:val="12"/>
          <w:i w:val="1"/>
          <w:iCs w:val="1"/>
          <w:color w:val="auto"/>
        </w:rPr>
        <w:t>bicanthalis</w:t>
      </w:r>
      <w:r>
        <w:rPr>
          <w:rFonts w:ascii="Times New Roman" w:cs="Times New Roman" w:eastAsia="Times New Roman" w:hAnsi="Times New Roman"/>
          <w:sz w:val="18"/>
          <w:szCs w:val="18"/>
          <w:color w:val="auto"/>
        </w:rPr>
        <w:t xml:space="preserve"> en las poblaciones estudiadas</w:t>
      </w:r>
    </w:p>
    <w:p>
      <w:pPr>
        <w:spacing w:after="0" w:line="116" w:lineRule="exact"/>
        <w:rPr>
          <w:sz w:val="20"/>
          <w:szCs w:val="20"/>
          <w:color w:val="auto"/>
        </w:rPr>
      </w:pPr>
    </w:p>
    <w:tbl>
      <w:tblPr>
        <w:tblLayout w:type="fixed"/>
        <w:tblInd w:w="10" w:type="dxa"/>
        <w:tblCellMar>
          <w:top w:w="0" w:type="dxa"/>
          <w:left w:w="0" w:type="dxa"/>
          <w:bottom w:w="0" w:type="dxa"/>
          <w:right w:w="0" w:type="dxa"/>
        </w:tblCellMar>
      </w:tblPr>
      <w:tr>
        <w:trPr>
          <w:trHeight w:val="298"/>
        </w:trPr>
        <w:tc>
          <w:tcPr>
            <w:tcW w:w="1660" w:type="dxa"/>
            <w:vAlign w:val="bottom"/>
            <w:tcBorders>
              <w:top w:val="single" w:sz="8" w:color="auto"/>
              <w:left w:val="single" w:sz="8" w:color="auto"/>
              <w:right w:val="single" w:sz="8" w:color="auto"/>
            </w:tcBorders>
            <w:vMerge w:val="restart"/>
          </w:tcPr>
          <w:p>
            <w:pPr>
              <w:ind w:left="600"/>
              <w:spacing w:after="0"/>
              <w:rPr>
                <w:sz w:val="20"/>
                <w:szCs w:val="20"/>
                <w:color w:val="auto"/>
              </w:rPr>
            </w:pPr>
            <w:r>
              <w:rPr>
                <w:rFonts w:ascii="Times New Roman" w:cs="Times New Roman" w:eastAsia="Times New Roman" w:hAnsi="Times New Roman"/>
                <w:sz w:val="17"/>
                <w:szCs w:val="17"/>
                <w:i w:val="1"/>
                <w:iCs w:val="1"/>
                <w:color w:val="auto"/>
              </w:rPr>
              <w:t>Especie</w:t>
            </w:r>
          </w:p>
        </w:tc>
        <w:tc>
          <w:tcPr>
            <w:tcW w:w="2760" w:type="dxa"/>
            <w:vAlign w:val="bottom"/>
            <w:tcBorders>
              <w:top w:val="single" w:sz="8" w:color="auto"/>
              <w:right w:val="single" w:sz="8" w:color="auto"/>
            </w:tcBorders>
            <w:vMerge w:val="restart"/>
          </w:tcPr>
          <w:p>
            <w:pPr>
              <w:ind w:left="1060"/>
              <w:spacing w:after="0"/>
              <w:rPr>
                <w:sz w:val="20"/>
                <w:szCs w:val="20"/>
                <w:color w:val="auto"/>
              </w:rPr>
            </w:pPr>
            <w:r>
              <w:rPr>
                <w:rFonts w:ascii="Times New Roman" w:cs="Times New Roman" w:eastAsia="Times New Roman" w:hAnsi="Times New Roman"/>
                <w:sz w:val="17"/>
                <w:szCs w:val="17"/>
                <w:i w:val="1"/>
                <w:iCs w:val="1"/>
                <w:color w:val="auto"/>
              </w:rPr>
              <w:t>Población</w:t>
            </w:r>
          </w:p>
        </w:tc>
        <w:tc>
          <w:tcPr>
            <w:tcW w:w="480" w:type="dxa"/>
            <w:vAlign w:val="bottom"/>
            <w:tcBorders>
              <w:top w:val="single" w:sz="8" w:color="auto"/>
              <w:right w:val="single" w:sz="8" w:color="auto"/>
            </w:tcBorders>
            <w:vMerge w:val="restart"/>
          </w:tcPr>
          <w:p>
            <w:pPr>
              <w:ind w:left="180"/>
              <w:spacing w:after="0"/>
              <w:rPr>
                <w:sz w:val="20"/>
                <w:szCs w:val="20"/>
                <w:color w:val="auto"/>
              </w:rPr>
            </w:pPr>
            <w:r>
              <w:rPr>
                <w:rFonts w:ascii="Times New Roman" w:cs="Times New Roman" w:eastAsia="Times New Roman" w:hAnsi="Times New Roman"/>
                <w:sz w:val="17"/>
                <w:szCs w:val="17"/>
                <w:i w:val="1"/>
                <w:iCs w:val="1"/>
                <w:color w:val="auto"/>
              </w:rPr>
              <w:t>n</w:t>
            </w:r>
          </w:p>
        </w:tc>
        <w:tc>
          <w:tcPr>
            <w:tcW w:w="2300" w:type="dxa"/>
            <w:vAlign w:val="bottom"/>
            <w:tcBorders>
              <w:top w:val="single" w:sz="8" w:color="auto"/>
              <w:right w:val="single" w:sz="8" w:color="auto"/>
            </w:tcBorders>
          </w:tcPr>
          <w:p>
            <w:pPr>
              <w:ind w:left="520"/>
              <w:spacing w:after="0"/>
              <w:rPr>
                <w:sz w:val="20"/>
                <w:szCs w:val="20"/>
                <w:color w:val="auto"/>
              </w:rPr>
            </w:pPr>
            <w:r>
              <w:rPr>
                <w:rFonts w:ascii="Times New Roman" w:cs="Times New Roman" w:eastAsia="Times New Roman" w:hAnsi="Times New Roman"/>
                <w:sz w:val="17"/>
                <w:szCs w:val="17"/>
                <w:i w:val="1"/>
                <w:iCs w:val="1"/>
                <w:color w:val="auto"/>
              </w:rPr>
              <w:t>Número de cantales</w:t>
            </w:r>
          </w:p>
        </w:tc>
        <w:tc>
          <w:tcPr>
            <w:tcW w:w="0" w:type="dxa"/>
            <w:vAlign w:val="bottom"/>
          </w:tcPr>
          <w:p>
            <w:pPr>
              <w:spacing w:after="0"/>
              <w:rPr>
                <w:sz w:val="1"/>
                <w:szCs w:val="1"/>
                <w:color w:val="auto"/>
              </w:rPr>
            </w:pPr>
          </w:p>
        </w:tc>
      </w:tr>
      <w:tr>
        <w:trPr>
          <w:trHeight w:val="110"/>
        </w:trPr>
        <w:tc>
          <w:tcPr>
            <w:tcW w:w="1660" w:type="dxa"/>
            <w:vAlign w:val="bottom"/>
            <w:tcBorders>
              <w:left w:val="single" w:sz="8" w:color="auto"/>
              <w:right w:val="single" w:sz="8" w:color="auto"/>
            </w:tcBorders>
            <w:vMerge w:val="continue"/>
          </w:tcPr>
          <w:p>
            <w:pPr>
              <w:spacing w:after="0"/>
              <w:rPr>
                <w:sz w:val="9"/>
                <w:szCs w:val="9"/>
                <w:color w:val="auto"/>
              </w:rPr>
            </w:pPr>
          </w:p>
        </w:tc>
        <w:tc>
          <w:tcPr>
            <w:tcW w:w="2760" w:type="dxa"/>
            <w:vAlign w:val="bottom"/>
            <w:tcBorders>
              <w:right w:val="single" w:sz="8" w:color="auto"/>
            </w:tcBorders>
            <w:vMerge w:val="continue"/>
          </w:tcPr>
          <w:p>
            <w:pPr>
              <w:spacing w:after="0"/>
              <w:rPr>
                <w:sz w:val="9"/>
                <w:szCs w:val="9"/>
                <w:color w:val="auto"/>
              </w:rPr>
            </w:pPr>
          </w:p>
        </w:tc>
        <w:tc>
          <w:tcPr>
            <w:tcW w:w="480" w:type="dxa"/>
            <w:vAlign w:val="bottom"/>
            <w:tcBorders>
              <w:right w:val="single" w:sz="8" w:color="auto"/>
            </w:tcBorders>
            <w:vMerge w:val="continue"/>
          </w:tcPr>
          <w:p>
            <w:pPr>
              <w:spacing w:after="0"/>
              <w:rPr>
                <w:sz w:val="9"/>
                <w:szCs w:val="9"/>
                <w:color w:val="auto"/>
              </w:rPr>
            </w:pPr>
          </w:p>
        </w:tc>
        <w:tc>
          <w:tcPr>
            <w:tcW w:w="2300" w:type="dxa"/>
            <w:vAlign w:val="bottom"/>
            <w:tcBorders>
              <w:right w:val="single" w:sz="8" w:color="auto"/>
            </w:tcBorders>
            <w:vMerge w:val="restart"/>
          </w:tcPr>
          <w:p>
            <w:pPr>
              <w:ind w:left="340"/>
              <w:spacing w:after="0"/>
              <w:rPr>
                <w:sz w:val="20"/>
                <w:szCs w:val="20"/>
                <w:color w:val="auto"/>
              </w:rPr>
            </w:pPr>
            <w:r>
              <w:rPr>
                <w:rFonts w:ascii="Times New Roman" w:cs="Times New Roman" w:eastAsia="Times New Roman" w:hAnsi="Times New Roman"/>
                <w:sz w:val="17"/>
                <w:szCs w:val="17"/>
                <w:i w:val="1"/>
                <w:iCs w:val="1"/>
                <w:color w:val="auto"/>
              </w:rPr>
              <w:t>en cada lado de la cabeza</w:t>
            </w:r>
          </w:p>
        </w:tc>
        <w:tc>
          <w:tcPr>
            <w:tcW w:w="0" w:type="dxa"/>
            <w:vAlign w:val="bottom"/>
          </w:tcPr>
          <w:p>
            <w:pPr>
              <w:spacing w:after="0"/>
              <w:rPr>
                <w:sz w:val="1"/>
                <w:szCs w:val="1"/>
                <w:color w:val="auto"/>
              </w:rPr>
            </w:pPr>
          </w:p>
        </w:tc>
      </w:tr>
      <w:tr>
        <w:trPr>
          <w:trHeight w:val="110"/>
        </w:trPr>
        <w:tc>
          <w:tcPr>
            <w:tcW w:w="1660" w:type="dxa"/>
            <w:vAlign w:val="bottom"/>
            <w:tcBorders>
              <w:left w:val="single" w:sz="8" w:color="auto"/>
              <w:right w:val="single" w:sz="8" w:color="auto"/>
            </w:tcBorders>
          </w:tcPr>
          <w:p>
            <w:pPr>
              <w:spacing w:after="0"/>
              <w:rPr>
                <w:sz w:val="9"/>
                <w:szCs w:val="9"/>
                <w:color w:val="auto"/>
              </w:rPr>
            </w:pPr>
          </w:p>
        </w:tc>
        <w:tc>
          <w:tcPr>
            <w:tcW w:w="2760" w:type="dxa"/>
            <w:vAlign w:val="bottom"/>
            <w:tcBorders>
              <w:right w:val="single" w:sz="8" w:color="auto"/>
            </w:tcBorders>
          </w:tcPr>
          <w:p>
            <w:pPr>
              <w:spacing w:after="0"/>
              <w:rPr>
                <w:sz w:val="9"/>
                <w:szCs w:val="9"/>
                <w:color w:val="auto"/>
              </w:rPr>
            </w:pPr>
          </w:p>
        </w:tc>
        <w:tc>
          <w:tcPr>
            <w:tcW w:w="480" w:type="dxa"/>
            <w:vAlign w:val="bottom"/>
            <w:tcBorders>
              <w:right w:val="single" w:sz="8" w:color="auto"/>
            </w:tcBorders>
          </w:tcPr>
          <w:p>
            <w:pPr>
              <w:spacing w:after="0"/>
              <w:rPr>
                <w:sz w:val="9"/>
                <w:szCs w:val="9"/>
                <w:color w:val="auto"/>
              </w:rPr>
            </w:pPr>
          </w:p>
        </w:tc>
        <w:tc>
          <w:tcPr>
            <w:tcW w:w="2300" w:type="dxa"/>
            <w:vAlign w:val="bottom"/>
            <w:tcBorders>
              <w:right w:val="single" w:sz="8" w:color="auto"/>
            </w:tcBorders>
            <w:vMerge w:val="continue"/>
          </w:tcPr>
          <w:p>
            <w:pPr>
              <w:spacing w:after="0"/>
              <w:rPr>
                <w:sz w:val="9"/>
                <w:szCs w:val="9"/>
                <w:color w:val="auto"/>
              </w:rPr>
            </w:pPr>
          </w:p>
        </w:tc>
        <w:tc>
          <w:tcPr>
            <w:tcW w:w="0" w:type="dxa"/>
            <w:vAlign w:val="bottom"/>
          </w:tcPr>
          <w:p>
            <w:pPr>
              <w:spacing w:after="0"/>
              <w:rPr>
                <w:sz w:val="1"/>
                <w:szCs w:val="1"/>
                <w:color w:val="auto"/>
              </w:rPr>
            </w:pPr>
          </w:p>
        </w:tc>
      </w:tr>
      <w:tr>
        <w:trPr>
          <w:trHeight w:val="52"/>
        </w:trPr>
        <w:tc>
          <w:tcPr>
            <w:tcW w:w="1660" w:type="dxa"/>
            <w:vAlign w:val="bottom"/>
            <w:tcBorders>
              <w:left w:val="single" w:sz="8" w:color="auto"/>
              <w:bottom w:val="single" w:sz="8" w:color="auto"/>
              <w:right w:val="single" w:sz="8" w:color="auto"/>
            </w:tcBorders>
          </w:tcPr>
          <w:p>
            <w:pPr>
              <w:spacing w:after="0"/>
              <w:rPr>
                <w:sz w:val="4"/>
                <w:szCs w:val="4"/>
                <w:color w:val="auto"/>
              </w:rPr>
            </w:pPr>
          </w:p>
        </w:tc>
        <w:tc>
          <w:tcPr>
            <w:tcW w:w="2760" w:type="dxa"/>
            <w:vAlign w:val="bottom"/>
            <w:tcBorders>
              <w:bottom w:val="single" w:sz="8" w:color="auto"/>
              <w:right w:val="single" w:sz="8" w:color="auto"/>
            </w:tcBorders>
          </w:tcPr>
          <w:p>
            <w:pPr>
              <w:spacing w:after="0"/>
              <w:rPr>
                <w:sz w:val="4"/>
                <w:szCs w:val="4"/>
                <w:color w:val="auto"/>
              </w:rPr>
            </w:pPr>
          </w:p>
        </w:tc>
        <w:tc>
          <w:tcPr>
            <w:tcW w:w="480" w:type="dxa"/>
            <w:vAlign w:val="bottom"/>
            <w:tcBorders>
              <w:bottom w:val="single" w:sz="8" w:color="auto"/>
              <w:right w:val="single" w:sz="8" w:color="auto"/>
            </w:tcBorders>
          </w:tcPr>
          <w:p>
            <w:pPr>
              <w:spacing w:after="0"/>
              <w:rPr>
                <w:sz w:val="4"/>
                <w:szCs w:val="4"/>
                <w:color w:val="auto"/>
              </w:rPr>
            </w:pPr>
          </w:p>
        </w:tc>
        <w:tc>
          <w:tcPr>
            <w:tcW w:w="230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82"/>
        </w:trPr>
        <w:tc>
          <w:tcPr>
            <w:tcW w:w="1660" w:type="dxa"/>
            <w:vAlign w:val="bottom"/>
            <w:tcBorders>
              <w:left w:val="single" w:sz="8" w:color="auto"/>
              <w:right w:val="single" w:sz="8" w:color="auto"/>
            </w:tcBorders>
            <w:vMerge w:val="restart"/>
          </w:tcPr>
          <w:p>
            <w:pPr>
              <w:ind w:left="120"/>
              <w:spacing w:after="0"/>
              <w:rPr>
                <w:sz w:val="20"/>
                <w:szCs w:val="20"/>
                <w:color w:val="auto"/>
              </w:rPr>
            </w:pPr>
            <w:r>
              <w:rPr>
                <w:rFonts w:ascii="Times New Roman" w:cs="Times New Roman" w:eastAsia="Times New Roman" w:hAnsi="Times New Roman"/>
                <w:sz w:val="17"/>
                <w:szCs w:val="17"/>
                <w:i w:val="1"/>
                <w:iCs w:val="1"/>
                <w:color w:val="auto"/>
              </w:rPr>
              <w:t>Sceloporus aeneus</w:t>
            </w:r>
          </w:p>
        </w:tc>
        <w:tc>
          <w:tcPr>
            <w:tcW w:w="276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7"/>
                <w:szCs w:val="17"/>
                <w:color w:val="auto"/>
              </w:rPr>
              <w:t>Milpa Alta, Distrito Federal</w:t>
            </w:r>
          </w:p>
        </w:tc>
        <w:tc>
          <w:tcPr>
            <w:tcW w:w="48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7"/>
                <w:szCs w:val="17"/>
                <w:color w:val="auto"/>
              </w:rPr>
              <w:t>17</w:t>
            </w:r>
          </w:p>
        </w:tc>
        <w:tc>
          <w:tcPr>
            <w:tcW w:w="230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7"/>
                <w:szCs w:val="17"/>
                <w:color w:val="auto"/>
              </w:rPr>
              <w:t>1-1(17)</w:t>
            </w:r>
          </w:p>
        </w:tc>
        <w:tc>
          <w:tcPr>
            <w:tcW w:w="0" w:type="dxa"/>
            <w:vAlign w:val="bottom"/>
          </w:tcPr>
          <w:p>
            <w:pPr>
              <w:spacing w:after="0"/>
              <w:rPr>
                <w:sz w:val="1"/>
                <w:szCs w:val="1"/>
                <w:color w:val="auto"/>
              </w:rPr>
            </w:pPr>
          </w:p>
        </w:tc>
      </w:tr>
      <w:tr>
        <w:trPr>
          <w:trHeight w:val="48"/>
        </w:trPr>
        <w:tc>
          <w:tcPr>
            <w:tcW w:w="1660" w:type="dxa"/>
            <w:vAlign w:val="bottom"/>
            <w:tcBorders>
              <w:left w:val="single" w:sz="8" w:color="auto"/>
              <w:right w:val="single" w:sz="8" w:color="auto"/>
            </w:tcBorders>
            <w:vMerge w:val="continue"/>
          </w:tcPr>
          <w:p>
            <w:pPr>
              <w:spacing w:after="0"/>
              <w:rPr>
                <w:sz w:val="4"/>
                <w:szCs w:val="4"/>
                <w:color w:val="auto"/>
              </w:rPr>
            </w:pPr>
          </w:p>
        </w:tc>
        <w:tc>
          <w:tcPr>
            <w:tcW w:w="2760" w:type="dxa"/>
            <w:vAlign w:val="bottom"/>
            <w:tcBorders>
              <w:bottom w:val="single" w:sz="8" w:color="auto"/>
              <w:right w:val="single" w:sz="8" w:color="auto"/>
            </w:tcBorders>
          </w:tcPr>
          <w:p>
            <w:pPr>
              <w:spacing w:after="0"/>
              <w:rPr>
                <w:sz w:val="4"/>
                <w:szCs w:val="4"/>
                <w:color w:val="auto"/>
              </w:rPr>
            </w:pPr>
          </w:p>
        </w:tc>
        <w:tc>
          <w:tcPr>
            <w:tcW w:w="480" w:type="dxa"/>
            <w:vAlign w:val="bottom"/>
            <w:tcBorders>
              <w:bottom w:val="single" w:sz="8" w:color="auto"/>
              <w:right w:val="single" w:sz="8" w:color="auto"/>
            </w:tcBorders>
          </w:tcPr>
          <w:p>
            <w:pPr>
              <w:spacing w:after="0"/>
              <w:rPr>
                <w:sz w:val="4"/>
                <w:szCs w:val="4"/>
                <w:color w:val="auto"/>
              </w:rPr>
            </w:pPr>
          </w:p>
        </w:tc>
        <w:tc>
          <w:tcPr>
            <w:tcW w:w="230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103"/>
        </w:trPr>
        <w:tc>
          <w:tcPr>
            <w:tcW w:w="1660" w:type="dxa"/>
            <w:vAlign w:val="bottom"/>
            <w:tcBorders>
              <w:left w:val="single" w:sz="8" w:color="auto"/>
              <w:right w:val="single" w:sz="8" w:color="auto"/>
            </w:tcBorders>
            <w:vMerge w:val="continue"/>
          </w:tcPr>
          <w:p>
            <w:pPr>
              <w:spacing w:after="0"/>
              <w:rPr>
                <w:sz w:val="8"/>
                <w:szCs w:val="8"/>
                <w:color w:val="auto"/>
              </w:rPr>
            </w:pPr>
          </w:p>
        </w:tc>
        <w:tc>
          <w:tcPr>
            <w:tcW w:w="2760" w:type="dxa"/>
            <w:vAlign w:val="bottom"/>
            <w:tcBorders>
              <w:right w:val="single" w:sz="8" w:color="auto"/>
            </w:tcBorders>
            <w:vMerge w:val="restart"/>
          </w:tcPr>
          <w:p>
            <w:pPr>
              <w:ind w:left="100"/>
              <w:spacing w:after="0"/>
              <w:rPr>
                <w:sz w:val="20"/>
                <w:szCs w:val="20"/>
                <w:color w:val="auto"/>
              </w:rPr>
            </w:pPr>
            <w:r>
              <w:rPr>
                <w:rFonts w:ascii="Times New Roman" w:cs="Times New Roman" w:eastAsia="Times New Roman" w:hAnsi="Times New Roman"/>
                <w:sz w:val="17"/>
                <w:szCs w:val="17"/>
                <w:color w:val="auto"/>
              </w:rPr>
              <w:t>Temoaya, Estado de México</w:t>
            </w:r>
          </w:p>
        </w:tc>
        <w:tc>
          <w:tcPr>
            <w:tcW w:w="480" w:type="dxa"/>
            <w:vAlign w:val="bottom"/>
            <w:tcBorders>
              <w:right w:val="single" w:sz="8" w:color="auto"/>
            </w:tcBorders>
            <w:vMerge w:val="restart"/>
          </w:tcPr>
          <w:p>
            <w:pPr>
              <w:ind w:left="100"/>
              <w:spacing w:after="0"/>
              <w:rPr>
                <w:sz w:val="20"/>
                <w:szCs w:val="20"/>
                <w:color w:val="auto"/>
              </w:rPr>
            </w:pPr>
            <w:r>
              <w:rPr>
                <w:rFonts w:ascii="Times New Roman" w:cs="Times New Roman" w:eastAsia="Times New Roman" w:hAnsi="Times New Roman"/>
                <w:sz w:val="17"/>
                <w:szCs w:val="17"/>
                <w:color w:val="auto"/>
              </w:rPr>
              <w:t>11</w:t>
            </w:r>
          </w:p>
        </w:tc>
        <w:tc>
          <w:tcPr>
            <w:tcW w:w="2300" w:type="dxa"/>
            <w:vAlign w:val="bottom"/>
            <w:tcBorders>
              <w:right w:val="single" w:sz="8" w:color="auto"/>
            </w:tcBorders>
            <w:vMerge w:val="restart"/>
          </w:tcPr>
          <w:p>
            <w:pPr>
              <w:ind w:left="100"/>
              <w:spacing w:after="0"/>
              <w:rPr>
                <w:sz w:val="20"/>
                <w:szCs w:val="20"/>
                <w:color w:val="auto"/>
              </w:rPr>
            </w:pPr>
            <w:r>
              <w:rPr>
                <w:rFonts w:ascii="Times New Roman" w:cs="Times New Roman" w:eastAsia="Times New Roman" w:hAnsi="Times New Roman"/>
                <w:sz w:val="17"/>
                <w:szCs w:val="17"/>
                <w:color w:val="auto"/>
              </w:rPr>
              <w:t>1-1(11)</w:t>
            </w:r>
          </w:p>
        </w:tc>
        <w:tc>
          <w:tcPr>
            <w:tcW w:w="0" w:type="dxa"/>
            <w:vAlign w:val="bottom"/>
          </w:tcPr>
          <w:p>
            <w:pPr>
              <w:spacing w:after="0"/>
              <w:rPr>
                <w:sz w:val="1"/>
                <w:szCs w:val="1"/>
                <w:color w:val="auto"/>
              </w:rPr>
            </w:pPr>
          </w:p>
        </w:tc>
      </w:tr>
      <w:tr>
        <w:trPr>
          <w:trHeight w:val="179"/>
        </w:trPr>
        <w:tc>
          <w:tcPr>
            <w:tcW w:w="1660" w:type="dxa"/>
            <w:vAlign w:val="bottom"/>
            <w:tcBorders>
              <w:left w:val="single" w:sz="8" w:color="auto"/>
              <w:right w:val="single" w:sz="8" w:color="auto"/>
            </w:tcBorders>
          </w:tcPr>
          <w:p>
            <w:pPr>
              <w:spacing w:after="0"/>
              <w:rPr>
                <w:sz w:val="15"/>
                <w:szCs w:val="15"/>
                <w:color w:val="auto"/>
              </w:rPr>
            </w:pPr>
          </w:p>
        </w:tc>
        <w:tc>
          <w:tcPr>
            <w:tcW w:w="2760" w:type="dxa"/>
            <w:vAlign w:val="bottom"/>
            <w:tcBorders>
              <w:right w:val="single" w:sz="8" w:color="auto"/>
            </w:tcBorders>
            <w:vMerge w:val="continue"/>
          </w:tcPr>
          <w:p>
            <w:pPr>
              <w:spacing w:after="0"/>
              <w:rPr>
                <w:sz w:val="15"/>
                <w:szCs w:val="15"/>
                <w:color w:val="auto"/>
              </w:rPr>
            </w:pPr>
          </w:p>
        </w:tc>
        <w:tc>
          <w:tcPr>
            <w:tcW w:w="480" w:type="dxa"/>
            <w:vAlign w:val="bottom"/>
            <w:tcBorders>
              <w:right w:val="single" w:sz="8" w:color="auto"/>
            </w:tcBorders>
            <w:vMerge w:val="continue"/>
          </w:tcPr>
          <w:p>
            <w:pPr>
              <w:spacing w:after="0"/>
              <w:rPr>
                <w:sz w:val="15"/>
                <w:szCs w:val="15"/>
                <w:color w:val="auto"/>
              </w:rPr>
            </w:pPr>
          </w:p>
        </w:tc>
        <w:tc>
          <w:tcPr>
            <w:tcW w:w="2300" w:type="dxa"/>
            <w:vAlign w:val="bottom"/>
            <w:tcBorders>
              <w:right w:val="single" w:sz="8" w:color="auto"/>
            </w:tcBorders>
            <w:vMerge w:val="continue"/>
          </w:tcPr>
          <w:p>
            <w:pPr>
              <w:spacing w:after="0"/>
              <w:rPr>
                <w:sz w:val="15"/>
                <w:szCs w:val="15"/>
                <w:color w:val="auto"/>
              </w:rPr>
            </w:pPr>
          </w:p>
        </w:tc>
        <w:tc>
          <w:tcPr>
            <w:tcW w:w="0" w:type="dxa"/>
            <w:vAlign w:val="bottom"/>
          </w:tcPr>
          <w:p>
            <w:pPr>
              <w:spacing w:after="0"/>
              <w:rPr>
                <w:sz w:val="1"/>
                <w:szCs w:val="1"/>
                <w:color w:val="auto"/>
              </w:rPr>
            </w:pPr>
          </w:p>
        </w:tc>
      </w:tr>
      <w:tr>
        <w:trPr>
          <w:trHeight w:val="48"/>
        </w:trPr>
        <w:tc>
          <w:tcPr>
            <w:tcW w:w="1660" w:type="dxa"/>
            <w:vAlign w:val="bottom"/>
            <w:tcBorders>
              <w:left w:val="single" w:sz="8" w:color="auto"/>
              <w:bottom w:val="single" w:sz="8" w:color="auto"/>
              <w:right w:val="single" w:sz="8" w:color="auto"/>
            </w:tcBorders>
          </w:tcPr>
          <w:p>
            <w:pPr>
              <w:spacing w:after="0"/>
              <w:rPr>
                <w:sz w:val="4"/>
                <w:szCs w:val="4"/>
                <w:color w:val="auto"/>
              </w:rPr>
            </w:pPr>
          </w:p>
        </w:tc>
        <w:tc>
          <w:tcPr>
            <w:tcW w:w="2760" w:type="dxa"/>
            <w:vAlign w:val="bottom"/>
            <w:tcBorders>
              <w:bottom w:val="single" w:sz="8" w:color="auto"/>
              <w:right w:val="single" w:sz="8" w:color="auto"/>
            </w:tcBorders>
          </w:tcPr>
          <w:p>
            <w:pPr>
              <w:spacing w:after="0"/>
              <w:rPr>
                <w:sz w:val="4"/>
                <w:szCs w:val="4"/>
                <w:color w:val="auto"/>
              </w:rPr>
            </w:pPr>
          </w:p>
        </w:tc>
        <w:tc>
          <w:tcPr>
            <w:tcW w:w="480" w:type="dxa"/>
            <w:vAlign w:val="bottom"/>
            <w:tcBorders>
              <w:bottom w:val="single" w:sz="8" w:color="auto"/>
              <w:right w:val="single" w:sz="8" w:color="auto"/>
            </w:tcBorders>
          </w:tcPr>
          <w:p>
            <w:pPr>
              <w:spacing w:after="0"/>
              <w:rPr>
                <w:sz w:val="4"/>
                <w:szCs w:val="4"/>
                <w:color w:val="auto"/>
              </w:rPr>
            </w:pPr>
          </w:p>
        </w:tc>
        <w:tc>
          <w:tcPr>
            <w:tcW w:w="230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82"/>
        </w:trPr>
        <w:tc>
          <w:tcPr>
            <w:tcW w:w="1660" w:type="dxa"/>
            <w:vAlign w:val="bottom"/>
            <w:tcBorders>
              <w:left w:val="single" w:sz="8" w:color="auto"/>
              <w:right w:val="single" w:sz="8" w:color="auto"/>
            </w:tcBorders>
          </w:tcPr>
          <w:p>
            <w:pPr>
              <w:spacing w:after="0"/>
              <w:rPr>
                <w:sz w:val="24"/>
                <w:szCs w:val="24"/>
                <w:color w:val="auto"/>
              </w:rPr>
            </w:pPr>
          </w:p>
        </w:tc>
        <w:tc>
          <w:tcPr>
            <w:tcW w:w="276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7"/>
                <w:szCs w:val="17"/>
                <w:color w:val="auto"/>
              </w:rPr>
              <w:t>Nevado de Toluca, Estado de México</w:t>
            </w:r>
          </w:p>
        </w:tc>
        <w:tc>
          <w:tcPr>
            <w:tcW w:w="48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7"/>
                <w:szCs w:val="17"/>
                <w:color w:val="auto"/>
              </w:rPr>
              <w:t>20</w:t>
            </w:r>
          </w:p>
        </w:tc>
        <w:tc>
          <w:tcPr>
            <w:tcW w:w="230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7"/>
                <w:szCs w:val="17"/>
                <w:color w:val="auto"/>
              </w:rPr>
              <w:t>2-2(10), 2-1(5) y 1-1(5)</w:t>
            </w:r>
          </w:p>
        </w:tc>
        <w:tc>
          <w:tcPr>
            <w:tcW w:w="0" w:type="dxa"/>
            <w:vAlign w:val="bottom"/>
          </w:tcPr>
          <w:p>
            <w:pPr>
              <w:spacing w:after="0"/>
              <w:rPr>
                <w:sz w:val="1"/>
                <w:szCs w:val="1"/>
                <w:color w:val="auto"/>
              </w:rPr>
            </w:pPr>
          </w:p>
        </w:tc>
      </w:tr>
      <w:tr>
        <w:trPr>
          <w:trHeight w:val="48"/>
        </w:trPr>
        <w:tc>
          <w:tcPr>
            <w:tcW w:w="1660" w:type="dxa"/>
            <w:vAlign w:val="bottom"/>
            <w:tcBorders>
              <w:left w:val="single" w:sz="8" w:color="auto"/>
              <w:right w:val="single" w:sz="8" w:color="auto"/>
            </w:tcBorders>
          </w:tcPr>
          <w:p>
            <w:pPr>
              <w:spacing w:after="0"/>
              <w:rPr>
                <w:sz w:val="4"/>
                <w:szCs w:val="4"/>
                <w:color w:val="auto"/>
              </w:rPr>
            </w:pPr>
          </w:p>
        </w:tc>
        <w:tc>
          <w:tcPr>
            <w:tcW w:w="2760" w:type="dxa"/>
            <w:vAlign w:val="bottom"/>
            <w:tcBorders>
              <w:bottom w:val="single" w:sz="8" w:color="auto"/>
              <w:right w:val="single" w:sz="8" w:color="auto"/>
            </w:tcBorders>
          </w:tcPr>
          <w:p>
            <w:pPr>
              <w:spacing w:after="0"/>
              <w:rPr>
                <w:sz w:val="4"/>
                <w:szCs w:val="4"/>
                <w:color w:val="auto"/>
              </w:rPr>
            </w:pPr>
          </w:p>
        </w:tc>
        <w:tc>
          <w:tcPr>
            <w:tcW w:w="480" w:type="dxa"/>
            <w:vAlign w:val="bottom"/>
            <w:tcBorders>
              <w:bottom w:val="single" w:sz="8" w:color="auto"/>
              <w:right w:val="single" w:sz="8" w:color="auto"/>
            </w:tcBorders>
          </w:tcPr>
          <w:p>
            <w:pPr>
              <w:spacing w:after="0"/>
              <w:rPr>
                <w:sz w:val="4"/>
                <w:szCs w:val="4"/>
                <w:color w:val="auto"/>
              </w:rPr>
            </w:pPr>
          </w:p>
        </w:tc>
        <w:tc>
          <w:tcPr>
            <w:tcW w:w="230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82"/>
        </w:trPr>
        <w:tc>
          <w:tcPr>
            <w:tcW w:w="1660" w:type="dxa"/>
            <w:vAlign w:val="bottom"/>
            <w:tcBorders>
              <w:left w:val="single" w:sz="8" w:color="auto"/>
              <w:right w:val="single" w:sz="8" w:color="auto"/>
            </w:tcBorders>
            <w:vMerge w:val="restart"/>
          </w:tcPr>
          <w:p>
            <w:pPr>
              <w:ind w:left="120"/>
              <w:spacing w:after="0"/>
              <w:rPr>
                <w:sz w:val="20"/>
                <w:szCs w:val="20"/>
                <w:color w:val="auto"/>
              </w:rPr>
            </w:pPr>
            <w:r>
              <w:rPr>
                <w:rFonts w:ascii="Times New Roman" w:cs="Times New Roman" w:eastAsia="Times New Roman" w:hAnsi="Times New Roman"/>
                <w:sz w:val="17"/>
                <w:szCs w:val="17"/>
                <w:i w:val="1"/>
                <w:iCs w:val="1"/>
                <w:color w:val="auto"/>
                <w:w w:val="96"/>
              </w:rPr>
              <w:t>Sceloporus bicanthalis</w:t>
            </w:r>
          </w:p>
        </w:tc>
        <w:tc>
          <w:tcPr>
            <w:tcW w:w="276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7"/>
                <w:szCs w:val="17"/>
                <w:color w:val="auto"/>
              </w:rPr>
              <w:t>Las Vigas, Veracruz</w:t>
            </w:r>
          </w:p>
        </w:tc>
        <w:tc>
          <w:tcPr>
            <w:tcW w:w="48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7"/>
                <w:szCs w:val="17"/>
                <w:color w:val="auto"/>
              </w:rPr>
              <w:t>10</w:t>
            </w:r>
          </w:p>
        </w:tc>
        <w:tc>
          <w:tcPr>
            <w:tcW w:w="230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7"/>
                <w:szCs w:val="17"/>
                <w:color w:val="auto"/>
              </w:rPr>
              <w:t>2-2(6), 2-1(1),1-2(1) y 1-1(2)</w:t>
            </w:r>
          </w:p>
        </w:tc>
        <w:tc>
          <w:tcPr>
            <w:tcW w:w="0" w:type="dxa"/>
            <w:vAlign w:val="bottom"/>
          </w:tcPr>
          <w:p>
            <w:pPr>
              <w:spacing w:after="0"/>
              <w:rPr>
                <w:sz w:val="1"/>
                <w:szCs w:val="1"/>
                <w:color w:val="auto"/>
              </w:rPr>
            </w:pPr>
          </w:p>
        </w:tc>
      </w:tr>
      <w:tr>
        <w:trPr>
          <w:trHeight w:val="48"/>
        </w:trPr>
        <w:tc>
          <w:tcPr>
            <w:tcW w:w="1660" w:type="dxa"/>
            <w:vAlign w:val="bottom"/>
            <w:tcBorders>
              <w:left w:val="single" w:sz="8" w:color="auto"/>
              <w:right w:val="single" w:sz="8" w:color="auto"/>
            </w:tcBorders>
            <w:vMerge w:val="continue"/>
          </w:tcPr>
          <w:p>
            <w:pPr>
              <w:spacing w:after="0"/>
              <w:rPr>
                <w:sz w:val="4"/>
                <w:szCs w:val="4"/>
                <w:color w:val="auto"/>
              </w:rPr>
            </w:pPr>
          </w:p>
        </w:tc>
        <w:tc>
          <w:tcPr>
            <w:tcW w:w="2760" w:type="dxa"/>
            <w:vAlign w:val="bottom"/>
            <w:tcBorders>
              <w:bottom w:val="single" w:sz="8" w:color="auto"/>
              <w:right w:val="single" w:sz="8" w:color="auto"/>
            </w:tcBorders>
          </w:tcPr>
          <w:p>
            <w:pPr>
              <w:spacing w:after="0"/>
              <w:rPr>
                <w:sz w:val="4"/>
                <w:szCs w:val="4"/>
                <w:color w:val="auto"/>
              </w:rPr>
            </w:pPr>
          </w:p>
        </w:tc>
        <w:tc>
          <w:tcPr>
            <w:tcW w:w="480" w:type="dxa"/>
            <w:vAlign w:val="bottom"/>
            <w:tcBorders>
              <w:bottom w:val="single" w:sz="8" w:color="auto"/>
              <w:right w:val="single" w:sz="8" w:color="auto"/>
            </w:tcBorders>
          </w:tcPr>
          <w:p>
            <w:pPr>
              <w:spacing w:after="0"/>
              <w:rPr>
                <w:sz w:val="4"/>
                <w:szCs w:val="4"/>
                <w:color w:val="auto"/>
              </w:rPr>
            </w:pPr>
          </w:p>
        </w:tc>
        <w:tc>
          <w:tcPr>
            <w:tcW w:w="230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103"/>
        </w:trPr>
        <w:tc>
          <w:tcPr>
            <w:tcW w:w="1660" w:type="dxa"/>
            <w:vAlign w:val="bottom"/>
            <w:tcBorders>
              <w:left w:val="single" w:sz="8" w:color="auto"/>
              <w:right w:val="single" w:sz="8" w:color="auto"/>
            </w:tcBorders>
            <w:vMerge w:val="continue"/>
          </w:tcPr>
          <w:p>
            <w:pPr>
              <w:spacing w:after="0"/>
              <w:rPr>
                <w:sz w:val="8"/>
                <w:szCs w:val="8"/>
                <w:color w:val="auto"/>
              </w:rPr>
            </w:pPr>
          </w:p>
        </w:tc>
        <w:tc>
          <w:tcPr>
            <w:tcW w:w="2760" w:type="dxa"/>
            <w:vAlign w:val="bottom"/>
            <w:tcBorders>
              <w:right w:val="single" w:sz="8" w:color="auto"/>
            </w:tcBorders>
            <w:vMerge w:val="restart"/>
          </w:tcPr>
          <w:p>
            <w:pPr>
              <w:ind w:left="100"/>
              <w:spacing w:after="0"/>
              <w:rPr>
                <w:sz w:val="20"/>
                <w:szCs w:val="20"/>
                <w:color w:val="auto"/>
              </w:rPr>
            </w:pPr>
            <w:r>
              <w:rPr>
                <w:rFonts w:ascii="Times New Roman" w:cs="Times New Roman" w:eastAsia="Times New Roman" w:hAnsi="Times New Roman"/>
                <w:sz w:val="17"/>
                <w:szCs w:val="17"/>
                <w:color w:val="auto"/>
              </w:rPr>
              <w:t>Nopalillo, Hidalgo</w:t>
            </w:r>
          </w:p>
        </w:tc>
        <w:tc>
          <w:tcPr>
            <w:tcW w:w="480" w:type="dxa"/>
            <w:vAlign w:val="bottom"/>
            <w:tcBorders>
              <w:right w:val="single" w:sz="8" w:color="auto"/>
            </w:tcBorders>
            <w:vMerge w:val="restart"/>
          </w:tcPr>
          <w:p>
            <w:pPr>
              <w:ind w:left="100"/>
              <w:spacing w:after="0"/>
              <w:rPr>
                <w:sz w:val="20"/>
                <w:szCs w:val="20"/>
                <w:color w:val="auto"/>
              </w:rPr>
            </w:pPr>
            <w:r>
              <w:rPr>
                <w:rFonts w:ascii="Times New Roman" w:cs="Times New Roman" w:eastAsia="Times New Roman" w:hAnsi="Times New Roman"/>
                <w:sz w:val="17"/>
                <w:szCs w:val="17"/>
                <w:color w:val="auto"/>
              </w:rPr>
              <w:t>20</w:t>
            </w:r>
          </w:p>
        </w:tc>
        <w:tc>
          <w:tcPr>
            <w:tcW w:w="2300" w:type="dxa"/>
            <w:vAlign w:val="bottom"/>
            <w:tcBorders>
              <w:right w:val="single" w:sz="8" w:color="auto"/>
            </w:tcBorders>
            <w:vMerge w:val="restart"/>
          </w:tcPr>
          <w:p>
            <w:pPr>
              <w:ind w:left="100"/>
              <w:spacing w:after="0"/>
              <w:rPr>
                <w:sz w:val="20"/>
                <w:szCs w:val="20"/>
                <w:color w:val="auto"/>
              </w:rPr>
            </w:pPr>
            <w:r>
              <w:rPr>
                <w:rFonts w:ascii="Times New Roman" w:cs="Times New Roman" w:eastAsia="Times New Roman" w:hAnsi="Times New Roman"/>
                <w:sz w:val="17"/>
                <w:szCs w:val="17"/>
                <w:color w:val="auto"/>
              </w:rPr>
              <w:t>2-2(7), 2-1(2), 1-2(7) y 1-1(4)</w:t>
            </w:r>
          </w:p>
        </w:tc>
        <w:tc>
          <w:tcPr>
            <w:tcW w:w="0" w:type="dxa"/>
            <w:vAlign w:val="bottom"/>
          </w:tcPr>
          <w:p>
            <w:pPr>
              <w:spacing w:after="0"/>
              <w:rPr>
                <w:sz w:val="1"/>
                <w:szCs w:val="1"/>
                <w:color w:val="auto"/>
              </w:rPr>
            </w:pPr>
          </w:p>
        </w:tc>
      </w:tr>
      <w:tr>
        <w:trPr>
          <w:trHeight w:val="179"/>
        </w:trPr>
        <w:tc>
          <w:tcPr>
            <w:tcW w:w="1660" w:type="dxa"/>
            <w:vAlign w:val="bottom"/>
            <w:tcBorders>
              <w:left w:val="single" w:sz="8" w:color="auto"/>
              <w:right w:val="single" w:sz="8" w:color="auto"/>
            </w:tcBorders>
          </w:tcPr>
          <w:p>
            <w:pPr>
              <w:spacing w:after="0"/>
              <w:rPr>
                <w:sz w:val="15"/>
                <w:szCs w:val="15"/>
                <w:color w:val="auto"/>
              </w:rPr>
            </w:pPr>
          </w:p>
        </w:tc>
        <w:tc>
          <w:tcPr>
            <w:tcW w:w="2760" w:type="dxa"/>
            <w:vAlign w:val="bottom"/>
            <w:tcBorders>
              <w:right w:val="single" w:sz="8" w:color="auto"/>
            </w:tcBorders>
            <w:vMerge w:val="continue"/>
          </w:tcPr>
          <w:p>
            <w:pPr>
              <w:spacing w:after="0"/>
              <w:rPr>
                <w:sz w:val="15"/>
                <w:szCs w:val="15"/>
                <w:color w:val="auto"/>
              </w:rPr>
            </w:pPr>
          </w:p>
        </w:tc>
        <w:tc>
          <w:tcPr>
            <w:tcW w:w="480" w:type="dxa"/>
            <w:vAlign w:val="bottom"/>
            <w:tcBorders>
              <w:right w:val="single" w:sz="8" w:color="auto"/>
            </w:tcBorders>
            <w:vMerge w:val="continue"/>
          </w:tcPr>
          <w:p>
            <w:pPr>
              <w:spacing w:after="0"/>
              <w:rPr>
                <w:sz w:val="15"/>
                <w:szCs w:val="15"/>
                <w:color w:val="auto"/>
              </w:rPr>
            </w:pPr>
          </w:p>
        </w:tc>
        <w:tc>
          <w:tcPr>
            <w:tcW w:w="2300" w:type="dxa"/>
            <w:vAlign w:val="bottom"/>
            <w:tcBorders>
              <w:right w:val="single" w:sz="8" w:color="auto"/>
            </w:tcBorders>
            <w:vMerge w:val="continue"/>
          </w:tcPr>
          <w:p>
            <w:pPr>
              <w:spacing w:after="0"/>
              <w:rPr>
                <w:sz w:val="15"/>
                <w:szCs w:val="15"/>
                <w:color w:val="auto"/>
              </w:rPr>
            </w:pPr>
          </w:p>
        </w:tc>
        <w:tc>
          <w:tcPr>
            <w:tcW w:w="0" w:type="dxa"/>
            <w:vAlign w:val="bottom"/>
          </w:tcPr>
          <w:p>
            <w:pPr>
              <w:spacing w:after="0"/>
              <w:rPr>
                <w:sz w:val="1"/>
                <w:szCs w:val="1"/>
                <w:color w:val="auto"/>
              </w:rPr>
            </w:pPr>
          </w:p>
        </w:tc>
      </w:tr>
      <w:tr>
        <w:trPr>
          <w:trHeight w:val="48"/>
        </w:trPr>
        <w:tc>
          <w:tcPr>
            <w:tcW w:w="1660" w:type="dxa"/>
            <w:vAlign w:val="bottom"/>
            <w:tcBorders>
              <w:left w:val="single" w:sz="8" w:color="auto"/>
              <w:right w:val="single" w:sz="8" w:color="auto"/>
            </w:tcBorders>
          </w:tcPr>
          <w:p>
            <w:pPr>
              <w:spacing w:after="0"/>
              <w:rPr>
                <w:sz w:val="4"/>
                <w:szCs w:val="4"/>
                <w:color w:val="auto"/>
              </w:rPr>
            </w:pPr>
          </w:p>
        </w:tc>
        <w:tc>
          <w:tcPr>
            <w:tcW w:w="2760" w:type="dxa"/>
            <w:vAlign w:val="bottom"/>
            <w:tcBorders>
              <w:bottom w:val="single" w:sz="8" w:color="auto"/>
              <w:right w:val="single" w:sz="8" w:color="auto"/>
            </w:tcBorders>
          </w:tcPr>
          <w:p>
            <w:pPr>
              <w:spacing w:after="0"/>
              <w:rPr>
                <w:sz w:val="4"/>
                <w:szCs w:val="4"/>
                <w:color w:val="auto"/>
              </w:rPr>
            </w:pPr>
          </w:p>
        </w:tc>
        <w:tc>
          <w:tcPr>
            <w:tcW w:w="480" w:type="dxa"/>
            <w:vAlign w:val="bottom"/>
            <w:tcBorders>
              <w:bottom w:val="single" w:sz="8" w:color="auto"/>
              <w:right w:val="single" w:sz="8" w:color="auto"/>
            </w:tcBorders>
          </w:tcPr>
          <w:p>
            <w:pPr>
              <w:spacing w:after="0"/>
              <w:rPr>
                <w:sz w:val="4"/>
                <w:szCs w:val="4"/>
                <w:color w:val="auto"/>
              </w:rPr>
            </w:pPr>
          </w:p>
        </w:tc>
        <w:tc>
          <w:tcPr>
            <w:tcW w:w="230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82"/>
        </w:trPr>
        <w:tc>
          <w:tcPr>
            <w:tcW w:w="1660" w:type="dxa"/>
            <w:vAlign w:val="bottom"/>
            <w:tcBorders>
              <w:left w:val="single" w:sz="8" w:color="auto"/>
              <w:right w:val="single" w:sz="8" w:color="auto"/>
            </w:tcBorders>
          </w:tcPr>
          <w:p>
            <w:pPr>
              <w:spacing w:after="0"/>
              <w:rPr>
                <w:sz w:val="24"/>
                <w:szCs w:val="24"/>
                <w:color w:val="auto"/>
              </w:rPr>
            </w:pPr>
          </w:p>
        </w:tc>
        <w:tc>
          <w:tcPr>
            <w:tcW w:w="276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7"/>
                <w:szCs w:val="17"/>
                <w:color w:val="auto"/>
              </w:rPr>
              <w:t>Perote, Veracruz</w:t>
            </w:r>
          </w:p>
        </w:tc>
        <w:tc>
          <w:tcPr>
            <w:tcW w:w="48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7"/>
                <w:szCs w:val="17"/>
                <w:color w:val="auto"/>
              </w:rPr>
              <w:t>6</w:t>
            </w:r>
          </w:p>
        </w:tc>
        <w:tc>
          <w:tcPr>
            <w:tcW w:w="2300" w:type="dxa"/>
            <w:vAlign w:val="bottom"/>
            <w:tcBorders>
              <w:right w:val="single" w:sz="8" w:color="auto"/>
            </w:tcBorders>
          </w:tcPr>
          <w:p>
            <w:pPr>
              <w:ind w:left="100"/>
              <w:spacing w:after="0"/>
              <w:rPr>
                <w:sz w:val="20"/>
                <w:szCs w:val="20"/>
                <w:color w:val="auto"/>
              </w:rPr>
            </w:pPr>
            <w:r>
              <w:rPr>
                <w:rFonts w:ascii="Times New Roman" w:cs="Times New Roman" w:eastAsia="Times New Roman" w:hAnsi="Times New Roman"/>
                <w:sz w:val="17"/>
                <w:szCs w:val="17"/>
                <w:color w:val="auto"/>
              </w:rPr>
              <w:t>2-2(4), 2-1(1) y 1-2(1)</w:t>
            </w:r>
          </w:p>
        </w:tc>
        <w:tc>
          <w:tcPr>
            <w:tcW w:w="0" w:type="dxa"/>
            <w:vAlign w:val="bottom"/>
          </w:tcPr>
          <w:p>
            <w:pPr>
              <w:spacing w:after="0"/>
              <w:rPr>
                <w:sz w:val="1"/>
                <w:szCs w:val="1"/>
                <w:color w:val="auto"/>
              </w:rPr>
            </w:pPr>
          </w:p>
        </w:tc>
      </w:tr>
      <w:tr>
        <w:trPr>
          <w:trHeight w:val="48"/>
        </w:trPr>
        <w:tc>
          <w:tcPr>
            <w:tcW w:w="1660" w:type="dxa"/>
            <w:vAlign w:val="bottom"/>
            <w:tcBorders>
              <w:left w:val="single" w:sz="8" w:color="auto"/>
              <w:bottom w:val="single" w:sz="8" w:color="auto"/>
              <w:right w:val="single" w:sz="8" w:color="auto"/>
            </w:tcBorders>
          </w:tcPr>
          <w:p>
            <w:pPr>
              <w:spacing w:after="0"/>
              <w:rPr>
                <w:sz w:val="4"/>
                <w:szCs w:val="4"/>
                <w:color w:val="auto"/>
              </w:rPr>
            </w:pPr>
          </w:p>
        </w:tc>
        <w:tc>
          <w:tcPr>
            <w:tcW w:w="2760" w:type="dxa"/>
            <w:vAlign w:val="bottom"/>
            <w:tcBorders>
              <w:bottom w:val="single" w:sz="8" w:color="auto"/>
              <w:right w:val="single" w:sz="8" w:color="auto"/>
            </w:tcBorders>
          </w:tcPr>
          <w:p>
            <w:pPr>
              <w:spacing w:after="0"/>
              <w:rPr>
                <w:sz w:val="4"/>
                <w:szCs w:val="4"/>
                <w:color w:val="auto"/>
              </w:rPr>
            </w:pPr>
          </w:p>
        </w:tc>
        <w:tc>
          <w:tcPr>
            <w:tcW w:w="480" w:type="dxa"/>
            <w:vAlign w:val="bottom"/>
            <w:tcBorders>
              <w:bottom w:val="single" w:sz="8" w:color="auto"/>
              <w:right w:val="single" w:sz="8" w:color="auto"/>
            </w:tcBorders>
          </w:tcPr>
          <w:p>
            <w:pPr>
              <w:spacing w:after="0"/>
              <w:rPr>
                <w:sz w:val="4"/>
                <w:szCs w:val="4"/>
                <w:color w:val="auto"/>
              </w:rPr>
            </w:pPr>
          </w:p>
        </w:tc>
        <w:tc>
          <w:tcPr>
            <w:tcW w:w="230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bl>
    <w:p>
      <w:pPr>
        <w:spacing w:after="0" w:line="163" w:lineRule="exact"/>
        <w:rPr>
          <w:sz w:val="20"/>
          <w:szCs w:val="20"/>
          <w:color w:val="auto"/>
        </w:rPr>
      </w:pPr>
    </w:p>
    <w:p>
      <w:pPr>
        <w:jc w:val="both"/>
        <w:spacing w:after="0" w:line="286" w:lineRule="auto"/>
        <w:rPr>
          <w:sz w:val="20"/>
          <w:szCs w:val="20"/>
          <w:color w:val="auto"/>
        </w:rPr>
      </w:pPr>
      <w:r>
        <w:rPr>
          <w:rFonts w:ascii="Times New Roman" w:cs="Times New Roman" w:eastAsia="Times New Roman" w:hAnsi="Times New Roman"/>
          <w:sz w:val="16"/>
          <w:szCs w:val="16"/>
          <w:color w:val="auto"/>
        </w:rPr>
        <w:t>Nota: entre paréntesis el número de ejemplares (</w:t>
      </w:r>
      <w:r>
        <w:rPr>
          <w:rFonts w:ascii="Times New Roman" w:cs="Times New Roman" w:eastAsia="Times New Roman" w:hAnsi="Times New Roman"/>
          <w:sz w:val="16"/>
          <w:szCs w:val="16"/>
          <w:i w:val="1"/>
          <w:iCs w:val="1"/>
          <w:color w:val="auto"/>
        </w:rPr>
        <w:t>n</w:t>
      </w:r>
      <w:r>
        <w:rPr>
          <w:rFonts w:ascii="Times New Roman" w:cs="Times New Roman" w:eastAsia="Times New Roman" w:hAnsi="Times New Roman"/>
          <w:sz w:val="16"/>
          <w:szCs w:val="16"/>
          <w:color w:val="auto"/>
        </w:rPr>
        <w:t>) de cada población que presentaron las diferentes combinaciones de escamas.</w:t>
      </w:r>
    </w:p>
    <w:p>
      <w:pPr>
        <w:spacing w:after="0" w:line="2" w:lineRule="exact"/>
        <w:rPr>
          <w:sz w:val="20"/>
          <w:szCs w:val="20"/>
          <w:color w:val="auto"/>
        </w:rPr>
      </w:pPr>
    </w:p>
    <w:p>
      <w:pPr>
        <w:spacing w:after="0"/>
        <w:rPr>
          <w:sz w:val="20"/>
          <w:szCs w:val="20"/>
          <w:color w:val="auto"/>
        </w:rPr>
      </w:pPr>
      <w:r>
        <w:rPr>
          <w:rFonts w:ascii="Times New Roman" w:cs="Times New Roman" w:eastAsia="Times New Roman" w:hAnsi="Times New Roman"/>
          <w:sz w:val="16"/>
          <w:szCs w:val="16"/>
          <w:color w:val="auto"/>
        </w:rPr>
        <w:t>Fuente: Galindo, 2011.</w:t>
      </w:r>
    </w:p>
    <w:p>
      <w:pPr>
        <w:spacing w:after="0" w:line="200" w:lineRule="exact"/>
        <w:rPr>
          <w:sz w:val="20"/>
          <w:szCs w:val="20"/>
          <w:color w:val="auto"/>
        </w:rPr>
      </w:pPr>
    </w:p>
    <w:p>
      <w:pPr>
        <w:spacing w:after="0" w:line="301"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Discusión</w:t>
      </w:r>
    </w:p>
    <w:p>
      <w:pPr>
        <w:spacing w:after="0" w:line="387" w:lineRule="exact"/>
        <w:rPr>
          <w:sz w:val="20"/>
          <w:szCs w:val="20"/>
          <w:color w:val="auto"/>
        </w:rPr>
      </w:pPr>
    </w:p>
    <w:p>
      <w:pPr>
        <w:jc w:val="both"/>
        <w:spacing w:after="0" w:line="325" w:lineRule="auto"/>
        <w:rPr>
          <w:sz w:val="20"/>
          <w:szCs w:val="20"/>
          <w:color w:val="auto"/>
        </w:rPr>
      </w:pPr>
      <w:r>
        <w:rPr>
          <w:rFonts w:ascii="Times New Roman" w:cs="Times New Roman" w:eastAsia="Times New Roman" w:hAnsi="Times New Roman"/>
          <w:sz w:val="21"/>
          <w:szCs w:val="21"/>
          <w:color w:val="auto"/>
        </w:rPr>
        <w:t xml:space="preserve">En estudios anteriores se sugiere que la morfología de </w:t>
      </w:r>
      <w:r>
        <w:rPr>
          <w:rFonts w:ascii="Times New Roman" w:cs="Times New Roman" w:eastAsia="Times New Roman" w:hAnsi="Times New Roman"/>
          <w:sz w:val="21"/>
          <w:szCs w:val="21"/>
          <w:i w:val="1"/>
          <w:iCs w:val="1"/>
          <w:color w:val="auto"/>
        </w:rPr>
        <w:t>S. aeneus</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S. bicanthalis</w:t>
      </w:r>
      <w:r>
        <w:rPr>
          <w:rFonts w:ascii="Times New Roman" w:cs="Times New Roman" w:eastAsia="Times New Roman" w:hAnsi="Times New Roman"/>
          <w:sz w:val="21"/>
          <w:szCs w:val="21"/>
          <w:color w:val="auto"/>
        </w:rPr>
        <w:t xml:space="preserve"> es definida por factores históricos como el aislamiento geográfico, las relaciones de parentesco (Mink y Sites, 1996; Benabib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1997) y, en consecuencia, el tipo de paridad (Guillette, 1981); no obstante, son similares morfológicamente (Smith, 1939), por lo que las diferencias morfométricas cefálicas encontradas en el presente estudio están probablemente asociadas a procesos como la alimentación y el uso de</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22"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146" w:name="page147"/>
    <w:bookmarkEnd w:id="146"/>
    <w:p>
      <w:pPr>
        <w:spacing w:after="0"/>
        <w:tabs>
          <w:tab w:leader="none" w:pos="2160" w:val="left"/>
          <w:tab w:leader="none" w:pos="2900" w:val="left"/>
          <w:tab w:leader="none" w:pos="4080" w:val="left"/>
        </w:tabs>
        <w:rPr>
          <w:sz w:val="20"/>
          <w:szCs w:val="20"/>
          <w:color w:val="auto"/>
        </w:rPr>
      </w:pPr>
      <w:r>
        <w:rPr>
          <w:rFonts w:ascii="Arial Narrow" w:cs="Arial Narrow" w:eastAsia="Arial Narrow" w:hAnsi="Arial Narrow"/>
          <w:sz w:val="16"/>
          <w:szCs w:val="16"/>
          <w:color w:val="auto"/>
        </w:rPr>
        <w:t>146</w:t>
      </w:r>
      <w:r>
        <w:rPr>
          <w:sz w:val="20"/>
          <w:szCs w:val="20"/>
          <w:color w:val="auto"/>
        </w:rPr>
        <w:tab/>
      </w:r>
      <w:r>
        <w:rPr>
          <w:rFonts w:ascii="Arial Narrow" w:cs="Arial Narrow" w:eastAsia="Arial Narrow" w:hAnsi="Arial Narrow"/>
          <w:sz w:val="11"/>
          <w:szCs w:val="11"/>
          <w:color w:val="auto"/>
        </w:rPr>
        <w:t>galindo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gil</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1822450</wp:posOffset>
                </wp:positionH>
                <wp:positionV relativeFrom="paragraph">
                  <wp:posOffset>-76835</wp:posOffset>
                </wp:positionV>
                <wp:extent cx="0" cy="88900"/>
                <wp:wrapNone/>
                <wp:docPr id="373" name="Shape 37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73" o:spid="_x0000_s139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3.5pt,-6.0499pt" to="143.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2566035</wp:posOffset>
                </wp:positionH>
                <wp:positionV relativeFrom="paragraph">
                  <wp:posOffset>-76835</wp:posOffset>
                </wp:positionV>
                <wp:extent cx="0" cy="88900"/>
                <wp:wrapNone/>
                <wp:docPr id="374" name="Shape 37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74" o:spid="_x0000_s139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2.05pt,-6.0499pt" to="202.05pt,0.95pt" o:allowincell="f" strokecolor="#000000" strokeweight="0.4pt"/>
            </w:pict>
          </mc:Fallback>
        </mc:AlternateContent>
      </w:r>
    </w:p>
    <w:p>
      <w:pPr>
        <w:spacing w:after="0" w:line="347"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2"/>
          <w:szCs w:val="22"/>
          <w:color w:val="auto"/>
        </w:rPr>
        <w:t xml:space="preserve">hábitat (Kohlsdorf </w:t>
      </w:r>
      <w:r>
        <w:rPr>
          <w:rFonts w:ascii="Times New Roman" w:cs="Times New Roman" w:eastAsia="Times New Roman" w:hAnsi="Times New Roman"/>
          <w:sz w:val="22"/>
          <w:szCs w:val="22"/>
          <w:i w:val="1"/>
          <w:iCs w:val="1"/>
          <w:color w:val="auto"/>
        </w:rPr>
        <w:t>et al.,</w:t>
      </w:r>
      <w:r>
        <w:rPr>
          <w:rFonts w:ascii="Times New Roman" w:cs="Times New Roman" w:eastAsia="Times New Roman" w:hAnsi="Times New Roman"/>
          <w:sz w:val="22"/>
          <w:szCs w:val="22"/>
          <w:color w:val="auto"/>
        </w:rPr>
        <w:t xml:space="preserve"> 2008), dado que </w:t>
      </w:r>
      <w:r>
        <w:rPr>
          <w:rFonts w:ascii="Times New Roman" w:cs="Times New Roman" w:eastAsia="Times New Roman" w:hAnsi="Times New Roman"/>
          <w:sz w:val="22"/>
          <w:szCs w:val="22"/>
          <w:i w:val="1"/>
          <w:iCs w:val="1"/>
          <w:color w:val="auto"/>
        </w:rPr>
        <w:t>S. aeneus</w:t>
      </w:r>
      <w:r>
        <w:rPr>
          <w:rFonts w:ascii="Times New Roman" w:cs="Times New Roman" w:eastAsia="Times New Roman" w:hAnsi="Times New Roman"/>
          <w:sz w:val="22"/>
          <w:szCs w:val="22"/>
          <w:color w:val="auto"/>
        </w:rPr>
        <w:t xml:space="preserve"> muestra una forma triangular de la cabeza, además de que las escamas parietal y parietales son más prominentes con respecto a la configuración cefálica que presenta </w:t>
      </w:r>
      <w:r>
        <w:rPr>
          <w:rFonts w:ascii="Times New Roman" w:cs="Times New Roman" w:eastAsia="Times New Roman" w:hAnsi="Times New Roman"/>
          <w:sz w:val="22"/>
          <w:szCs w:val="22"/>
          <w:i w:val="1"/>
          <w:iCs w:val="1"/>
          <w:color w:val="auto"/>
        </w:rPr>
        <w:t>S. bicanthalis,</w:t>
      </w:r>
      <w:r>
        <w:rPr>
          <w:rFonts w:ascii="Times New Roman" w:cs="Times New Roman" w:eastAsia="Times New Roman" w:hAnsi="Times New Roman"/>
          <w:sz w:val="22"/>
          <w:szCs w:val="22"/>
          <w:color w:val="auto"/>
        </w:rPr>
        <w:t xml:space="preserve"> cuya cabeza tiene forma de lanza debido a la compresión longitudinal; es posible que esto se explique por el consumo diferencial en tipo y cantidad de alimento (Stayton, 2005; Angelici </w:t>
      </w:r>
      <w:r>
        <w:rPr>
          <w:rFonts w:ascii="Times New Roman" w:cs="Times New Roman" w:eastAsia="Times New Roman" w:hAnsi="Times New Roman"/>
          <w:sz w:val="22"/>
          <w:szCs w:val="22"/>
          <w:i w:val="1"/>
          <w:iCs w:val="1"/>
          <w:color w:val="auto"/>
        </w:rPr>
        <w:t>et</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al.</w:t>
      </w:r>
      <w:r>
        <w:rPr>
          <w:rFonts w:ascii="Times New Roman" w:cs="Times New Roman" w:eastAsia="Times New Roman" w:hAnsi="Times New Roman"/>
          <w:sz w:val="22"/>
          <w:szCs w:val="22"/>
          <w:color w:val="auto"/>
        </w:rPr>
        <w:t>, 2011), que a su vez es condicionado por la diferencia altitudinal en la que habitan</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estas especies.</w:t>
      </w:r>
    </w:p>
    <w:p>
      <w:pPr>
        <w:spacing w:after="0" w:line="4" w:lineRule="exact"/>
        <w:rPr>
          <w:sz w:val="20"/>
          <w:szCs w:val="20"/>
          <w:color w:val="auto"/>
        </w:rPr>
      </w:pPr>
    </w:p>
    <w:p>
      <w:pPr>
        <w:jc w:val="both"/>
        <w:ind w:firstLine="360"/>
        <w:spacing w:after="0" w:line="333" w:lineRule="auto"/>
        <w:rPr>
          <w:sz w:val="20"/>
          <w:szCs w:val="20"/>
          <w:color w:val="auto"/>
        </w:rPr>
      </w:pPr>
      <w:r>
        <w:rPr>
          <w:rFonts w:ascii="Times New Roman" w:cs="Times New Roman" w:eastAsia="Times New Roman" w:hAnsi="Times New Roman"/>
          <w:sz w:val="20"/>
          <w:szCs w:val="20"/>
          <w:color w:val="auto"/>
        </w:rPr>
        <w:t xml:space="preserve">Además de la alimentación, otras características biológicas y ecológicas refuerzan las diferencias entre estas dos especies, ya que se ha visto que la cabeza es una estructura implicada no sólo en la alimentación, sino también en la competencia por territorio y la cópula, así como en el comportamiento antidepredador y la búsqueda de refugio (Herrel </w:t>
      </w:r>
      <w:r>
        <w:rPr>
          <w:rFonts w:ascii="Times New Roman" w:cs="Times New Roman" w:eastAsia="Times New Roman" w:hAnsi="Times New Roman"/>
          <w:sz w:val="20"/>
          <w:szCs w:val="20"/>
          <w:i w:val="1"/>
          <w:iCs w:val="1"/>
          <w:color w:val="auto"/>
        </w:rPr>
        <w:t>et al</w:t>
      </w:r>
      <w:r>
        <w:rPr>
          <w:rFonts w:ascii="Times New Roman" w:cs="Times New Roman" w:eastAsia="Times New Roman" w:hAnsi="Times New Roman"/>
          <w:sz w:val="20"/>
          <w:szCs w:val="20"/>
          <w:color w:val="auto"/>
        </w:rPr>
        <w:t>., 1996, 1999). El análisis multivariado evidencia una separación clara de las especies mostrando morfotipos bien definidos en cuanto a la forma de las escamas cefálicas, lo cual indica que estas especies pueden ser determinadas al medir las variaciones de forma en las escamas, principalmente de la parietal e interparietal.</w:t>
      </w:r>
    </w:p>
    <w:p>
      <w:pPr>
        <w:spacing w:after="0" w:line="7" w:lineRule="exact"/>
        <w:rPr>
          <w:sz w:val="20"/>
          <w:szCs w:val="20"/>
          <w:color w:val="auto"/>
        </w:rPr>
      </w:pPr>
    </w:p>
    <w:p>
      <w:pPr>
        <w:jc w:val="both"/>
        <w:ind w:firstLine="360"/>
        <w:spacing w:after="0" w:line="303" w:lineRule="auto"/>
        <w:rPr>
          <w:sz w:val="20"/>
          <w:szCs w:val="20"/>
          <w:color w:val="auto"/>
        </w:rPr>
      </w:pPr>
      <w:r>
        <w:rPr>
          <w:rFonts w:ascii="Times New Roman" w:cs="Times New Roman" w:eastAsia="Times New Roman" w:hAnsi="Times New Roman"/>
          <w:sz w:val="22"/>
          <w:szCs w:val="22"/>
          <w:color w:val="auto"/>
        </w:rPr>
        <w:t xml:space="preserve">La discrepancia que existe en cuanto al número de escamas cantales puede ser el resultado de la reciente evolución de estas especies hermanas, lo que indica que </w:t>
      </w:r>
      <w:r>
        <w:rPr>
          <w:rFonts w:ascii="Times New Roman" w:cs="Times New Roman" w:eastAsia="Times New Roman" w:hAnsi="Times New Roman"/>
          <w:sz w:val="22"/>
          <w:szCs w:val="22"/>
          <w:i w:val="1"/>
          <w:iCs w:val="1"/>
          <w:color w:val="auto"/>
        </w:rPr>
        <w:t xml:space="preserve">S. bicanthalis </w:t>
      </w:r>
      <w:r>
        <w:rPr>
          <w:rFonts w:ascii="Times New Roman" w:cs="Times New Roman" w:eastAsia="Times New Roman" w:hAnsi="Times New Roman"/>
          <w:sz w:val="22"/>
          <w:szCs w:val="22"/>
          <w:color w:val="auto"/>
        </w:rPr>
        <w:t>(especie descendiente) no se ha separado morfológicamente del todo</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de </w:t>
      </w:r>
      <w:r>
        <w:rPr>
          <w:rFonts w:ascii="Times New Roman" w:cs="Times New Roman" w:eastAsia="Times New Roman" w:hAnsi="Times New Roman"/>
          <w:sz w:val="22"/>
          <w:szCs w:val="22"/>
          <w:i w:val="1"/>
          <w:iCs w:val="1"/>
          <w:color w:val="auto"/>
        </w:rPr>
        <w:t>S. aeneus</w:t>
      </w:r>
      <w:r>
        <w:rPr>
          <w:rFonts w:ascii="Times New Roman" w:cs="Times New Roman" w:eastAsia="Times New Roman" w:hAnsi="Times New Roman"/>
          <w:sz w:val="22"/>
          <w:szCs w:val="22"/>
          <w:color w:val="auto"/>
        </w:rPr>
        <w:t xml:space="preserve"> (especie ancestral), ya que un gran porcentaje de los ejemplares que se analizaron aún presentan un par de escamas cantales al igual que su ancestro. Con base en la variación encontrada en el número de escamas cantales en </w:t>
      </w:r>
      <w:r>
        <w:rPr>
          <w:rFonts w:ascii="Times New Roman" w:cs="Times New Roman" w:eastAsia="Times New Roman" w:hAnsi="Times New Roman"/>
          <w:sz w:val="22"/>
          <w:szCs w:val="22"/>
          <w:i w:val="1"/>
          <w:iCs w:val="1"/>
          <w:color w:val="auto"/>
        </w:rPr>
        <w:t>S. bicanthalis,</w:t>
      </w:r>
      <w:r>
        <w:rPr>
          <w:rFonts w:ascii="Times New Roman" w:cs="Times New Roman" w:eastAsia="Times New Roman" w:hAnsi="Times New Roman"/>
          <w:sz w:val="22"/>
          <w:szCs w:val="22"/>
          <w:color w:val="auto"/>
        </w:rPr>
        <w:t xml:space="preserve"> se sugiere no considerarlas como carácter diagnóstico para dicha especie, lo que corrobora lo encontrado en estudios anteriores por Ríos-Rodas y Rodríguez-Romero (2008).</w:t>
      </w:r>
    </w:p>
    <w:p>
      <w:pPr>
        <w:spacing w:after="0" w:line="6" w:lineRule="exact"/>
        <w:rPr>
          <w:sz w:val="20"/>
          <w:szCs w:val="20"/>
          <w:color w:val="auto"/>
        </w:rPr>
      </w:pPr>
    </w:p>
    <w:p>
      <w:pPr>
        <w:jc w:val="both"/>
        <w:ind w:firstLine="360"/>
        <w:spacing w:after="0" w:line="324" w:lineRule="auto"/>
        <w:rPr>
          <w:sz w:val="20"/>
          <w:szCs w:val="20"/>
          <w:color w:val="auto"/>
        </w:rPr>
      </w:pPr>
      <w:r>
        <w:rPr>
          <w:rFonts w:ascii="Times New Roman" w:cs="Times New Roman" w:eastAsia="Times New Roman" w:hAnsi="Times New Roman"/>
          <w:sz w:val="21"/>
          <w:szCs w:val="21"/>
          <w:color w:val="auto"/>
        </w:rPr>
        <w:t xml:space="preserve">La morfometría geométrica fue una herramienta de gran utilidad para analizar la forma de las escamas cefálicas de estas dos especies, lo cual permitió encontrar nuevos caracteres discriminantes que definen con mayor precisión la identidad de las especies en cuestión; sin embargo, es necesario investigar las relaciones entre la forma y la biomecánica del cráneo, puesto que en otros géneros, como </w:t>
      </w:r>
      <w:r>
        <w:rPr>
          <w:rFonts w:ascii="Times New Roman" w:cs="Times New Roman" w:eastAsia="Times New Roman" w:hAnsi="Times New Roman"/>
          <w:sz w:val="21"/>
          <w:szCs w:val="21"/>
          <w:i w:val="1"/>
          <w:iCs w:val="1"/>
          <w:color w:val="auto"/>
        </w:rPr>
        <w:t>Lacerta</w:t>
      </w:r>
      <w:r>
        <w:rPr>
          <w:rFonts w:ascii="Times New Roman" w:cs="Times New Roman" w:eastAsia="Times New Roman" w:hAnsi="Times New Roman"/>
          <w:sz w:val="21"/>
          <w:szCs w:val="21"/>
          <w:color w:val="auto"/>
        </w:rPr>
        <w:t xml:space="preserve">, se ha observado una fuerte interacción estructural y biomecánica entre huesos, músculos y escamas de la región cefálica (Huyghe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xml:space="preserve"> 2009).</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42"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375" name="Shape 37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75" o:spid="_x0000_s140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376" name="Shape 37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76" o:spid="_x0000_s140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377" name="Shape 37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77" o:spid="_x0000_s140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47" w:name="page148"/>
    <w:bookmarkEnd w:id="147"/>
    <w:p>
      <w:pPr>
        <w:ind w:left="580"/>
        <w:spacing w:after="0"/>
        <w:tabs>
          <w:tab w:leader="dot" w:pos="6960" w:val="left"/>
        </w:tabs>
        <w:rPr>
          <w:sz w:val="20"/>
          <w:szCs w:val="20"/>
          <w:color w:val="auto"/>
        </w:rPr>
      </w:pPr>
      <w:r>
        <w:rPr>
          <w:rFonts w:ascii="Arial Narrow" w:cs="Arial Narrow" w:eastAsia="Arial Narrow" w:hAnsi="Arial Narrow"/>
          <w:sz w:val="11"/>
          <w:szCs w:val="11"/>
          <w:color w:val="auto"/>
        </w:rPr>
        <w:t xml:space="preserve">morfometría geométrica de las escamas cefálicas de dos especies hermanas del género </w:t>
      </w:r>
      <w:r>
        <w:rPr>
          <w:rFonts w:ascii="Arial Narrow" w:cs="Arial Narrow" w:eastAsia="Arial Narrow" w:hAnsi="Arial Narrow"/>
          <w:sz w:val="11"/>
          <w:szCs w:val="11"/>
          <w:i w:val="1"/>
          <w:iCs w:val="1"/>
          <w:color w:val="auto"/>
        </w:rPr>
        <w:t>sceloporus</w:t>
      </w:r>
      <w:r>
        <w:rPr>
          <w:sz w:val="20"/>
          <w:szCs w:val="20"/>
          <w:color w:val="auto"/>
        </w:rPr>
        <w:tab/>
      </w:r>
      <w:r>
        <w:rPr>
          <w:rFonts w:ascii="Arial Narrow" w:cs="Arial Narrow" w:eastAsia="Arial Narrow" w:hAnsi="Arial Narrow"/>
          <w:sz w:val="16"/>
          <w:szCs w:val="16"/>
          <w:color w:val="auto"/>
        </w:rPr>
        <w:t>147</w:t>
      </w:r>
    </w:p>
    <w:p>
      <w:pPr>
        <w:spacing w:after="0" w:line="200" w:lineRule="exact"/>
        <w:rPr>
          <w:sz w:val="20"/>
          <w:szCs w:val="20"/>
          <w:color w:val="auto"/>
        </w:rPr>
      </w:pPr>
    </w:p>
    <w:p>
      <w:pPr>
        <w:spacing w:after="0" w:line="34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Agradecimientos</w:t>
      </w:r>
    </w:p>
    <w:p>
      <w:pPr>
        <w:spacing w:after="0" w:line="387" w:lineRule="exact"/>
        <w:rPr>
          <w:sz w:val="20"/>
          <w:szCs w:val="20"/>
          <w:color w:val="auto"/>
        </w:rPr>
      </w:pPr>
    </w:p>
    <w:p>
      <w:pPr>
        <w:jc w:val="both"/>
        <w:spacing w:after="0" w:line="315" w:lineRule="auto"/>
        <w:rPr>
          <w:sz w:val="20"/>
          <w:szCs w:val="20"/>
          <w:color w:val="auto"/>
        </w:rPr>
      </w:pPr>
      <w:r>
        <w:rPr>
          <w:rFonts w:ascii="Times New Roman" w:cs="Times New Roman" w:eastAsia="Times New Roman" w:hAnsi="Times New Roman"/>
          <w:sz w:val="22"/>
          <w:szCs w:val="22"/>
          <w:color w:val="auto"/>
        </w:rPr>
        <w:t>A la doctora Alma S. Velázquez Rodríguez por sus acertados comentarios para la mejora de este manuscrito y al proyecto uaem 2555/2007 por el apoyo financiero para la realización del presente trabajo.</w:t>
      </w:r>
    </w:p>
    <w:p>
      <w:pPr>
        <w:spacing w:after="0" w:line="200" w:lineRule="exact"/>
        <w:rPr>
          <w:sz w:val="20"/>
          <w:szCs w:val="20"/>
          <w:color w:val="auto"/>
        </w:rPr>
      </w:pPr>
    </w:p>
    <w:p>
      <w:pPr>
        <w:spacing w:after="0" w:line="200" w:lineRule="exact"/>
        <w:rPr>
          <w:sz w:val="20"/>
          <w:szCs w:val="20"/>
          <w:color w:val="auto"/>
        </w:rPr>
      </w:pPr>
    </w:p>
    <w:p>
      <w:pPr>
        <w:spacing w:after="0" w:line="204"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Referencias</w:t>
      </w:r>
    </w:p>
    <w:p>
      <w:pPr>
        <w:spacing w:after="0" w:line="387"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Andrews, R., F. Méndez de la Cruz, M. Villagrán y F. Rodríguez (1999), “Field and select body temperatures of the lizards </w:t>
      </w:r>
      <w:r>
        <w:rPr>
          <w:rFonts w:ascii="Times New Roman" w:cs="Times New Roman" w:eastAsia="Times New Roman" w:hAnsi="Times New Roman"/>
          <w:sz w:val="22"/>
          <w:szCs w:val="22"/>
          <w:i w:val="1"/>
          <w:iCs w:val="1"/>
          <w:color w:val="auto"/>
        </w:rPr>
        <w:t>Sceloporus aeneus</w:t>
      </w:r>
      <w:r>
        <w:rPr>
          <w:rFonts w:ascii="Times New Roman" w:cs="Times New Roman" w:eastAsia="Times New Roman" w:hAnsi="Times New Roman"/>
          <w:sz w:val="22"/>
          <w:szCs w:val="22"/>
          <w:color w:val="auto"/>
        </w:rPr>
        <w:t xml:space="preserve"> and </w:t>
      </w:r>
      <w:r>
        <w:rPr>
          <w:rFonts w:ascii="Times New Roman" w:cs="Times New Roman" w:eastAsia="Times New Roman" w:hAnsi="Times New Roman"/>
          <w:sz w:val="22"/>
          <w:szCs w:val="22"/>
          <w:i w:val="1"/>
          <w:iCs w:val="1"/>
          <w:color w:val="auto"/>
        </w:rPr>
        <w:t>Sceloporus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bicanthalis</w:t>
      </w:r>
      <w:r>
        <w:rPr>
          <w:rFonts w:ascii="Times New Roman" w:cs="Times New Roman" w:eastAsia="Times New Roman" w:hAnsi="Times New Roman"/>
          <w:sz w:val="22"/>
          <w:szCs w:val="22"/>
          <w:color w:val="auto"/>
        </w:rPr>
        <w:t>”,</w:t>
      </w:r>
      <w:r>
        <w:rPr>
          <w:rFonts w:ascii="Times New Roman" w:cs="Times New Roman" w:eastAsia="Times New Roman" w:hAnsi="Times New Roman"/>
          <w:sz w:val="22"/>
          <w:szCs w:val="22"/>
          <w:i w:val="1"/>
          <w:iCs w:val="1"/>
          <w:color w:val="auto"/>
        </w:rPr>
        <w:t xml:space="preserve"> Journal of Herpetology</w:t>
      </w:r>
      <w:r>
        <w:rPr>
          <w:rFonts w:ascii="Times New Roman" w:cs="Times New Roman" w:eastAsia="Times New Roman" w:hAnsi="Times New Roman"/>
          <w:sz w:val="22"/>
          <w:szCs w:val="22"/>
          <w:color w:val="auto"/>
        </w:rPr>
        <w:t>, 1, pp. 93-100.</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Angelici, F.M., L. Liselli y L. Rugiero (2011), “Food habits of green lizard, </w:t>
      </w:r>
      <w:r>
        <w:rPr>
          <w:rFonts w:ascii="Times New Roman" w:cs="Times New Roman" w:eastAsia="Times New Roman" w:hAnsi="Times New Roman"/>
          <w:sz w:val="22"/>
          <w:szCs w:val="22"/>
          <w:i w:val="1"/>
          <w:iCs w:val="1"/>
          <w:color w:val="auto"/>
        </w:rPr>
        <w:t>Lacerta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bilineata</w:t>
      </w:r>
      <w:r>
        <w:rPr>
          <w:rFonts w:ascii="Times New Roman" w:cs="Times New Roman" w:eastAsia="Times New Roman" w:hAnsi="Times New Roman"/>
          <w:sz w:val="22"/>
          <w:szCs w:val="22"/>
          <w:color w:val="auto"/>
        </w:rPr>
        <w:t>, in central Italy and a realbility test of faecal pellet analysis”,</w:t>
      </w:r>
      <w:r>
        <w:rPr>
          <w:rFonts w:ascii="Times New Roman" w:cs="Times New Roman" w:eastAsia="Times New Roman" w:hAnsi="Times New Roman"/>
          <w:sz w:val="22"/>
          <w:szCs w:val="22"/>
          <w:i w:val="1"/>
          <w:iCs w:val="1"/>
          <w:color w:val="auto"/>
        </w:rPr>
        <w:t xml:space="preserve"> Italian Journal of Zoology, </w:t>
      </w:r>
      <w:r>
        <w:rPr>
          <w:rFonts w:ascii="Times New Roman" w:cs="Times New Roman" w:eastAsia="Times New Roman" w:hAnsi="Times New Roman"/>
          <w:sz w:val="22"/>
          <w:szCs w:val="22"/>
          <w:color w:val="auto"/>
        </w:rPr>
        <w:t>3, pp. 267-272.</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Benabib, M., K. M. Kjer y J. W. Sites Jr. (1997), “Mitochondrial dna sequence-based phlylogeny and the evolution of viviparity in the </w:t>
      </w:r>
      <w:r>
        <w:rPr>
          <w:rFonts w:ascii="Times New Roman" w:cs="Times New Roman" w:eastAsia="Times New Roman" w:hAnsi="Times New Roman"/>
          <w:sz w:val="22"/>
          <w:szCs w:val="22"/>
          <w:i w:val="1"/>
          <w:iCs w:val="1"/>
          <w:color w:val="auto"/>
        </w:rPr>
        <w:t>Sceloporus scalaris</w:t>
      </w:r>
      <w:r>
        <w:rPr>
          <w:rFonts w:ascii="Times New Roman" w:cs="Times New Roman" w:eastAsia="Times New Roman" w:hAnsi="Times New Roman"/>
          <w:sz w:val="22"/>
          <w:szCs w:val="22"/>
          <w:color w:val="auto"/>
        </w:rPr>
        <w:t xml:space="preserve"> group (Reptilia: Squamata)”, </w:t>
      </w:r>
      <w:r>
        <w:rPr>
          <w:rFonts w:ascii="Times New Roman" w:cs="Times New Roman" w:eastAsia="Times New Roman" w:hAnsi="Times New Roman"/>
          <w:sz w:val="22"/>
          <w:szCs w:val="22"/>
          <w:i w:val="1"/>
          <w:iCs w:val="1"/>
          <w:color w:val="auto"/>
        </w:rPr>
        <w:t>Evolution</w:t>
      </w:r>
      <w:r>
        <w:rPr>
          <w:rFonts w:ascii="Times New Roman" w:cs="Times New Roman" w:eastAsia="Times New Roman" w:hAnsi="Times New Roman"/>
          <w:sz w:val="22"/>
          <w:szCs w:val="22"/>
          <w:color w:val="auto"/>
        </w:rPr>
        <w:t>, 51, pp. 1262-1275.</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Bookstein, F. L. (1982), “Foundations of morphometrics”, </w:t>
      </w:r>
      <w:r>
        <w:rPr>
          <w:rFonts w:ascii="Times New Roman" w:cs="Times New Roman" w:eastAsia="Times New Roman" w:hAnsi="Times New Roman"/>
          <w:sz w:val="22"/>
          <w:szCs w:val="22"/>
          <w:i w:val="1"/>
          <w:iCs w:val="1"/>
          <w:color w:val="auto"/>
        </w:rPr>
        <w:t>Annual Review of Ecology</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and Systematics</w:t>
      </w:r>
      <w:r>
        <w:rPr>
          <w:rFonts w:ascii="Times New Roman" w:cs="Times New Roman" w:eastAsia="Times New Roman" w:hAnsi="Times New Roman"/>
          <w:sz w:val="22"/>
          <w:szCs w:val="22"/>
          <w:color w:val="auto"/>
        </w:rPr>
        <w:t>, 13, pp. 451-470.</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Bruner, E. y D. Constantini (2007), “Head morphological variation in </w:t>
      </w:r>
      <w:r>
        <w:rPr>
          <w:rFonts w:ascii="Times New Roman" w:cs="Times New Roman" w:eastAsia="Times New Roman" w:hAnsi="Times New Roman"/>
          <w:sz w:val="22"/>
          <w:szCs w:val="22"/>
          <w:i w:val="1"/>
          <w:iCs w:val="1"/>
          <w:color w:val="auto"/>
        </w:rPr>
        <w:t>Podarcis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muralis </w:t>
      </w:r>
      <w:r>
        <w:rPr>
          <w:rFonts w:ascii="Times New Roman" w:cs="Times New Roman" w:eastAsia="Times New Roman" w:hAnsi="Times New Roman"/>
          <w:sz w:val="22"/>
          <w:szCs w:val="22"/>
          <w:color w:val="auto"/>
        </w:rPr>
        <w:t>and</w:t>
      </w:r>
      <w:r>
        <w:rPr>
          <w:rFonts w:ascii="Times New Roman" w:cs="Times New Roman" w:eastAsia="Times New Roman" w:hAnsi="Times New Roman"/>
          <w:sz w:val="22"/>
          <w:szCs w:val="22"/>
          <w:i w:val="1"/>
          <w:iCs w:val="1"/>
          <w:color w:val="auto"/>
        </w:rPr>
        <w:t xml:space="preserve"> Podarcis sicula</w:t>
      </w:r>
      <w:r>
        <w:rPr>
          <w:rFonts w:ascii="Times New Roman" w:cs="Times New Roman" w:eastAsia="Times New Roman" w:hAnsi="Times New Roman"/>
          <w:sz w:val="22"/>
          <w:szCs w:val="22"/>
          <w:color w:val="auto"/>
        </w:rPr>
        <w:t>: a landmark-based approach”,</w:t>
      </w:r>
      <w:r>
        <w:rPr>
          <w:rFonts w:ascii="Times New Roman" w:cs="Times New Roman" w:eastAsia="Times New Roman" w:hAnsi="Times New Roman"/>
          <w:sz w:val="22"/>
          <w:szCs w:val="22"/>
          <w:i w:val="1"/>
          <w:iCs w:val="1"/>
          <w:color w:val="auto"/>
        </w:rPr>
        <w:t xml:space="preserve"> Amphibia-Reptilia</w:t>
      </w:r>
      <w:r>
        <w:rPr>
          <w:rFonts w:ascii="Times New Roman" w:cs="Times New Roman" w:eastAsia="Times New Roman" w:hAnsi="Times New Roman"/>
          <w:sz w:val="22"/>
          <w:szCs w:val="22"/>
          <w:color w:val="auto"/>
        </w:rPr>
        <w:t>, 28,</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pp. 566-573.</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Bruner, E. y D. Constantini (2009), “Head morphology and degree of variation in </w:t>
      </w:r>
      <w:r>
        <w:rPr>
          <w:rFonts w:ascii="Times New Roman" w:cs="Times New Roman" w:eastAsia="Times New Roman" w:hAnsi="Times New Roman"/>
          <w:sz w:val="22"/>
          <w:szCs w:val="22"/>
          <w:i w:val="1"/>
          <w:iCs w:val="1"/>
          <w:color w:val="auto"/>
        </w:rPr>
        <w:t>Lacerta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bilineata, Podarcis muralis </w:t>
      </w:r>
      <w:r>
        <w:rPr>
          <w:rFonts w:ascii="Times New Roman" w:cs="Times New Roman" w:eastAsia="Times New Roman" w:hAnsi="Times New Roman"/>
          <w:sz w:val="22"/>
          <w:szCs w:val="22"/>
          <w:color w:val="auto"/>
        </w:rPr>
        <w:t>and</w:t>
      </w:r>
      <w:r>
        <w:rPr>
          <w:rFonts w:ascii="Times New Roman" w:cs="Times New Roman" w:eastAsia="Times New Roman" w:hAnsi="Times New Roman"/>
          <w:sz w:val="22"/>
          <w:szCs w:val="22"/>
          <w:i w:val="1"/>
          <w:iCs w:val="1"/>
          <w:color w:val="auto"/>
        </w:rPr>
        <w:t xml:space="preserve"> Podarcis sicula</w:t>
      </w:r>
      <w:r>
        <w:rPr>
          <w:rFonts w:ascii="Times New Roman" w:cs="Times New Roman" w:eastAsia="Times New Roman" w:hAnsi="Times New Roman"/>
          <w:sz w:val="22"/>
          <w:szCs w:val="22"/>
          <w:color w:val="auto"/>
        </w:rPr>
        <w:t>”,</w:t>
      </w:r>
      <w:r>
        <w:rPr>
          <w:rFonts w:ascii="Times New Roman" w:cs="Times New Roman" w:eastAsia="Times New Roman" w:hAnsi="Times New Roman"/>
          <w:sz w:val="22"/>
          <w:szCs w:val="22"/>
          <w:i w:val="1"/>
          <w:iCs w:val="1"/>
          <w:color w:val="auto"/>
        </w:rPr>
        <w:t xml:space="preserve"> International Journal of Morphology, </w:t>
      </w:r>
      <w:r>
        <w:rPr>
          <w:rFonts w:ascii="Times New Roman" w:cs="Times New Roman" w:eastAsia="Times New Roman" w:hAnsi="Times New Roman"/>
          <w:sz w:val="22"/>
          <w:szCs w:val="22"/>
          <w:color w:val="auto"/>
        </w:rPr>
        <w:t>3,</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pp. 667-676.</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Bruner, E., A. Fanfani, D. Constantini y G. Dell’Omo (2005), “Morphological variation and sexual dimorphism of the cephalic scales in </w:t>
      </w:r>
      <w:r>
        <w:rPr>
          <w:rFonts w:ascii="Times New Roman" w:cs="Times New Roman" w:eastAsia="Times New Roman" w:hAnsi="Times New Roman"/>
          <w:sz w:val="22"/>
          <w:szCs w:val="22"/>
          <w:i w:val="1"/>
          <w:iCs w:val="1"/>
          <w:color w:val="auto"/>
        </w:rPr>
        <w:t>Lacerta bilineata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Acta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Zoologica (Stockholmo)</w:t>
      </w:r>
      <w:r>
        <w:rPr>
          <w:rFonts w:ascii="Times New Roman" w:cs="Times New Roman" w:eastAsia="Times New Roman" w:hAnsi="Times New Roman"/>
          <w:sz w:val="22"/>
          <w:szCs w:val="22"/>
          <w:color w:val="auto"/>
        </w:rPr>
        <w:t>, 4, pp. 245-254.</w:t>
      </w:r>
    </w:p>
    <w:p>
      <w:pPr>
        <w:spacing w:after="0" w:line="2" w:lineRule="exact"/>
        <w:rPr>
          <w:sz w:val="20"/>
          <w:szCs w:val="20"/>
          <w:color w:val="auto"/>
        </w:rPr>
      </w:pPr>
    </w:p>
    <w:p>
      <w:pPr>
        <w:jc w:val="both"/>
        <w:ind w:left="360" w:hanging="359"/>
        <w:spacing w:after="0" w:line="327" w:lineRule="auto"/>
        <w:rPr>
          <w:sz w:val="20"/>
          <w:szCs w:val="20"/>
          <w:color w:val="auto"/>
        </w:rPr>
      </w:pPr>
      <w:r>
        <w:rPr>
          <w:rFonts w:ascii="Times New Roman" w:cs="Times New Roman" w:eastAsia="Times New Roman" w:hAnsi="Times New Roman"/>
          <w:sz w:val="22"/>
          <w:szCs w:val="22"/>
          <w:color w:val="auto"/>
        </w:rPr>
        <w:t xml:space="preserve">Carmen, J. M. (2010), </w:t>
      </w:r>
      <w:r>
        <w:rPr>
          <w:rFonts w:ascii="Times New Roman" w:cs="Times New Roman" w:eastAsia="Times New Roman" w:hAnsi="Times New Roman"/>
          <w:sz w:val="22"/>
          <w:szCs w:val="22"/>
          <w:i w:val="1"/>
          <w:iCs w:val="1"/>
          <w:color w:val="auto"/>
        </w:rPr>
        <w:t>Morfología geométrica de las escamas cefálicas</w:t>
      </w:r>
      <w:r>
        <w:rPr>
          <w:rFonts w:ascii="Times New Roman" w:cs="Times New Roman" w:eastAsia="Times New Roman" w:hAnsi="Times New Roman"/>
          <w:sz w:val="22"/>
          <w:szCs w:val="22"/>
          <w:color w:val="auto"/>
        </w:rPr>
        <w:t xml:space="preserve"> en Barisia imbricata. Tesis de licenciatura no publicada, uaem, Toluca, México.</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35"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148" w:name="page149"/>
    <w:bookmarkEnd w:id="148"/>
    <w:p>
      <w:pPr>
        <w:spacing w:after="0"/>
        <w:tabs>
          <w:tab w:leader="none" w:pos="2160" w:val="left"/>
          <w:tab w:leader="none" w:pos="2900" w:val="left"/>
          <w:tab w:leader="none" w:pos="4080" w:val="left"/>
        </w:tabs>
        <w:rPr>
          <w:sz w:val="20"/>
          <w:szCs w:val="20"/>
          <w:color w:val="auto"/>
        </w:rPr>
      </w:pPr>
      <w:r>
        <w:rPr>
          <w:rFonts w:ascii="Arial Narrow" w:cs="Arial Narrow" w:eastAsia="Arial Narrow" w:hAnsi="Arial Narrow"/>
          <w:sz w:val="16"/>
          <w:szCs w:val="16"/>
          <w:color w:val="auto"/>
        </w:rPr>
        <w:t>148</w:t>
      </w:r>
      <w:r>
        <w:rPr>
          <w:sz w:val="20"/>
          <w:szCs w:val="20"/>
          <w:color w:val="auto"/>
        </w:rPr>
        <w:tab/>
      </w:r>
      <w:r>
        <w:rPr>
          <w:rFonts w:ascii="Arial Narrow" w:cs="Arial Narrow" w:eastAsia="Arial Narrow" w:hAnsi="Arial Narrow"/>
          <w:sz w:val="11"/>
          <w:szCs w:val="11"/>
          <w:color w:val="auto"/>
        </w:rPr>
        <w:t>galindo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gil</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1822450</wp:posOffset>
                </wp:positionH>
                <wp:positionV relativeFrom="paragraph">
                  <wp:posOffset>-76835</wp:posOffset>
                </wp:positionV>
                <wp:extent cx="0" cy="88900"/>
                <wp:wrapNone/>
                <wp:docPr id="378" name="Shape 37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78" o:spid="_x0000_s140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3.5pt,-6.0499pt" to="143.5pt,0.95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2566035</wp:posOffset>
                </wp:positionH>
                <wp:positionV relativeFrom="paragraph">
                  <wp:posOffset>-76835</wp:posOffset>
                </wp:positionV>
                <wp:extent cx="0" cy="88900"/>
                <wp:wrapNone/>
                <wp:docPr id="379" name="Shape 37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900"/>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79" o:spid="_x0000_s140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2.05pt,-6.0499pt" to="202.05pt,0.95pt" o:allowincell="f" strokecolor="#000000" strokeweight="0.4pt"/>
            </w:pict>
          </mc:Fallback>
        </mc:AlternateContent>
      </w:r>
    </w:p>
    <w:p>
      <w:pPr>
        <w:spacing w:after="0" w:line="347" w:lineRule="exact"/>
        <w:rPr>
          <w:sz w:val="20"/>
          <w:szCs w:val="20"/>
          <w:color w:val="auto"/>
        </w:rPr>
      </w:pPr>
    </w:p>
    <w:p>
      <w:pPr>
        <w:jc w:val="both"/>
        <w:ind w:left="360" w:hanging="359"/>
        <w:spacing w:after="0" w:line="294" w:lineRule="auto"/>
        <w:rPr>
          <w:sz w:val="20"/>
          <w:szCs w:val="20"/>
          <w:color w:val="auto"/>
        </w:rPr>
      </w:pPr>
      <w:r>
        <w:rPr>
          <w:rFonts w:ascii="Times New Roman" w:cs="Times New Roman" w:eastAsia="Times New Roman" w:hAnsi="Times New Roman"/>
          <w:sz w:val="22"/>
          <w:szCs w:val="22"/>
          <w:color w:val="auto"/>
        </w:rPr>
        <w:t xml:space="preserve">Galindo, S. (2011), </w:t>
      </w:r>
      <w:r>
        <w:rPr>
          <w:rFonts w:ascii="Times New Roman" w:cs="Times New Roman" w:eastAsia="Times New Roman" w:hAnsi="Times New Roman"/>
          <w:sz w:val="22"/>
          <w:szCs w:val="22"/>
          <w:i w:val="1"/>
          <w:iCs w:val="1"/>
          <w:color w:val="auto"/>
        </w:rPr>
        <w:t>Morfometría geométrica de las escamas cefálicas de dos especies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hermanas del género Sceloporus </w:t>
      </w:r>
      <w:r>
        <w:rPr>
          <w:rFonts w:ascii="Times New Roman" w:cs="Times New Roman" w:eastAsia="Times New Roman" w:hAnsi="Times New Roman"/>
          <w:sz w:val="22"/>
          <w:szCs w:val="22"/>
          <w:color w:val="auto"/>
        </w:rPr>
        <w:t>(sauria: phrynosamatidae). Tesis de licenciatura no</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publicada, uaem, Toluca, México.</w:t>
      </w:r>
    </w:p>
    <w:p>
      <w:pPr>
        <w:jc w:val="both"/>
        <w:ind w:left="360" w:hanging="359"/>
        <w:spacing w:after="0" w:line="314" w:lineRule="auto"/>
        <w:rPr>
          <w:sz w:val="20"/>
          <w:szCs w:val="20"/>
          <w:color w:val="auto"/>
        </w:rPr>
      </w:pPr>
      <w:r>
        <w:rPr>
          <w:rFonts w:ascii="Times New Roman" w:cs="Times New Roman" w:eastAsia="Times New Roman" w:hAnsi="Times New Roman"/>
          <w:sz w:val="21"/>
          <w:szCs w:val="21"/>
          <w:color w:val="auto"/>
        </w:rPr>
        <w:t xml:space="preserve">Guillette Jr., L. (1981), </w:t>
      </w:r>
      <w:r>
        <w:rPr>
          <w:rFonts w:ascii="Times New Roman" w:cs="Times New Roman" w:eastAsia="Times New Roman" w:hAnsi="Times New Roman"/>
          <w:sz w:val="21"/>
          <w:szCs w:val="21"/>
          <w:i w:val="1"/>
          <w:iCs w:val="1"/>
          <w:color w:val="auto"/>
        </w:rPr>
        <w:t>Reproductive strategies and the evolution of the viviparity in</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two allopatric population of the mexican lizard, </w:t>
      </w:r>
      <w:r>
        <w:rPr>
          <w:rFonts w:ascii="Times New Roman" w:cs="Times New Roman" w:eastAsia="Times New Roman" w:hAnsi="Times New Roman"/>
          <w:sz w:val="21"/>
          <w:szCs w:val="21"/>
          <w:color w:val="auto"/>
        </w:rPr>
        <w:t>Sceloporus aeneus, PhD Thesis,</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Boulder, Colorado, Estados Unidos, University of Colorado.</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Herrel, A., R. van Damme y F. de Vree (1996), “Sexual dimorphism of head size in </w:t>
      </w:r>
      <w:r>
        <w:rPr>
          <w:rFonts w:ascii="Times New Roman" w:cs="Times New Roman" w:eastAsia="Times New Roman" w:hAnsi="Times New Roman"/>
          <w:sz w:val="22"/>
          <w:szCs w:val="22"/>
          <w:i w:val="1"/>
          <w:iCs w:val="1"/>
          <w:color w:val="auto"/>
        </w:rPr>
        <w:t>Podarcis hispanica atrata</w:t>
      </w:r>
      <w:r>
        <w:rPr>
          <w:rFonts w:ascii="Times New Roman" w:cs="Times New Roman" w:eastAsia="Times New Roman" w:hAnsi="Times New Roman"/>
          <w:sz w:val="22"/>
          <w:szCs w:val="22"/>
          <w:color w:val="auto"/>
        </w:rPr>
        <w:t>: testing the dietary divergence hypothesis by bite force</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analysis”, </w:t>
      </w:r>
      <w:r>
        <w:rPr>
          <w:rFonts w:ascii="Times New Roman" w:cs="Times New Roman" w:eastAsia="Times New Roman" w:hAnsi="Times New Roman"/>
          <w:sz w:val="22"/>
          <w:szCs w:val="22"/>
          <w:i w:val="1"/>
          <w:iCs w:val="1"/>
          <w:color w:val="auto"/>
        </w:rPr>
        <w:t>Nertherlands Journal of Zoology</w:t>
      </w:r>
      <w:r>
        <w:rPr>
          <w:rFonts w:ascii="Times New Roman" w:cs="Times New Roman" w:eastAsia="Times New Roman" w:hAnsi="Times New Roman"/>
          <w:sz w:val="22"/>
          <w:szCs w:val="22"/>
          <w:color w:val="auto"/>
        </w:rPr>
        <w:t>, 3-4, pp. 253-262.</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Herrel, A., L. Spithoven, R. van Damme y F. de Vree (1999), “Sexual dimorphism of head size in </w:t>
      </w:r>
      <w:r>
        <w:rPr>
          <w:rFonts w:ascii="Times New Roman" w:cs="Times New Roman" w:eastAsia="Times New Roman" w:hAnsi="Times New Roman"/>
          <w:sz w:val="22"/>
          <w:szCs w:val="22"/>
          <w:i w:val="1"/>
          <w:iCs w:val="1"/>
          <w:color w:val="auto"/>
        </w:rPr>
        <w:t>Gallotia galloti</w:t>
      </w:r>
      <w:r>
        <w:rPr>
          <w:rFonts w:ascii="Times New Roman" w:cs="Times New Roman" w:eastAsia="Times New Roman" w:hAnsi="Times New Roman"/>
          <w:sz w:val="22"/>
          <w:szCs w:val="22"/>
          <w:color w:val="auto"/>
        </w:rPr>
        <w:t xml:space="preserve">: testing the niche divergence hypothesis by functional analyses”, </w:t>
      </w:r>
      <w:r>
        <w:rPr>
          <w:rFonts w:ascii="Times New Roman" w:cs="Times New Roman" w:eastAsia="Times New Roman" w:hAnsi="Times New Roman"/>
          <w:sz w:val="22"/>
          <w:szCs w:val="22"/>
          <w:i w:val="1"/>
          <w:iCs w:val="1"/>
          <w:color w:val="auto"/>
        </w:rPr>
        <w:t>Functional Ecology</w:t>
      </w:r>
      <w:r>
        <w:rPr>
          <w:rFonts w:ascii="Times New Roman" w:cs="Times New Roman" w:eastAsia="Times New Roman" w:hAnsi="Times New Roman"/>
          <w:sz w:val="22"/>
          <w:szCs w:val="22"/>
          <w:color w:val="auto"/>
        </w:rPr>
        <w:t>, 13, pp. 289-287.</w:t>
      </w:r>
    </w:p>
    <w:p>
      <w:pPr>
        <w:spacing w:after="0" w:line="2" w:lineRule="exact"/>
        <w:rPr>
          <w:sz w:val="20"/>
          <w:szCs w:val="20"/>
          <w:color w:val="auto"/>
        </w:rPr>
      </w:pPr>
    </w:p>
    <w:p>
      <w:pPr>
        <w:jc w:val="both"/>
        <w:ind w:left="360" w:hanging="359"/>
        <w:spacing w:after="0" w:line="333" w:lineRule="auto"/>
        <w:rPr>
          <w:sz w:val="20"/>
          <w:szCs w:val="20"/>
          <w:color w:val="auto"/>
        </w:rPr>
      </w:pPr>
      <w:r>
        <w:rPr>
          <w:rFonts w:ascii="Times New Roman" w:cs="Times New Roman" w:eastAsia="Times New Roman" w:hAnsi="Times New Roman"/>
          <w:sz w:val="20"/>
          <w:szCs w:val="20"/>
          <w:color w:val="auto"/>
        </w:rPr>
        <w:t xml:space="preserve">Huyghe, K., A. Herrel, D. Adriaens, Z. Tadic y R. van Damme (2009), “It is all the head: morphological basis for differences in bite force among colour morphs of the dalmatian wall lizard”, </w:t>
      </w:r>
      <w:r>
        <w:rPr>
          <w:rFonts w:ascii="Times New Roman" w:cs="Times New Roman" w:eastAsia="Times New Roman" w:hAnsi="Times New Roman"/>
          <w:sz w:val="20"/>
          <w:szCs w:val="20"/>
          <w:i w:val="1"/>
          <w:iCs w:val="1"/>
          <w:color w:val="auto"/>
        </w:rPr>
        <w:t>Biological Journal of the Linnean Society</w:t>
      </w:r>
      <w:r>
        <w:rPr>
          <w:rFonts w:ascii="Times New Roman" w:cs="Times New Roman" w:eastAsia="Times New Roman" w:hAnsi="Times New Roman"/>
          <w:sz w:val="20"/>
          <w:szCs w:val="20"/>
          <w:color w:val="auto"/>
        </w:rPr>
        <w:t>, 96, pp. 13-22.</w:t>
      </w:r>
    </w:p>
    <w:p>
      <w:pPr>
        <w:spacing w:after="0" w:line="3"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Kohlsdorf, T., M. B. Grizante, C. A. Navas y A. Herrel (2008), “Head shape evolution in Tropidurinae lizards: does locomotion constrain diet?”, </w:t>
      </w:r>
      <w:r>
        <w:rPr>
          <w:rFonts w:ascii="Times New Roman" w:cs="Times New Roman" w:eastAsia="Times New Roman" w:hAnsi="Times New Roman"/>
          <w:sz w:val="22"/>
          <w:szCs w:val="22"/>
          <w:i w:val="1"/>
          <w:iCs w:val="1"/>
          <w:color w:val="auto"/>
        </w:rPr>
        <w:t>Journal Evolution</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Biology</w:t>
      </w:r>
      <w:r>
        <w:rPr>
          <w:rFonts w:ascii="Times New Roman" w:cs="Times New Roman" w:eastAsia="Times New Roman" w:hAnsi="Times New Roman"/>
          <w:sz w:val="22"/>
          <w:szCs w:val="22"/>
          <w:color w:val="auto"/>
        </w:rPr>
        <w:t>, 21, pp. 781-790.</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Meza, L. R. N. (2007), </w:t>
      </w:r>
      <w:r>
        <w:rPr>
          <w:rFonts w:ascii="Times New Roman" w:cs="Times New Roman" w:eastAsia="Times New Roman" w:hAnsi="Times New Roman"/>
          <w:sz w:val="22"/>
          <w:szCs w:val="22"/>
          <w:i w:val="1"/>
          <w:iCs w:val="1"/>
          <w:color w:val="auto"/>
        </w:rPr>
        <w:t>Sistemática filogenética del complejo</w:t>
      </w:r>
      <w:r>
        <w:rPr>
          <w:rFonts w:ascii="Times New Roman" w:cs="Times New Roman" w:eastAsia="Times New Roman" w:hAnsi="Times New Roman"/>
          <w:sz w:val="22"/>
          <w:szCs w:val="22"/>
          <w:color w:val="auto"/>
        </w:rPr>
        <w:t xml:space="preserve"> Sceloporus aeneus </w:t>
      </w:r>
      <w:r>
        <w:rPr>
          <w:rFonts w:ascii="Times New Roman" w:cs="Times New Roman" w:eastAsia="Times New Roman" w:hAnsi="Times New Roman"/>
          <w:sz w:val="22"/>
          <w:szCs w:val="22"/>
          <w:i w:val="1"/>
          <w:iCs w:val="1"/>
          <w:color w:val="auto"/>
        </w:rPr>
        <w:t>(Squamata: Phrynosomatidae)</w:t>
      </w:r>
      <w:r>
        <w:rPr>
          <w:rFonts w:ascii="Times New Roman" w:cs="Times New Roman" w:eastAsia="Times New Roman" w:hAnsi="Times New Roman"/>
          <w:sz w:val="22"/>
          <w:szCs w:val="22"/>
          <w:color w:val="auto"/>
        </w:rPr>
        <w:t>, tesis de posgrado, México, Facultad de Ciencias/</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Universidad Nacional Autónoma de México.</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Mink D. y J. W. Sites Jr. (1996), “Species limits, phylogenetic relationships and origins of viviparity in </w:t>
      </w:r>
      <w:r>
        <w:rPr>
          <w:rFonts w:ascii="Times New Roman" w:cs="Times New Roman" w:eastAsia="Times New Roman" w:hAnsi="Times New Roman"/>
          <w:sz w:val="22"/>
          <w:szCs w:val="22"/>
          <w:i w:val="1"/>
          <w:iCs w:val="1"/>
          <w:color w:val="auto"/>
        </w:rPr>
        <w:t>scalaris</w:t>
      </w:r>
      <w:r>
        <w:rPr>
          <w:rFonts w:ascii="Times New Roman" w:cs="Times New Roman" w:eastAsia="Times New Roman" w:hAnsi="Times New Roman"/>
          <w:sz w:val="22"/>
          <w:szCs w:val="22"/>
          <w:color w:val="auto"/>
        </w:rPr>
        <w:t xml:space="preserve"> complex of the lizard genus </w:t>
      </w:r>
      <w:r>
        <w:rPr>
          <w:rFonts w:ascii="Times New Roman" w:cs="Times New Roman" w:eastAsia="Times New Roman" w:hAnsi="Times New Roman"/>
          <w:sz w:val="22"/>
          <w:szCs w:val="22"/>
          <w:i w:val="1"/>
          <w:iCs w:val="1"/>
          <w:color w:val="auto"/>
        </w:rPr>
        <w:t>Sceloporus</w:t>
      </w:r>
      <w:r>
        <w:rPr>
          <w:rFonts w:ascii="Times New Roman" w:cs="Times New Roman" w:eastAsia="Times New Roman" w:hAnsi="Times New Roman"/>
          <w:sz w:val="22"/>
          <w:szCs w:val="22"/>
          <w:color w:val="auto"/>
        </w:rPr>
        <w:t xml:space="preserve"> (Phrynosomatidae: Sauria)”, </w:t>
      </w:r>
      <w:r>
        <w:rPr>
          <w:rFonts w:ascii="Times New Roman" w:cs="Times New Roman" w:eastAsia="Times New Roman" w:hAnsi="Times New Roman"/>
          <w:sz w:val="22"/>
          <w:szCs w:val="22"/>
          <w:i w:val="1"/>
          <w:iCs w:val="1"/>
          <w:color w:val="auto"/>
        </w:rPr>
        <w:t>Herpetological</w:t>
      </w:r>
      <w:r>
        <w:rPr>
          <w:rFonts w:ascii="Times New Roman" w:cs="Times New Roman" w:eastAsia="Times New Roman" w:hAnsi="Times New Roman"/>
          <w:sz w:val="22"/>
          <w:szCs w:val="22"/>
          <w:color w:val="auto"/>
        </w:rPr>
        <w:t>, 52, pp. 551-571.</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Moreno, R. (2012), </w:t>
      </w:r>
      <w:r>
        <w:rPr>
          <w:rFonts w:ascii="Times New Roman" w:cs="Times New Roman" w:eastAsia="Times New Roman" w:hAnsi="Times New Roman"/>
          <w:sz w:val="22"/>
          <w:szCs w:val="22"/>
          <w:i w:val="1"/>
          <w:iCs w:val="1"/>
          <w:color w:val="auto"/>
        </w:rPr>
        <w:t>Morfología geométrica en el complejo Phrynosorna orbiculare (Sauria: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Phrynosomatidae): evolución y adaptación. </w:t>
      </w:r>
      <w:r>
        <w:rPr>
          <w:rFonts w:ascii="Times New Roman" w:cs="Times New Roman" w:eastAsia="Times New Roman" w:hAnsi="Times New Roman"/>
          <w:sz w:val="22"/>
          <w:szCs w:val="22"/>
          <w:color w:val="auto"/>
        </w:rPr>
        <w:t>Tesis de doctorado no publicada, uaem,</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Toluca, México.</w:t>
      </w:r>
    </w:p>
    <w:p>
      <w:pPr>
        <w:spacing w:after="0" w:line="2" w:lineRule="exact"/>
        <w:rPr>
          <w:sz w:val="20"/>
          <w:szCs w:val="20"/>
          <w:color w:val="auto"/>
        </w:rPr>
      </w:pPr>
    </w:p>
    <w:p>
      <w:pPr>
        <w:jc w:val="both"/>
        <w:ind w:left="360" w:hanging="359"/>
        <w:spacing w:after="0" w:line="330" w:lineRule="auto"/>
        <w:rPr>
          <w:sz w:val="20"/>
          <w:szCs w:val="20"/>
          <w:color w:val="auto"/>
        </w:rPr>
      </w:pPr>
      <w:r>
        <w:rPr>
          <w:rFonts w:ascii="Times New Roman" w:cs="Times New Roman" w:eastAsia="Times New Roman" w:hAnsi="Times New Roman"/>
          <w:sz w:val="21"/>
          <w:szCs w:val="21"/>
          <w:color w:val="auto"/>
        </w:rPr>
        <w:t xml:space="preserve">Ochoa-Ochoa, L., O. Flores-Villela., U. García Vazquez, M. Correa Cano y L. Canseco-Márquez (2006), “Áreas potenciales de distribución de la herpetofauna de México. Especie: </w:t>
      </w:r>
      <w:r>
        <w:rPr>
          <w:rFonts w:ascii="Times New Roman" w:cs="Times New Roman" w:eastAsia="Times New Roman" w:hAnsi="Times New Roman"/>
          <w:sz w:val="21"/>
          <w:szCs w:val="21"/>
          <w:i w:val="1"/>
          <w:iCs w:val="1"/>
          <w:color w:val="auto"/>
        </w:rPr>
        <w:t>Sceloporus aeneus</w:t>
      </w:r>
      <w:r>
        <w:rPr>
          <w:rFonts w:ascii="Times New Roman" w:cs="Times New Roman" w:eastAsia="Times New Roman" w:hAnsi="Times New Roman"/>
          <w:sz w:val="21"/>
          <w:szCs w:val="21"/>
          <w:color w:val="auto"/>
        </w:rPr>
        <w:t xml:space="preserve"> (recortes)”, http://www.conabio.gob.mx/ informacion/gis/layouts/scel_aenegw.gif, consultado el 25 de mayo de 2011.</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376" w:lineRule="exact"/>
        <w:rPr>
          <w:sz w:val="20"/>
          <w:szCs w:val="20"/>
          <w:color w:val="auto"/>
        </w:rPr>
      </w:pPr>
    </w:p>
    <w:p>
      <w:pPr>
        <w:spacing w:after="0"/>
        <w:tabs>
          <w:tab w:leader="none" w:pos="1000" w:val="left"/>
          <w:tab w:leader="none" w:pos="2160" w:val="left"/>
          <w:tab w:leader="none" w:pos="3480" w:val="left"/>
        </w:tabs>
        <w:rPr>
          <w:sz w:val="20"/>
          <w:szCs w:val="20"/>
          <w:color w:val="auto"/>
        </w:rPr>
      </w:pPr>
      <w:r>
        <w:rPr>
          <w:rFonts w:ascii="Arial Narrow" w:cs="Arial Narrow" w:eastAsia="Arial Narrow" w:hAnsi="Arial Narrow"/>
          <w:sz w:val="11"/>
          <w:szCs w:val="11"/>
          <w:color w:val="auto"/>
        </w:rPr>
        <w:t>moreno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barajas</w:t>
      </w:r>
      <w:r>
        <w:rPr>
          <w:sz w:val="20"/>
          <w:szCs w:val="20"/>
          <w:color w:val="auto"/>
        </w:rPr>
        <w:tab/>
      </w:r>
      <w:r>
        <w:rPr>
          <w:rFonts w:ascii="Arial Narrow" w:cs="Arial Narrow" w:eastAsia="Arial Narrow" w:hAnsi="Arial Narrow"/>
          <w:sz w:val="11"/>
          <w:szCs w:val="11"/>
          <w:color w:val="auto"/>
        </w:rPr>
        <w:t>rodríguez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romero</w:t>
      </w:r>
      <w:r>
        <w:rPr>
          <w:sz w:val="20"/>
          <w:szCs w:val="20"/>
          <w:color w:val="auto"/>
        </w:rPr>
        <w:tab/>
      </w:r>
      <w:r>
        <w:rPr>
          <w:rFonts w:ascii="Arial Narrow" w:cs="Arial Narrow" w:eastAsia="Arial Narrow" w:hAnsi="Arial Narrow"/>
          <w:sz w:val="11"/>
          <w:szCs w:val="11"/>
          <w:color w:val="auto"/>
        </w:rPr>
        <w:t>velázquez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rodríguez</w:t>
      </w:r>
      <w:r>
        <w:rPr>
          <w:sz w:val="20"/>
          <w:szCs w:val="20"/>
          <w:color w:val="auto"/>
        </w:rPr>
        <w:tab/>
      </w:r>
      <w:r>
        <w:rPr>
          <w:rFonts w:ascii="Arial Narrow" w:cs="Arial Narrow" w:eastAsia="Arial Narrow" w:hAnsi="Arial Narrow"/>
          <w:sz w:val="11"/>
          <w:szCs w:val="11"/>
          <w:color w:val="auto"/>
        </w:rPr>
        <w:t>sánchez</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nava </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comps</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1"/>
          <w:szCs w:val="11"/>
          <w:i w:val="1"/>
          <w:iCs w:val="1"/>
          <w:color w:val="auto"/>
        </w:rPr>
        <w:t>análisis ecomorfológicos</w:t>
      </w:r>
      <w:r>
        <w:rPr>
          <w:rFonts w:ascii="Arial Narrow" w:cs="Arial Narrow" w:eastAsia="Arial Narrow" w:hAnsi="Arial Narrow"/>
          <w:sz w:val="16"/>
          <w:szCs w:val="16"/>
          <w:i w:val="1"/>
          <w:iCs w:val="1"/>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619125</wp:posOffset>
                </wp:positionH>
                <wp:positionV relativeFrom="paragraph">
                  <wp:posOffset>-76835</wp:posOffset>
                </wp:positionV>
                <wp:extent cx="0" cy="88265"/>
                <wp:wrapNone/>
                <wp:docPr id="380" name="Shape 38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80" o:spid="_x0000_s140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75pt,-6.0499pt" to="48.75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1358900</wp:posOffset>
                </wp:positionH>
                <wp:positionV relativeFrom="paragraph">
                  <wp:posOffset>-76835</wp:posOffset>
                </wp:positionV>
                <wp:extent cx="0" cy="88265"/>
                <wp:wrapNone/>
                <wp:docPr id="381" name="Shape 38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81" o:spid="_x0000_s140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7pt,-6.0499pt" to="107pt,0.9pt" o:allowincell="f" strokecolor="#000000" strokeweight="0.4pt"/>
            </w:pict>
          </mc:Fallback>
        </mc:AlternateContent>
        <mc:AlternateContent>
          <mc:Choice Requires="wps">
            <w:drawing>
              <wp:anchor simplePos="0" relativeHeight="251657728" behindDoc="1" locked="0" layoutInCell="0" allowOverlap="1">
                <wp:simplePos x="0" y="0"/>
                <wp:positionH relativeFrom="column">
                  <wp:posOffset>2190750</wp:posOffset>
                </wp:positionH>
                <wp:positionV relativeFrom="paragraph">
                  <wp:posOffset>-76835</wp:posOffset>
                </wp:positionV>
                <wp:extent cx="0" cy="88265"/>
                <wp:wrapNone/>
                <wp:docPr id="382" name="Shape 38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88265"/>
                        </a:xfrm>
                        <a:prstGeom prst="line">
                          <a:avLst/>
                        </a:prstGeom>
                        <a:solidFill>
                          <a:srgbClr val="FFFFFF"/>
                        </a:solidFill>
                        <a:ln w="5080">
                          <a:solidFill>
                            <a:srgbClr val="000000"/>
                          </a:solidFill>
                          <a:miter lim="800000"/>
                          <a:headEnd/>
                          <a:tailEnd/>
                        </a:ln>
                      </wps:spPr>
                      <wps:bodyPr/>
                    </wps:wsp>
                  </a:graphicData>
                </a:graphic>
              </wp:anchor>
            </w:drawing>
          </mc:Choice>
          <mc:Fallback>
            <w:pict>
              <v:line id="Shape 382" o:spid="_x0000_s140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72.5pt,-6.0499pt" to="172.5pt,0.9pt" o:allowincell="f" strokecolor="#000000" strokeweight="0.4pt"/>
            </w:pict>
          </mc:Fallback>
        </mc:AlternateContent>
      </w:r>
    </w:p>
    <w:p>
      <w:pPr>
        <w:sectPr>
          <w:pgSz w:w="9360" w:h="13039" w:orient="portrait"/>
          <w:cols w:equalWidth="0" w:num="1">
            <w:col w:w="6500"/>
          </w:cols>
          <w:pgMar w:left="1080" w:top="906" w:right="1780" w:bottom="437" w:gutter="0" w:footer="0" w:header="0"/>
          <w:type w:val="continuous"/>
        </w:sectPr>
      </w:pPr>
    </w:p>
    <w:bookmarkStart w:id="149" w:name="page150"/>
    <w:bookmarkEnd w:id="149"/>
    <w:p>
      <w:pPr>
        <w:ind w:left="580"/>
        <w:spacing w:after="0"/>
        <w:tabs>
          <w:tab w:leader="dot" w:pos="6960" w:val="left"/>
        </w:tabs>
        <w:rPr>
          <w:sz w:val="20"/>
          <w:szCs w:val="20"/>
          <w:color w:val="auto"/>
        </w:rPr>
      </w:pPr>
      <w:r>
        <w:rPr>
          <w:rFonts w:ascii="Arial Narrow" w:cs="Arial Narrow" w:eastAsia="Arial Narrow" w:hAnsi="Arial Narrow"/>
          <w:sz w:val="11"/>
          <w:szCs w:val="11"/>
          <w:color w:val="auto"/>
        </w:rPr>
        <w:t xml:space="preserve">morfometría geométrica de las escamas cefálicas de dos especies hermanas del género </w:t>
      </w:r>
      <w:r>
        <w:rPr>
          <w:rFonts w:ascii="Arial Narrow" w:cs="Arial Narrow" w:eastAsia="Arial Narrow" w:hAnsi="Arial Narrow"/>
          <w:sz w:val="11"/>
          <w:szCs w:val="11"/>
          <w:i w:val="1"/>
          <w:iCs w:val="1"/>
          <w:color w:val="auto"/>
        </w:rPr>
        <w:t>sceloporus</w:t>
      </w:r>
      <w:r>
        <w:rPr>
          <w:sz w:val="20"/>
          <w:szCs w:val="20"/>
          <w:color w:val="auto"/>
        </w:rPr>
        <w:tab/>
      </w:r>
      <w:r>
        <w:rPr>
          <w:rFonts w:ascii="Arial Narrow" w:cs="Arial Narrow" w:eastAsia="Arial Narrow" w:hAnsi="Arial Narrow"/>
          <w:sz w:val="16"/>
          <w:szCs w:val="16"/>
          <w:color w:val="auto"/>
        </w:rPr>
        <w:t>149</w:t>
      </w:r>
    </w:p>
    <w:p>
      <w:pPr>
        <w:spacing w:after="0" w:line="200" w:lineRule="exact"/>
        <w:rPr>
          <w:sz w:val="20"/>
          <w:szCs w:val="20"/>
          <w:color w:val="auto"/>
        </w:rPr>
      </w:pPr>
    </w:p>
    <w:p>
      <w:pPr>
        <w:spacing w:after="0" w:line="34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Ríos-Rodas, L. y F. J. Rodríguez-Romero (2008), “Ecomorfología de las lagartijas</w:t>
      </w:r>
    </w:p>
    <w:p>
      <w:pPr>
        <w:spacing w:after="0" w:line="79" w:lineRule="exact"/>
        <w:rPr>
          <w:sz w:val="20"/>
          <w:szCs w:val="20"/>
          <w:color w:val="auto"/>
        </w:rPr>
      </w:pPr>
    </w:p>
    <w:p>
      <w:pPr>
        <w:jc w:val="both"/>
        <w:ind w:left="360"/>
        <w:spacing w:after="0" w:line="303" w:lineRule="auto"/>
        <w:rPr>
          <w:sz w:val="20"/>
          <w:szCs w:val="20"/>
          <w:color w:val="auto"/>
        </w:rPr>
      </w:pPr>
      <w:r>
        <w:rPr>
          <w:rFonts w:ascii="Times New Roman" w:cs="Times New Roman" w:eastAsia="Times New Roman" w:hAnsi="Times New Roman"/>
          <w:sz w:val="22"/>
          <w:szCs w:val="22"/>
          <w:i w:val="1"/>
          <w:iCs w:val="1"/>
          <w:color w:val="auto"/>
        </w:rPr>
        <w:t xml:space="preserve">Sceloporus aeneus </w:t>
      </w:r>
      <w:r>
        <w:rPr>
          <w:rFonts w:ascii="Times New Roman" w:cs="Times New Roman" w:eastAsia="Times New Roman" w:hAnsi="Times New Roman"/>
          <w:sz w:val="22"/>
          <w:szCs w:val="22"/>
          <w:color w:val="auto"/>
        </w:rPr>
        <w:t>y</w:t>
      </w:r>
      <w:r>
        <w:rPr>
          <w:rFonts w:ascii="Times New Roman" w:cs="Times New Roman" w:eastAsia="Times New Roman" w:hAnsi="Times New Roman"/>
          <w:sz w:val="22"/>
          <w:szCs w:val="22"/>
          <w:i w:val="1"/>
          <w:iCs w:val="1"/>
          <w:color w:val="auto"/>
        </w:rPr>
        <w:t xml:space="preserve"> Sceloporus bicanthalis </w:t>
      </w:r>
      <w:r>
        <w:rPr>
          <w:rFonts w:ascii="Times New Roman" w:cs="Times New Roman" w:eastAsia="Times New Roman" w:hAnsi="Times New Roman"/>
          <w:sz w:val="22"/>
          <w:szCs w:val="22"/>
          <w:color w:val="auto"/>
        </w:rPr>
        <w:t>en el eje neovolcánico de México”, en A</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J. Sánchez, M. G. Hidalgo, S. L. Arriaga y W. M. Contreras (eds.), </w:t>
      </w:r>
      <w:r>
        <w:rPr>
          <w:rFonts w:ascii="Times New Roman" w:cs="Times New Roman" w:eastAsia="Times New Roman" w:hAnsi="Times New Roman"/>
          <w:sz w:val="22"/>
          <w:szCs w:val="22"/>
          <w:i w:val="1"/>
          <w:iCs w:val="1"/>
          <w:color w:val="auto"/>
        </w:rPr>
        <w:t>Perspectivas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en zoología mexicana</w:t>
      </w:r>
      <w:r>
        <w:rPr>
          <w:rFonts w:ascii="Times New Roman" w:cs="Times New Roman" w:eastAsia="Times New Roman" w:hAnsi="Times New Roman"/>
          <w:sz w:val="22"/>
          <w:szCs w:val="22"/>
          <w:color w:val="auto"/>
        </w:rPr>
        <w:t>, Ed. José N. Rovirosa, Villahermosa, Tabasco, México,</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pp. 139-151.</w:t>
      </w:r>
    </w:p>
    <w:p>
      <w:pPr>
        <w:spacing w:after="0" w:line="2" w:lineRule="exact"/>
        <w:rPr>
          <w:sz w:val="20"/>
          <w:szCs w:val="20"/>
          <w:color w:val="auto"/>
        </w:rPr>
      </w:pPr>
    </w:p>
    <w:p>
      <w:pPr>
        <w:jc w:val="both"/>
        <w:ind w:left="360" w:hanging="359"/>
        <w:spacing w:after="0" w:line="318" w:lineRule="auto"/>
        <w:rPr>
          <w:sz w:val="20"/>
          <w:szCs w:val="20"/>
          <w:color w:val="auto"/>
        </w:rPr>
      </w:pPr>
      <w:r>
        <w:rPr>
          <w:rFonts w:ascii="Times New Roman" w:cs="Times New Roman" w:eastAsia="Times New Roman" w:hAnsi="Times New Roman"/>
          <w:sz w:val="21"/>
          <w:szCs w:val="21"/>
          <w:color w:val="auto"/>
        </w:rPr>
        <w:t>Rohlf, F. J. (2010), tpsDig</w:t>
      </w:r>
      <w:r>
        <w:rPr>
          <w:rFonts w:ascii="Times New Roman" w:cs="Times New Roman" w:eastAsia="Times New Roman" w:hAnsi="Times New Roman"/>
          <w:sz w:val="21"/>
          <w:szCs w:val="21"/>
          <w:i w:val="1"/>
          <w:iCs w:val="1"/>
          <w:color w:val="auto"/>
        </w:rPr>
        <w:t>,</w:t>
      </w:r>
      <w:r>
        <w:rPr>
          <w:rFonts w:ascii="Times New Roman" w:cs="Times New Roman" w:eastAsia="Times New Roman" w:hAnsi="Times New Roman"/>
          <w:sz w:val="21"/>
          <w:szCs w:val="21"/>
          <w:color w:val="auto"/>
        </w:rPr>
        <w:t xml:space="preserve"> versión 2.15 ©, Department of Ecology and Evolution, State University. of New York at Stony Brook, NY 11794-5245, http://life.bio. sunysb.edu/morpho/index.html, consultado el 17 de enero de 2011.</w:t>
      </w: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Ruiz, M. (2010), </w:t>
      </w:r>
      <w:r>
        <w:rPr>
          <w:rFonts w:ascii="Times New Roman" w:cs="Times New Roman" w:eastAsia="Times New Roman" w:hAnsi="Times New Roman"/>
          <w:sz w:val="22"/>
          <w:szCs w:val="22"/>
          <w:i w:val="1"/>
          <w:iCs w:val="1"/>
          <w:color w:val="auto"/>
        </w:rPr>
        <w:t>Morfometría externa del corazón de dos especies hermanas del grupo</w:t>
      </w:r>
      <w:r>
        <w:rPr>
          <w:rFonts w:ascii="Times New Roman" w:cs="Times New Roman" w:eastAsia="Times New Roman" w:hAnsi="Times New Roman"/>
          <w:sz w:val="22"/>
          <w:szCs w:val="22"/>
          <w:color w:val="auto"/>
        </w:rPr>
        <w:t xml:space="preserve"> Scalaris </w:t>
      </w:r>
      <w:r>
        <w:rPr>
          <w:rFonts w:ascii="Times New Roman" w:cs="Times New Roman" w:eastAsia="Times New Roman" w:hAnsi="Times New Roman"/>
          <w:sz w:val="22"/>
          <w:szCs w:val="22"/>
          <w:i w:val="1"/>
          <w:iCs w:val="1"/>
          <w:color w:val="auto"/>
        </w:rPr>
        <w:t>con diferente modo reproductor y de distintas altitudes.</w:t>
      </w:r>
      <w:r>
        <w:rPr>
          <w:rFonts w:ascii="Times New Roman" w:cs="Times New Roman" w:eastAsia="Times New Roman" w:hAnsi="Times New Roman"/>
          <w:sz w:val="22"/>
          <w:szCs w:val="22"/>
          <w:color w:val="auto"/>
        </w:rPr>
        <w:t xml:space="preserve"> Tesis de licenciatura no publicada, uaem, Toluca, México.</w:t>
      </w:r>
    </w:p>
    <w:p>
      <w:pPr>
        <w:spacing w:after="0" w:line="2" w:lineRule="exact"/>
        <w:rPr>
          <w:sz w:val="20"/>
          <w:szCs w:val="20"/>
          <w:color w:val="auto"/>
        </w:rPr>
      </w:pPr>
    </w:p>
    <w:p>
      <w:pPr>
        <w:jc w:val="both"/>
        <w:ind w:left="360" w:hanging="359"/>
        <w:spacing w:after="0" w:line="318" w:lineRule="auto"/>
        <w:rPr>
          <w:sz w:val="20"/>
          <w:szCs w:val="20"/>
          <w:color w:val="auto"/>
        </w:rPr>
      </w:pPr>
      <w:r>
        <w:rPr>
          <w:rFonts w:ascii="Times New Roman" w:cs="Times New Roman" w:eastAsia="Times New Roman" w:hAnsi="Times New Roman"/>
          <w:sz w:val="21"/>
          <w:szCs w:val="21"/>
          <w:color w:val="auto"/>
        </w:rPr>
        <w:t>Sheets, H. D. (2001), Software IMP © (Integrated Moprphometric Package), Deparment of Physics, Canisius College, Bufalo, NY 1408, Deparment of Geology, State University of New York at Buffalo, Buffalo NY 14260, http://</w:t>
      </w:r>
    </w:p>
    <w:p>
      <w:pPr>
        <w:ind w:left="360"/>
        <w:spacing w:after="0"/>
        <w:rPr>
          <w:sz w:val="20"/>
          <w:szCs w:val="20"/>
          <w:color w:val="auto"/>
        </w:rPr>
      </w:pPr>
      <w:r>
        <w:rPr>
          <w:rFonts w:ascii="Arial" w:cs="Arial" w:eastAsia="Arial" w:hAnsi="Arial"/>
          <w:sz w:val="19"/>
          <w:szCs w:val="19"/>
          <w:color w:val="auto"/>
        </w:rPr>
        <w:t>www.canisius.edu/~sheets/morphsoft.html, consultado el 17 de enero de 2011.</w:t>
      </w:r>
    </w:p>
    <w:p>
      <w:pPr>
        <w:spacing w:after="0" w:line="10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Smith, H. M (1937), “A sinopsis of the </w:t>
      </w:r>
      <w:r>
        <w:rPr>
          <w:rFonts w:ascii="Times New Roman" w:cs="Times New Roman" w:eastAsia="Times New Roman" w:hAnsi="Times New Roman"/>
          <w:sz w:val="22"/>
          <w:szCs w:val="22"/>
          <w:i w:val="1"/>
          <w:iCs w:val="1"/>
          <w:color w:val="auto"/>
        </w:rPr>
        <w:t>variabilis</w:t>
      </w:r>
      <w:r>
        <w:rPr>
          <w:rFonts w:ascii="Times New Roman" w:cs="Times New Roman" w:eastAsia="Times New Roman" w:hAnsi="Times New Roman"/>
          <w:sz w:val="22"/>
          <w:szCs w:val="22"/>
          <w:color w:val="auto"/>
        </w:rPr>
        <w:t xml:space="preserve"> group of lizard genus </w:t>
      </w:r>
      <w:r>
        <w:rPr>
          <w:rFonts w:ascii="Times New Roman" w:cs="Times New Roman" w:eastAsia="Times New Roman" w:hAnsi="Times New Roman"/>
          <w:sz w:val="22"/>
          <w:szCs w:val="22"/>
          <w:i w:val="1"/>
          <w:iCs w:val="1"/>
          <w:color w:val="auto"/>
        </w:rPr>
        <w:t>Sceloporus</w:t>
      </w:r>
      <w:r>
        <w:rPr>
          <w:rFonts w:ascii="Times New Roman" w:cs="Times New Roman" w:eastAsia="Times New Roman" w:hAnsi="Times New Roman"/>
          <w:sz w:val="22"/>
          <w:szCs w:val="22"/>
          <w:color w:val="auto"/>
        </w:rPr>
        <w:t xml:space="preserve"> whith descriptions of new subspecies”, </w:t>
      </w:r>
      <w:r>
        <w:rPr>
          <w:rFonts w:ascii="Times New Roman" w:cs="Times New Roman" w:eastAsia="Times New Roman" w:hAnsi="Times New Roman"/>
          <w:sz w:val="22"/>
          <w:szCs w:val="22"/>
          <w:i w:val="1"/>
          <w:iCs w:val="1"/>
          <w:color w:val="auto"/>
        </w:rPr>
        <w:t>Ocasional Papers of the Museum of Zoology</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University of Michigan</w:t>
      </w:r>
      <w:r>
        <w:rPr>
          <w:rFonts w:ascii="Times New Roman" w:cs="Times New Roman" w:eastAsia="Times New Roman" w:hAnsi="Times New Roman"/>
          <w:sz w:val="22"/>
          <w:szCs w:val="22"/>
          <w:color w:val="auto"/>
        </w:rPr>
        <w:t>, 358, pp. 1-14.</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Smith, H. M. (1939), </w:t>
      </w:r>
      <w:r>
        <w:rPr>
          <w:rFonts w:ascii="Times New Roman" w:cs="Times New Roman" w:eastAsia="Times New Roman" w:hAnsi="Times New Roman"/>
          <w:sz w:val="22"/>
          <w:szCs w:val="22"/>
          <w:i w:val="1"/>
          <w:iCs w:val="1"/>
          <w:color w:val="auto"/>
        </w:rPr>
        <w:t>The mexican and central american lizards of the genus</w:t>
      </w:r>
      <w:r>
        <w:rPr>
          <w:rFonts w:ascii="Times New Roman" w:cs="Times New Roman" w:eastAsia="Times New Roman" w:hAnsi="Times New Roman"/>
          <w:sz w:val="22"/>
          <w:szCs w:val="22"/>
          <w:color w:val="auto"/>
        </w:rPr>
        <w:t xml:space="preserve"> Sceloporus, University of Illinois, Field Museum of Natural History, Zoological Series, 26, 45, pp. 1-253.</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Smith, H. M. y E. H. Taylor (1950), “An annotated checklist and key to the reptiles of Mexico exclusive of the snakes”, </w:t>
      </w:r>
      <w:r>
        <w:rPr>
          <w:rFonts w:ascii="Times New Roman" w:cs="Times New Roman" w:eastAsia="Times New Roman" w:hAnsi="Times New Roman"/>
          <w:sz w:val="22"/>
          <w:szCs w:val="22"/>
          <w:i w:val="1"/>
          <w:iCs w:val="1"/>
          <w:color w:val="auto"/>
        </w:rPr>
        <w:t>Bulletin of the U. S. National Museum</w:t>
      </w:r>
      <w:r>
        <w:rPr>
          <w:rFonts w:ascii="Times New Roman" w:cs="Times New Roman" w:eastAsia="Times New Roman" w:hAnsi="Times New Roman"/>
          <w:sz w:val="22"/>
          <w:szCs w:val="22"/>
          <w:color w:val="auto"/>
        </w:rPr>
        <w:t>, 199, I-IV, pp. 1-253.</w:t>
      </w:r>
    </w:p>
    <w:p>
      <w:pPr>
        <w:spacing w:after="0" w:line="2"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Stayton, C. T. (2005), “Morphological evolution of the lizard skull: a geometric morphometrics survey”, </w:t>
      </w:r>
      <w:r>
        <w:rPr>
          <w:rFonts w:ascii="Times New Roman" w:cs="Times New Roman" w:eastAsia="Times New Roman" w:hAnsi="Times New Roman"/>
          <w:sz w:val="22"/>
          <w:szCs w:val="22"/>
          <w:i w:val="1"/>
          <w:iCs w:val="1"/>
          <w:color w:val="auto"/>
        </w:rPr>
        <w:t>Journal of Morphology</w:t>
      </w:r>
      <w:r>
        <w:rPr>
          <w:rFonts w:ascii="Times New Roman" w:cs="Times New Roman" w:eastAsia="Times New Roman" w:hAnsi="Times New Roman"/>
          <w:sz w:val="22"/>
          <w:szCs w:val="22"/>
          <w:color w:val="auto"/>
        </w:rPr>
        <w:t>, 263, pp. 47-59.</w:t>
      </w:r>
    </w:p>
    <w:p>
      <w:pPr>
        <w:spacing w:after="0" w:line="1" w:lineRule="exact"/>
        <w:rPr>
          <w:sz w:val="20"/>
          <w:szCs w:val="20"/>
          <w:color w:val="auto"/>
        </w:rPr>
      </w:pPr>
    </w:p>
    <w:p>
      <w:pPr>
        <w:jc w:val="both"/>
        <w:ind w:left="360" w:hanging="359"/>
        <w:spacing w:after="0" w:line="303" w:lineRule="auto"/>
        <w:rPr>
          <w:sz w:val="20"/>
          <w:szCs w:val="20"/>
          <w:color w:val="auto"/>
        </w:rPr>
      </w:pPr>
      <w:r>
        <w:rPr>
          <w:rFonts w:ascii="Times New Roman" w:cs="Times New Roman" w:eastAsia="Times New Roman" w:hAnsi="Times New Roman"/>
          <w:sz w:val="22"/>
          <w:szCs w:val="22"/>
          <w:color w:val="auto"/>
        </w:rPr>
        <w:t xml:space="preserve">Suárez, O. (2010), </w:t>
      </w:r>
      <w:r>
        <w:rPr>
          <w:rFonts w:ascii="Times New Roman" w:cs="Times New Roman" w:eastAsia="Times New Roman" w:hAnsi="Times New Roman"/>
          <w:sz w:val="22"/>
          <w:szCs w:val="22"/>
          <w:i w:val="1"/>
          <w:iCs w:val="1"/>
          <w:color w:val="auto"/>
        </w:rPr>
        <w:t>Morfología corporal y comparación de la velocidad de escape en algunas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 xml:space="preserve">especies de lacertilios mexicanos. </w:t>
      </w:r>
      <w:r>
        <w:rPr>
          <w:rFonts w:ascii="Times New Roman" w:cs="Times New Roman" w:eastAsia="Times New Roman" w:hAnsi="Times New Roman"/>
          <w:sz w:val="22"/>
          <w:szCs w:val="22"/>
          <w:color w:val="auto"/>
        </w:rPr>
        <w:t>Tesis de licenciatura no publicada, uaem. Toluca,</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México.</w:t>
      </w:r>
    </w:p>
    <w:p>
      <w:pPr>
        <w:spacing w:after="0" w:line="2" w:lineRule="exact"/>
        <w:rPr>
          <w:sz w:val="20"/>
          <w:szCs w:val="20"/>
          <w:color w:val="auto"/>
        </w:rPr>
      </w:pPr>
    </w:p>
    <w:p>
      <w:pPr>
        <w:jc w:val="both"/>
        <w:ind w:left="360" w:hanging="359"/>
        <w:spacing w:after="0" w:line="383" w:lineRule="auto"/>
        <w:rPr>
          <w:sz w:val="20"/>
          <w:szCs w:val="20"/>
          <w:color w:val="auto"/>
        </w:rPr>
      </w:pPr>
      <w:r>
        <w:rPr>
          <w:rFonts w:ascii="Times New Roman" w:cs="Times New Roman" w:eastAsia="Times New Roman" w:hAnsi="Times New Roman"/>
          <w:sz w:val="20"/>
          <w:szCs w:val="20"/>
          <w:color w:val="auto"/>
        </w:rPr>
        <w:t>Wiens, J. J. y T. Reeder (1997), “Phylogeny of the spiny lizards (</w:t>
      </w:r>
      <w:r>
        <w:rPr>
          <w:rFonts w:ascii="Times New Roman" w:cs="Times New Roman" w:eastAsia="Times New Roman" w:hAnsi="Times New Roman"/>
          <w:sz w:val="20"/>
          <w:szCs w:val="20"/>
          <w:i w:val="1"/>
          <w:iCs w:val="1"/>
          <w:color w:val="auto"/>
        </w:rPr>
        <w:t>Sceloporus</w:t>
      </w:r>
      <w:r>
        <w:rPr>
          <w:rFonts w:ascii="Times New Roman" w:cs="Times New Roman" w:eastAsia="Times New Roman" w:hAnsi="Times New Roman"/>
          <w:sz w:val="20"/>
          <w:szCs w:val="20"/>
          <w:color w:val="auto"/>
        </w:rPr>
        <w:t xml:space="preserve">) based on molecular and morphological evidence”, </w:t>
      </w:r>
      <w:r>
        <w:rPr>
          <w:rFonts w:ascii="Times New Roman" w:cs="Times New Roman" w:eastAsia="Times New Roman" w:hAnsi="Times New Roman"/>
          <w:sz w:val="20"/>
          <w:szCs w:val="20"/>
          <w:i w:val="1"/>
          <w:iCs w:val="1"/>
          <w:color w:val="auto"/>
        </w:rPr>
        <w:t>Herpetological Monographs</w:t>
      </w:r>
      <w:r>
        <w:rPr>
          <w:rFonts w:ascii="Times New Roman" w:cs="Times New Roman" w:eastAsia="Times New Roman" w:hAnsi="Times New Roman"/>
          <w:sz w:val="20"/>
          <w:szCs w:val="20"/>
          <w:color w:val="auto"/>
        </w:rPr>
        <w:t>, 11, pp. 1-101.</w:t>
      </w:r>
    </w:p>
    <w:p>
      <w:pPr>
        <w:sectPr>
          <w:pgSz w:w="9360" w:h="13039" w:orient="portrait"/>
          <w:cols w:equalWidth="0" w:num="1">
            <w:col w:w="7200"/>
          </w:cols>
          <w:pgMar w:left="1080" w:top="906" w:right="1080" w:bottom="437" w:gutter="0" w:footer="0" w:header="0"/>
        </w:sectPr>
      </w:pPr>
    </w:p>
    <w:p>
      <w:pPr>
        <w:spacing w:after="0" w:line="200" w:lineRule="exact"/>
        <w:rPr>
          <w:sz w:val="20"/>
          <w:szCs w:val="20"/>
          <w:color w:val="auto"/>
        </w:rPr>
      </w:pPr>
    </w:p>
    <w:p>
      <w:pPr>
        <w:spacing w:after="0" w:line="290" w:lineRule="exact"/>
        <w:rPr>
          <w:sz w:val="20"/>
          <w:szCs w:val="20"/>
          <w:color w:val="auto"/>
        </w:rPr>
      </w:pPr>
    </w:p>
    <w:p>
      <w:pPr>
        <w:spacing w:after="0"/>
        <w:rPr>
          <w:sz w:val="20"/>
          <w:szCs w:val="20"/>
          <w:color w:val="auto"/>
        </w:rPr>
      </w:pPr>
      <w:r>
        <w:rPr>
          <w:rFonts w:ascii="Arial Narrow" w:cs="Arial Narrow" w:eastAsia="Arial Narrow" w:hAnsi="Arial Narrow"/>
          <w:sz w:val="11"/>
          <w:szCs w:val="11"/>
          <w:color w:val="auto"/>
        </w:rPr>
        <w:t>universidad autónoma del estado de méxico</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isbn</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978-607-422-500-6</w:t>
      </w:r>
      <w:r>
        <w:rPr>
          <w:rFonts w:ascii="Arial Narrow" w:cs="Arial Narrow" w:eastAsia="Arial Narrow" w:hAnsi="Arial Narrow"/>
          <w:sz w:val="16"/>
          <w:szCs w:val="16"/>
          <w:color w:val="auto"/>
        </w:rPr>
        <w:t>,</w:t>
      </w:r>
      <w:r>
        <w:rPr>
          <w:rFonts w:ascii="Arial Narrow" w:cs="Arial Narrow" w:eastAsia="Arial Narrow" w:hAnsi="Arial Narrow"/>
          <w:sz w:val="11"/>
          <w:szCs w:val="11"/>
          <w:color w:val="auto"/>
        </w:rPr>
        <w:t xml:space="preserve"> </w:t>
      </w:r>
      <w:r>
        <w:rPr>
          <w:rFonts w:ascii="Arial Narrow" w:cs="Arial Narrow" w:eastAsia="Arial Narrow" w:hAnsi="Arial Narrow"/>
          <w:sz w:val="13"/>
          <w:szCs w:val="13"/>
          <w:color w:val="auto"/>
        </w:rPr>
        <w:t>2014</w:t>
      </w:r>
    </w:p>
    <w:p>
      <w:pPr>
        <w:sectPr>
          <w:pgSz w:w="9360" w:h="13039" w:orient="portrait"/>
          <w:cols w:equalWidth="0" w:num="1">
            <w:col w:w="4260"/>
          </w:cols>
          <w:pgMar w:left="4020" w:top="906" w:right="1080" w:bottom="437" w:gutter="0" w:footer="0" w:header="0"/>
          <w:type w:val="continuous"/>
        </w:sectPr>
      </w:pPr>
    </w:p>
    <w:bookmarkStart w:id="150" w:name="page151"/>
    <w:bookmarkEnd w:id="150"/>
    <w:p>
      <w:pPr>
        <w:spacing w:after="0"/>
        <w:rPr>
          <w:sz w:val="20"/>
          <w:szCs w:val="20"/>
          <w:color w:val="auto"/>
        </w:rPr>
      </w:pPr>
    </w:p>
    <w:p>
      <w:pPr>
        <w:sectPr>
          <w:pgSz w:w="9360" w:h="13039" w:orient="portrait"/>
          <w:cols w:equalWidth="1" w:num="1" w:space="0"/>
          <w:pgMar w:left="1440" w:top="1440" w:right="1440" w:bottom="1440" w:gutter="0" w:footer="0" w:header="0"/>
        </w:sectPr>
      </w:pPr>
    </w:p>
    <w:bookmarkStart w:id="151" w:name="page152"/>
    <w:bookmarkEnd w:id="151"/>
    <w:p>
      <w:pPr>
        <w:spacing w:after="0" w:line="194" w:lineRule="exact"/>
        <w:rPr>
          <w:sz w:val="20"/>
          <w:szCs w:val="20"/>
          <w:color w:val="auto"/>
        </w:rPr>
      </w:pPr>
    </w:p>
    <w:p>
      <w:pPr>
        <w:ind w:left="3160"/>
        <w:spacing w:after="0"/>
        <w:rPr>
          <w:sz w:val="20"/>
          <w:szCs w:val="20"/>
          <w:color w:val="auto"/>
        </w:rPr>
      </w:pPr>
      <w:r>
        <w:rPr>
          <w:rFonts w:ascii="Times New Roman" w:cs="Times New Roman" w:eastAsia="Times New Roman" w:hAnsi="Times New Roman"/>
          <w:sz w:val="24"/>
          <w:szCs w:val="24"/>
          <w:color w:val="auto"/>
        </w:rPr>
        <w:t>ÍNDICE</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9" w:lineRule="exact"/>
        <w:rPr>
          <w:sz w:val="20"/>
          <w:szCs w:val="20"/>
          <w:color w:val="auto"/>
        </w:rPr>
      </w:pPr>
    </w:p>
    <w:tbl>
      <w:tblPr>
        <w:tblLayout w:type="fixed"/>
        <w:tblInd w:w="0" w:type="dxa"/>
        <w:tblCellMar>
          <w:top w:w="0" w:type="dxa"/>
          <w:left w:w="0" w:type="dxa"/>
          <w:bottom w:w="0" w:type="dxa"/>
          <w:right w:w="0" w:type="dxa"/>
        </w:tblCellMar>
      </w:tblPr>
      <w:tr>
        <w:trPr>
          <w:trHeight w:val="227"/>
        </w:trPr>
        <w:tc>
          <w:tcPr>
            <w:tcW w:w="6000" w:type="dxa"/>
            <w:vAlign w:val="bottom"/>
          </w:tcPr>
          <w:p>
            <w:pPr>
              <w:ind w:left="2280"/>
              <w:spacing w:after="0"/>
              <w:rPr>
                <w:sz w:val="20"/>
                <w:szCs w:val="20"/>
                <w:color w:val="auto"/>
              </w:rPr>
            </w:pPr>
            <w:r>
              <w:rPr>
                <w:rFonts w:ascii="Times New Roman" w:cs="Times New Roman" w:eastAsia="Times New Roman" w:hAnsi="Times New Roman"/>
                <w:sz w:val="18"/>
                <w:szCs w:val="18"/>
                <w:color w:val="auto"/>
              </w:rPr>
              <w:t>ANÁLISIS ECOMORFOLÓGICOS</w:t>
            </w:r>
          </w:p>
        </w:tc>
        <w:tc>
          <w:tcPr>
            <w:tcW w:w="1180" w:type="dxa"/>
            <w:vAlign w:val="bottom"/>
          </w:tcPr>
          <w:p>
            <w:pPr>
              <w:spacing w:after="0"/>
              <w:rPr>
                <w:sz w:val="19"/>
                <w:szCs w:val="19"/>
                <w:color w:val="auto"/>
              </w:rPr>
            </w:pPr>
          </w:p>
        </w:tc>
      </w:tr>
      <w:tr>
        <w:trPr>
          <w:trHeight w:val="750"/>
        </w:trPr>
        <w:tc>
          <w:tcPr>
            <w:tcW w:w="6000" w:type="dxa"/>
            <w:vAlign w:val="bottom"/>
          </w:tcPr>
          <w:p>
            <w:pPr>
              <w:spacing w:after="0"/>
              <w:rPr>
                <w:sz w:val="20"/>
                <w:szCs w:val="20"/>
                <w:color w:val="auto"/>
              </w:rPr>
            </w:pPr>
            <w:r>
              <w:rPr>
                <w:rFonts w:ascii="Times New Roman" w:cs="Times New Roman" w:eastAsia="Times New Roman" w:hAnsi="Times New Roman"/>
                <w:sz w:val="18"/>
                <w:szCs w:val="18"/>
                <w:color w:val="auto"/>
              </w:rPr>
              <w:t>Algunos aspectos relacionados con la ecomorfología</w:t>
            </w:r>
          </w:p>
        </w:tc>
        <w:tc>
          <w:tcPr>
            <w:tcW w:w="1180" w:type="dxa"/>
            <w:vAlign w:val="bottom"/>
          </w:tcPr>
          <w:p>
            <w:pPr>
              <w:jc w:val="right"/>
              <w:spacing w:after="0"/>
              <w:rPr>
                <w:sz w:val="20"/>
                <w:szCs w:val="20"/>
                <w:color w:val="auto"/>
              </w:rPr>
            </w:pPr>
            <w:r>
              <w:rPr>
                <w:rFonts w:ascii="Times New Roman" w:cs="Times New Roman" w:eastAsia="Times New Roman" w:hAnsi="Times New Roman"/>
                <w:sz w:val="18"/>
                <w:szCs w:val="18"/>
                <w:color w:val="auto"/>
              </w:rPr>
              <w:t>9</w:t>
            </w:r>
          </w:p>
        </w:tc>
      </w:tr>
      <w:tr>
        <w:trPr>
          <w:trHeight w:val="500"/>
        </w:trPr>
        <w:tc>
          <w:tcPr>
            <w:tcW w:w="6000" w:type="dxa"/>
            <w:vAlign w:val="bottom"/>
          </w:tcPr>
          <w:p>
            <w:pPr>
              <w:spacing w:after="0"/>
              <w:rPr>
                <w:sz w:val="20"/>
                <w:szCs w:val="20"/>
                <w:color w:val="auto"/>
              </w:rPr>
            </w:pPr>
            <w:r>
              <w:rPr>
                <w:rFonts w:ascii="Times New Roman" w:cs="Times New Roman" w:eastAsia="Times New Roman" w:hAnsi="Times New Roman"/>
                <w:sz w:val="18"/>
                <w:szCs w:val="18"/>
                <w:color w:val="auto"/>
              </w:rPr>
              <w:t>Manual de morfometría tradicional y geométrica</w:t>
            </w:r>
          </w:p>
        </w:tc>
        <w:tc>
          <w:tcPr>
            <w:tcW w:w="1180" w:type="dxa"/>
            <w:vAlign w:val="bottom"/>
          </w:tcPr>
          <w:p>
            <w:pPr>
              <w:jc w:val="right"/>
              <w:spacing w:after="0"/>
              <w:rPr>
                <w:sz w:val="20"/>
                <w:szCs w:val="20"/>
                <w:color w:val="auto"/>
              </w:rPr>
            </w:pPr>
            <w:r>
              <w:rPr>
                <w:rFonts w:ascii="Times New Roman" w:cs="Times New Roman" w:eastAsia="Times New Roman" w:hAnsi="Times New Roman"/>
                <w:sz w:val="18"/>
                <w:szCs w:val="18"/>
                <w:color w:val="auto"/>
              </w:rPr>
              <w:t>21</w:t>
            </w:r>
          </w:p>
        </w:tc>
      </w:tr>
      <w:tr>
        <w:trPr>
          <w:trHeight w:val="750"/>
        </w:trPr>
        <w:tc>
          <w:tcPr>
            <w:tcW w:w="6000" w:type="dxa"/>
            <w:vAlign w:val="bottom"/>
          </w:tcPr>
          <w:p>
            <w:pPr>
              <w:ind w:left="2760"/>
              <w:spacing w:after="0"/>
              <w:rPr>
                <w:sz w:val="20"/>
                <w:szCs w:val="20"/>
                <w:color w:val="auto"/>
              </w:rPr>
            </w:pPr>
            <w:r>
              <w:rPr>
                <w:rFonts w:ascii="Times New Roman" w:cs="Times New Roman" w:eastAsia="Times New Roman" w:hAnsi="Times New Roman"/>
                <w:sz w:val="18"/>
                <w:szCs w:val="18"/>
                <w:color w:val="auto"/>
              </w:rPr>
              <w:t>ESTUDIOS DE CASO</w:t>
            </w:r>
          </w:p>
        </w:tc>
        <w:tc>
          <w:tcPr>
            <w:tcW w:w="1180" w:type="dxa"/>
            <w:vAlign w:val="bottom"/>
          </w:tcPr>
          <w:p>
            <w:pPr>
              <w:spacing w:after="0"/>
              <w:rPr>
                <w:sz w:val="24"/>
                <w:szCs w:val="24"/>
                <w:color w:val="auto"/>
              </w:rPr>
            </w:pPr>
          </w:p>
        </w:tc>
      </w:tr>
      <w:tr>
        <w:trPr>
          <w:trHeight w:val="750"/>
        </w:trPr>
        <w:tc>
          <w:tcPr>
            <w:tcW w:w="6000" w:type="dxa"/>
            <w:vAlign w:val="bottom"/>
          </w:tcPr>
          <w:p>
            <w:pPr>
              <w:spacing w:after="0"/>
              <w:rPr>
                <w:sz w:val="20"/>
                <w:szCs w:val="20"/>
                <w:color w:val="auto"/>
              </w:rPr>
            </w:pPr>
            <w:r>
              <w:rPr>
                <w:rFonts w:ascii="Times New Roman" w:cs="Times New Roman" w:eastAsia="Times New Roman" w:hAnsi="Times New Roman"/>
                <w:sz w:val="18"/>
                <w:szCs w:val="18"/>
                <w:color w:val="auto"/>
              </w:rPr>
              <w:t>Morfología corporal y comparación de la velocidad</w:t>
            </w:r>
          </w:p>
        </w:tc>
        <w:tc>
          <w:tcPr>
            <w:tcW w:w="1180" w:type="dxa"/>
            <w:vAlign w:val="bottom"/>
          </w:tcPr>
          <w:p>
            <w:pPr>
              <w:spacing w:after="0"/>
              <w:rPr>
                <w:sz w:val="24"/>
                <w:szCs w:val="24"/>
                <w:color w:val="auto"/>
              </w:rPr>
            </w:pPr>
          </w:p>
        </w:tc>
      </w:tr>
      <w:tr>
        <w:trPr>
          <w:trHeight w:val="250"/>
        </w:trPr>
        <w:tc>
          <w:tcPr>
            <w:tcW w:w="6000" w:type="dxa"/>
            <w:vAlign w:val="bottom"/>
          </w:tcPr>
          <w:p>
            <w:pPr>
              <w:spacing w:after="0"/>
              <w:rPr>
                <w:sz w:val="20"/>
                <w:szCs w:val="20"/>
                <w:color w:val="auto"/>
              </w:rPr>
            </w:pPr>
            <w:r>
              <w:rPr>
                <w:rFonts w:ascii="Times New Roman" w:cs="Times New Roman" w:eastAsia="Times New Roman" w:hAnsi="Times New Roman"/>
                <w:sz w:val="18"/>
                <w:szCs w:val="18"/>
                <w:color w:val="auto"/>
              </w:rPr>
              <w:t>de escape en algunas especies de lacertillos mexicanos</w:t>
            </w:r>
          </w:p>
        </w:tc>
        <w:tc>
          <w:tcPr>
            <w:tcW w:w="1180" w:type="dxa"/>
            <w:vAlign w:val="bottom"/>
          </w:tcPr>
          <w:p>
            <w:pPr>
              <w:spacing w:after="0"/>
              <w:rPr>
                <w:sz w:val="21"/>
                <w:szCs w:val="21"/>
                <w:color w:val="auto"/>
              </w:rPr>
            </w:pPr>
          </w:p>
        </w:tc>
      </w:tr>
      <w:tr>
        <w:trPr>
          <w:trHeight w:val="250"/>
        </w:trPr>
        <w:tc>
          <w:tcPr>
            <w:tcW w:w="6000" w:type="dxa"/>
            <w:vAlign w:val="bottom"/>
          </w:tcPr>
          <w:p>
            <w:pPr>
              <w:spacing w:after="0"/>
              <w:rPr>
                <w:sz w:val="20"/>
                <w:szCs w:val="20"/>
                <w:color w:val="auto"/>
              </w:rPr>
            </w:pPr>
            <w:r>
              <w:rPr>
                <w:rFonts w:ascii="Times New Roman" w:cs="Times New Roman" w:eastAsia="Times New Roman" w:hAnsi="Times New Roman"/>
                <w:sz w:val="18"/>
                <w:szCs w:val="18"/>
                <w:i w:val="1"/>
                <w:iCs w:val="1"/>
                <w:color w:val="auto"/>
              </w:rPr>
              <w:t>O. Suárez-Rodríguez, F. Rodríguez-Romero, F. Méndez-Sánchez</w:t>
            </w:r>
          </w:p>
        </w:tc>
        <w:tc>
          <w:tcPr>
            <w:tcW w:w="1180" w:type="dxa"/>
            <w:vAlign w:val="bottom"/>
          </w:tcPr>
          <w:p>
            <w:pPr>
              <w:jc w:val="right"/>
              <w:spacing w:after="0"/>
              <w:rPr>
                <w:sz w:val="20"/>
                <w:szCs w:val="20"/>
                <w:color w:val="auto"/>
              </w:rPr>
            </w:pPr>
            <w:r>
              <w:rPr>
                <w:rFonts w:ascii="Times New Roman" w:cs="Times New Roman" w:eastAsia="Times New Roman" w:hAnsi="Times New Roman"/>
                <w:sz w:val="18"/>
                <w:szCs w:val="18"/>
                <w:color w:val="auto"/>
              </w:rPr>
              <w:t>49</w:t>
            </w:r>
          </w:p>
        </w:tc>
      </w:tr>
      <w:tr>
        <w:trPr>
          <w:trHeight w:val="500"/>
        </w:trPr>
        <w:tc>
          <w:tcPr>
            <w:tcW w:w="6000" w:type="dxa"/>
            <w:vAlign w:val="bottom"/>
          </w:tcPr>
          <w:p>
            <w:pPr>
              <w:spacing w:after="0"/>
              <w:rPr>
                <w:sz w:val="20"/>
                <w:szCs w:val="20"/>
                <w:color w:val="auto"/>
              </w:rPr>
            </w:pPr>
            <w:r>
              <w:rPr>
                <w:rFonts w:ascii="Times New Roman" w:cs="Times New Roman" w:eastAsia="Times New Roman" w:hAnsi="Times New Roman"/>
                <w:sz w:val="18"/>
                <w:szCs w:val="18"/>
                <w:color w:val="auto"/>
              </w:rPr>
              <w:t xml:space="preserve">Morfología geométrica de las escamas cefálicas en </w:t>
            </w:r>
            <w:r>
              <w:rPr>
                <w:rFonts w:ascii="Times New Roman" w:cs="Times New Roman" w:eastAsia="Times New Roman" w:hAnsi="Times New Roman"/>
                <w:sz w:val="18"/>
                <w:szCs w:val="18"/>
                <w:i w:val="1"/>
                <w:iCs w:val="1"/>
                <w:color w:val="auto"/>
              </w:rPr>
              <w:t>Barisia imbricata</w:t>
            </w:r>
          </w:p>
        </w:tc>
        <w:tc>
          <w:tcPr>
            <w:tcW w:w="1180" w:type="dxa"/>
            <w:vAlign w:val="bottom"/>
          </w:tcPr>
          <w:p>
            <w:pPr>
              <w:spacing w:after="0"/>
              <w:rPr>
                <w:sz w:val="24"/>
                <w:szCs w:val="24"/>
                <w:color w:val="auto"/>
              </w:rPr>
            </w:pPr>
          </w:p>
        </w:tc>
      </w:tr>
      <w:tr>
        <w:trPr>
          <w:trHeight w:val="250"/>
        </w:trPr>
        <w:tc>
          <w:tcPr>
            <w:tcW w:w="6000" w:type="dxa"/>
            <w:vAlign w:val="bottom"/>
          </w:tcPr>
          <w:p>
            <w:pPr>
              <w:spacing w:after="0"/>
              <w:rPr>
                <w:sz w:val="20"/>
                <w:szCs w:val="20"/>
                <w:color w:val="auto"/>
              </w:rPr>
            </w:pPr>
            <w:r>
              <w:rPr>
                <w:rFonts w:ascii="Times New Roman" w:cs="Times New Roman" w:eastAsia="Times New Roman" w:hAnsi="Times New Roman"/>
                <w:sz w:val="18"/>
                <w:szCs w:val="18"/>
                <w:i w:val="1"/>
                <w:iCs w:val="1"/>
                <w:color w:val="auto"/>
              </w:rPr>
              <w:t>J. M. Carmen-Cristóbal, F. Rodríguez-Romero, P. Sánchez-Nava</w:t>
            </w:r>
          </w:p>
        </w:tc>
        <w:tc>
          <w:tcPr>
            <w:tcW w:w="1180" w:type="dxa"/>
            <w:vAlign w:val="bottom"/>
          </w:tcPr>
          <w:p>
            <w:pPr>
              <w:jc w:val="right"/>
              <w:spacing w:after="0"/>
              <w:rPr>
                <w:sz w:val="20"/>
                <w:szCs w:val="20"/>
                <w:color w:val="auto"/>
              </w:rPr>
            </w:pPr>
            <w:r>
              <w:rPr>
                <w:rFonts w:ascii="Times New Roman" w:cs="Times New Roman" w:eastAsia="Times New Roman" w:hAnsi="Times New Roman"/>
                <w:sz w:val="18"/>
                <w:szCs w:val="18"/>
                <w:color w:val="auto"/>
              </w:rPr>
              <w:t>83</w:t>
            </w:r>
          </w:p>
        </w:tc>
      </w:tr>
      <w:tr>
        <w:trPr>
          <w:trHeight w:val="500"/>
        </w:trPr>
        <w:tc>
          <w:tcPr>
            <w:tcW w:w="6000" w:type="dxa"/>
            <w:vAlign w:val="bottom"/>
          </w:tcPr>
          <w:p>
            <w:pPr>
              <w:spacing w:after="0"/>
              <w:rPr>
                <w:sz w:val="20"/>
                <w:szCs w:val="20"/>
                <w:color w:val="auto"/>
              </w:rPr>
            </w:pPr>
            <w:r>
              <w:rPr>
                <w:rFonts w:ascii="Times New Roman" w:cs="Times New Roman" w:eastAsia="Times New Roman" w:hAnsi="Times New Roman"/>
                <w:sz w:val="18"/>
                <w:szCs w:val="18"/>
                <w:color w:val="auto"/>
              </w:rPr>
              <w:t>Morfometría externa del corazón de dos especies hermanas del grupo</w:t>
            </w:r>
          </w:p>
        </w:tc>
        <w:tc>
          <w:tcPr>
            <w:tcW w:w="1180" w:type="dxa"/>
            <w:vAlign w:val="bottom"/>
          </w:tcPr>
          <w:p>
            <w:pPr>
              <w:spacing w:after="0"/>
              <w:rPr>
                <w:sz w:val="24"/>
                <w:szCs w:val="24"/>
                <w:color w:val="auto"/>
              </w:rPr>
            </w:pPr>
          </w:p>
        </w:tc>
      </w:tr>
      <w:tr>
        <w:trPr>
          <w:trHeight w:val="250"/>
        </w:trPr>
        <w:tc>
          <w:tcPr>
            <w:tcW w:w="6000" w:type="dxa"/>
            <w:vAlign w:val="bottom"/>
          </w:tcPr>
          <w:p>
            <w:pPr>
              <w:spacing w:after="0"/>
              <w:rPr>
                <w:sz w:val="20"/>
                <w:szCs w:val="20"/>
                <w:color w:val="auto"/>
              </w:rPr>
            </w:pPr>
            <w:r>
              <w:rPr>
                <w:rFonts w:ascii="Times New Roman" w:cs="Times New Roman" w:eastAsia="Times New Roman" w:hAnsi="Times New Roman"/>
                <w:sz w:val="18"/>
                <w:szCs w:val="18"/>
                <w:color w:val="auto"/>
              </w:rPr>
              <w:t>scalaris con diferente modo reproductor y de distintas altitudes</w:t>
            </w:r>
          </w:p>
        </w:tc>
        <w:tc>
          <w:tcPr>
            <w:tcW w:w="1180" w:type="dxa"/>
            <w:vAlign w:val="bottom"/>
          </w:tcPr>
          <w:p>
            <w:pPr>
              <w:spacing w:after="0"/>
              <w:rPr>
                <w:sz w:val="21"/>
                <w:szCs w:val="21"/>
                <w:color w:val="auto"/>
              </w:rPr>
            </w:pPr>
          </w:p>
        </w:tc>
      </w:tr>
      <w:tr>
        <w:trPr>
          <w:trHeight w:val="250"/>
        </w:trPr>
        <w:tc>
          <w:tcPr>
            <w:tcW w:w="6000" w:type="dxa"/>
            <w:vAlign w:val="bottom"/>
          </w:tcPr>
          <w:p>
            <w:pPr>
              <w:spacing w:after="0"/>
              <w:rPr>
                <w:sz w:val="20"/>
                <w:szCs w:val="20"/>
                <w:color w:val="auto"/>
              </w:rPr>
            </w:pPr>
            <w:r>
              <w:rPr>
                <w:rFonts w:ascii="Times New Roman" w:cs="Times New Roman" w:eastAsia="Times New Roman" w:hAnsi="Times New Roman"/>
                <w:sz w:val="18"/>
                <w:szCs w:val="18"/>
                <w:i w:val="1"/>
                <w:iCs w:val="1"/>
                <w:color w:val="auto"/>
              </w:rPr>
              <w:t>M. Ruiz-Valencia, F. Rodríguez-Romero, F. Méndez-Sánchez</w:t>
            </w:r>
          </w:p>
        </w:tc>
        <w:tc>
          <w:tcPr>
            <w:tcW w:w="1180" w:type="dxa"/>
            <w:vAlign w:val="bottom"/>
          </w:tcPr>
          <w:p>
            <w:pPr>
              <w:jc w:val="right"/>
              <w:spacing w:after="0"/>
              <w:rPr>
                <w:sz w:val="20"/>
                <w:szCs w:val="20"/>
                <w:color w:val="auto"/>
              </w:rPr>
            </w:pPr>
            <w:r>
              <w:rPr>
                <w:rFonts w:ascii="Times New Roman" w:cs="Times New Roman" w:eastAsia="Times New Roman" w:hAnsi="Times New Roman"/>
                <w:sz w:val="18"/>
                <w:szCs w:val="18"/>
                <w:color w:val="auto"/>
              </w:rPr>
              <w:t>105</w:t>
            </w:r>
          </w:p>
        </w:tc>
      </w:tr>
      <w:tr>
        <w:trPr>
          <w:trHeight w:val="500"/>
        </w:trPr>
        <w:tc>
          <w:tcPr>
            <w:tcW w:w="6000" w:type="dxa"/>
            <w:vAlign w:val="bottom"/>
          </w:tcPr>
          <w:p>
            <w:pPr>
              <w:spacing w:after="0"/>
              <w:rPr>
                <w:sz w:val="20"/>
                <w:szCs w:val="20"/>
                <w:color w:val="auto"/>
              </w:rPr>
            </w:pPr>
            <w:r>
              <w:rPr>
                <w:rFonts w:ascii="Times New Roman" w:cs="Times New Roman" w:eastAsia="Times New Roman" w:hAnsi="Times New Roman"/>
                <w:sz w:val="18"/>
                <w:szCs w:val="18"/>
                <w:color w:val="auto"/>
              </w:rPr>
              <w:t>Morfometría geométrica de las escamas cefálicas de dos especies hermanas</w:t>
            </w:r>
          </w:p>
        </w:tc>
        <w:tc>
          <w:tcPr>
            <w:tcW w:w="1180" w:type="dxa"/>
            <w:vAlign w:val="bottom"/>
          </w:tcPr>
          <w:p>
            <w:pPr>
              <w:spacing w:after="0"/>
              <w:rPr>
                <w:sz w:val="24"/>
                <w:szCs w:val="24"/>
                <w:color w:val="auto"/>
              </w:rPr>
            </w:pPr>
          </w:p>
        </w:tc>
      </w:tr>
      <w:tr>
        <w:trPr>
          <w:trHeight w:val="250"/>
        </w:trPr>
        <w:tc>
          <w:tcPr>
            <w:tcW w:w="6000" w:type="dxa"/>
            <w:vAlign w:val="bottom"/>
          </w:tcPr>
          <w:p>
            <w:pPr>
              <w:spacing w:after="0"/>
              <w:rPr>
                <w:sz w:val="20"/>
                <w:szCs w:val="20"/>
                <w:color w:val="auto"/>
              </w:rPr>
            </w:pPr>
            <w:r>
              <w:rPr>
                <w:rFonts w:ascii="Times New Roman" w:cs="Times New Roman" w:eastAsia="Times New Roman" w:hAnsi="Times New Roman"/>
                <w:sz w:val="18"/>
                <w:szCs w:val="18"/>
                <w:color w:val="auto"/>
              </w:rPr>
              <w:t xml:space="preserve">del género </w:t>
            </w:r>
            <w:r>
              <w:rPr>
                <w:rFonts w:ascii="Times New Roman" w:cs="Times New Roman" w:eastAsia="Times New Roman" w:hAnsi="Times New Roman"/>
                <w:sz w:val="18"/>
                <w:szCs w:val="18"/>
                <w:i w:val="1"/>
                <w:iCs w:val="1"/>
                <w:color w:val="auto"/>
              </w:rPr>
              <w:t>sceloporus</w:t>
            </w:r>
            <w:r>
              <w:rPr>
                <w:rFonts w:ascii="Times New Roman" w:cs="Times New Roman" w:eastAsia="Times New Roman" w:hAnsi="Times New Roman"/>
                <w:sz w:val="18"/>
                <w:szCs w:val="18"/>
                <w:color w:val="auto"/>
              </w:rPr>
              <w:t xml:space="preserve"> (sauria: phrynosomatidae)</w:t>
            </w:r>
          </w:p>
        </w:tc>
        <w:tc>
          <w:tcPr>
            <w:tcW w:w="1180" w:type="dxa"/>
            <w:vAlign w:val="bottom"/>
          </w:tcPr>
          <w:p>
            <w:pPr>
              <w:spacing w:after="0"/>
              <w:rPr>
                <w:sz w:val="21"/>
                <w:szCs w:val="21"/>
                <w:color w:val="auto"/>
              </w:rPr>
            </w:pPr>
          </w:p>
        </w:tc>
      </w:tr>
      <w:tr>
        <w:trPr>
          <w:trHeight w:val="250"/>
        </w:trPr>
        <w:tc>
          <w:tcPr>
            <w:tcW w:w="6000" w:type="dxa"/>
            <w:vAlign w:val="bottom"/>
          </w:tcPr>
          <w:p>
            <w:pPr>
              <w:spacing w:after="0"/>
              <w:rPr>
                <w:sz w:val="20"/>
                <w:szCs w:val="20"/>
                <w:color w:val="auto"/>
              </w:rPr>
            </w:pPr>
            <w:r>
              <w:rPr>
                <w:rFonts w:ascii="Times New Roman" w:cs="Times New Roman" w:eastAsia="Times New Roman" w:hAnsi="Times New Roman"/>
                <w:sz w:val="18"/>
                <w:szCs w:val="18"/>
                <w:i w:val="1"/>
                <w:iCs w:val="1"/>
                <w:color w:val="auto"/>
              </w:rPr>
              <w:t>S. Galindo-Gil, F. Rodríguez-Romero, R. Moreno-Barajas</w:t>
            </w:r>
          </w:p>
        </w:tc>
        <w:tc>
          <w:tcPr>
            <w:tcW w:w="1180" w:type="dxa"/>
            <w:vAlign w:val="bottom"/>
          </w:tcPr>
          <w:p>
            <w:pPr>
              <w:jc w:val="right"/>
              <w:spacing w:after="0"/>
              <w:rPr>
                <w:sz w:val="20"/>
                <w:szCs w:val="20"/>
                <w:color w:val="auto"/>
              </w:rPr>
            </w:pPr>
            <w:r>
              <w:rPr>
                <w:rFonts w:ascii="Times New Roman" w:cs="Times New Roman" w:eastAsia="Times New Roman" w:hAnsi="Times New Roman"/>
                <w:sz w:val="18"/>
                <w:szCs w:val="18"/>
                <w:color w:val="auto"/>
              </w:rPr>
              <w:t>135</w:t>
            </w:r>
          </w:p>
        </w:tc>
      </w:tr>
      <w:p>
        <w:pPr>
          <w:sectPr>
            <w:pgSz w:w="9360" w:h="13039" w:orient="portrait"/>
            <w:cols w:equalWidth="0" w:num="1">
              <w:col w:w="7180"/>
            </w:cols>
            <w:pgMar w:left="1080" w:top="1440" w:right="1100" w:bottom="1440" w:gutter="0" w:footer="0" w:header="0"/>
          </w:sectPr>
        </w:pPr>
      </w:p>
      <w:bookmarkStart w:id="152" w:name="page153"/>
      <w:bookmarkEnd w:id="152"/>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1" w:lineRule="exact"/>
        <w:rPr>
          <w:sz w:val="20"/>
          <w:szCs w:val="20"/>
          <w:color w:val="auto"/>
        </w:rPr>
      </w:pPr>
    </w:p>
    <w:p>
      <w:pPr>
        <w:jc w:val="both"/>
        <w:spacing w:after="0" w:line="336" w:lineRule="auto"/>
        <w:rPr>
          <w:sz w:val="20"/>
          <w:szCs w:val="20"/>
          <w:color w:val="auto"/>
        </w:rPr>
      </w:pPr>
      <w:r>
        <w:rPr>
          <w:rFonts w:ascii="Times New Roman" w:cs="Times New Roman" w:eastAsia="Times New Roman" w:hAnsi="Times New Roman"/>
          <w:sz w:val="15"/>
          <w:szCs w:val="15"/>
          <w:i w:val="1"/>
          <w:iCs w:val="1"/>
          <w:color w:val="auto"/>
        </w:rPr>
        <w:t xml:space="preserve">Análisis ecomorfológicos y estudios de caso en México </w:t>
      </w:r>
      <w:r>
        <w:rPr>
          <w:rFonts w:ascii="Times New Roman" w:cs="Times New Roman" w:eastAsia="Times New Roman" w:hAnsi="Times New Roman"/>
          <w:sz w:val="15"/>
          <w:szCs w:val="15"/>
          <w:color w:val="auto"/>
        </w:rPr>
        <w:t>de Ruth</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15"/>
          <w:szCs w:val="15"/>
          <w:color w:val="auto"/>
        </w:rPr>
        <w:t xml:space="preserve">Moreno-Barajas, Felipe de Jesús Rodríguez-Romero, Alma S. Velázquez-Rodríguez, Petra Sánchez-Nava (compiladores), se terminó de imprimir en abril de 2014, en editorial </w:t>
      </w:r>
      <w:r>
        <w:rPr>
          <w:rFonts w:ascii="Times New Roman" w:cs="Times New Roman" w:eastAsia="Times New Roman" w:hAnsi="Times New Roman"/>
          <w:sz w:val="17"/>
          <w:szCs w:val="17"/>
          <w:color w:val="auto"/>
        </w:rPr>
        <w:t>cigome</w:t>
      </w:r>
      <w:r>
        <w:rPr>
          <w:rFonts w:ascii="Times New Roman" w:cs="Times New Roman" w:eastAsia="Times New Roman" w:hAnsi="Times New Roman"/>
          <w:sz w:val="15"/>
          <w:szCs w:val="15"/>
          <w:color w:val="auto"/>
        </w:rPr>
        <w:t xml:space="preserve"> S.A. de C.V. El tiraje consta de 250 ejemplares.</w:t>
      </w:r>
    </w:p>
    <w:p>
      <w:pPr>
        <w:jc w:val="both"/>
        <w:spacing w:after="0" w:line="336" w:lineRule="auto"/>
        <w:rPr>
          <w:sz w:val="20"/>
          <w:szCs w:val="20"/>
          <w:color w:val="auto"/>
        </w:rPr>
      </w:pPr>
      <w:r>
        <w:rPr>
          <w:sz w:val="20"/>
          <w:szCs w:val="20"/>
          <w:color w:val="auto"/>
        </w:rPr>
        <w:drawing>
          <wp:anchor simplePos="0" relativeHeight="251657728" behindDoc="1" locked="0" layoutInCell="0" allowOverlap="1">
            <wp:simplePos x="0" y="0"/>
            <wp:positionH relativeFrom="column">
              <wp:posOffset>713105</wp:posOffset>
            </wp:positionH>
            <wp:positionV relativeFrom="paragraph">
              <wp:posOffset>451485</wp:posOffset>
            </wp:positionV>
            <wp:extent cx="1116965" cy="766445"/>
            <wp:wrapNone/>
            <wp:docPr id="383" name="Pictur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
                    <pic:cNvPicPr>
                      <a:picLocks noChangeAspect="1" noChangeArrowheads="1"/>
                    </pic:cNvPicPr>
                  </pic:nvPicPr>
                  <pic:blipFill>
                    <a:blip r:embed="rId69">
                      <a:extLst>
                        <a:ext uri="{28A0092B-C50C-407E-A947-70E740481C1C}"/>
                      </a:extLst>
                    </a:blip>
                    <a:srcRect/>
                    <a:stretch>
                      <a:fillRect/>
                    </a:stretch>
                  </pic:blipFill>
                  <pic:spPr bwMode="auto">
                    <a:xfrm>
                      <a:off x="0" y="0"/>
                      <a:ext cx="1116965" cy="766445"/>
                    </a:xfrm>
                    <a:prstGeom prst="rect">
                      <a:avLst/>
                    </a:prstGeom>
                    <a:noFill/>
                  </pic:spPr>
                </pic:pic>
              </a:graphicData>
            </a:graphic>
          </wp:anchor>
        </w:drawing>
      </w:r>
    </w:p>
    <w:sectPr>
      <w:pgSz w:w="9360" w:h="13039" w:orient="portrait"/>
      <w:cols w:equalWidth="0" w:num="1">
        <w:col w:w="4000"/>
      </w:cols>
      <w:pgMar w:left="2680" w:top="1440" w:right="2680" w:bottom="1440" w:gutter="0" w:footer="0" w:header="0"/>
    </w:sectPr>
  </w:body>
</w:document>
</file>

<file path=word/fontTable.xml><?xml version="1.0" encoding="utf-8"?>
<w:font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2000009F" w:csb1="DFD70000"/>
  </w:font>
  <w:font w:name="Arial">
    <w:panose1 w:val="020B0604020202020204"/>
    <w:charset w:val="00"/>
    <w:family w:val="swiss"/>
    <w:pitch w:val="variable"/>
    <w:sig w:usb0="E0002EFF" w:usb1="C0007843" w:usb2="00000009" w:usb3="00000000" w:csb0="400001FF" w:csb1="FFFF0000"/>
  </w:font>
</w:fonts>
</file>

<file path=word/numbering.xml><?xml version="1.0" encoding="utf-8"?>
<w:numbering xmlns:w="http://schemas.openxmlformats.org/wordprocessingml/2006/main">
  <w:abstractNum w:abstractNumId="0">
    <w:nsid w:val="41A7C4C9"/>
    <w:multiLevelType w:val="hybridMultilevel"/>
    <w:lvl w:ilvl="0">
      <w:lvlJc w:val="left"/>
      <w:lvlText w:val="%1)"/>
      <w:numFmt w:val="lowerLetter"/>
      <w:start w:val="2"/>
    </w:lvl>
  </w:abstractNum>
  <w:abstractNum w:abstractNumId="1">
    <w:nsid w:val="6B68079A"/>
    <w:multiLevelType w:val="hybridMultilevel"/>
    <w:lvl w:ilvl="0">
      <w:lvlJc w:val="left"/>
      <w:lvlText w:val="\emdash \e"/>
      <w:numFmt w:val="bullet"/>
      <w:start w:val="1"/>
    </w:lvl>
  </w:abstractNum>
  <w:abstractNum w:abstractNumId="2">
    <w:nsid w:val="4E6AFB66"/>
    <w:multiLevelType w:val="hybridMultilevel"/>
    <w:lvl w:ilvl="0">
      <w:lvlJc w:val="left"/>
      <w:lvlText w:val="•"/>
      <w:numFmt w:val="bullet"/>
      <w:start w:val="1"/>
    </w:lvl>
    <w:lvl w:ilvl="1">
      <w:lvlJc w:val="left"/>
      <w:lvlText w:val="-"/>
      <w:numFmt w:val="bullet"/>
      <w:start w:val="1"/>
    </w:lvl>
    <w:lvl w:ilvl="2">
      <w:lvlJc w:val="left"/>
      <w:lvlText w:val="-"/>
      <w:numFmt w:val="bullet"/>
      <w:start w:val="1"/>
    </w:lvl>
  </w:abstractNum>
  <w:abstractNum w:abstractNumId="3">
    <w:nsid w:val="25E45D32"/>
    <w:multiLevelType w:val="hybridMultilevel"/>
    <w:lvl w:ilvl="0">
      <w:lvlJc w:val="left"/>
      <w:lvlText w:val="%1)"/>
      <w:numFmt w:val="decimal"/>
      <w:start w:val="2"/>
    </w:lvl>
    <w:lvl w:ilvl="1">
      <w:lvlJc w:val="left"/>
      <w:lvlText w:val="-"/>
      <w:numFmt w:val="bullet"/>
      <w:start w:val="1"/>
    </w:lvl>
  </w:abstractNum>
  <w:abstractNum w:abstractNumId="4">
    <w:nsid w:val="519B500D"/>
    <w:multiLevelType w:val="hybridMultilevel"/>
    <w:lvl w:ilvl="0">
      <w:lvlJc w:val="left"/>
      <w:lvlText w:val="•"/>
      <w:numFmt w:val="bullet"/>
      <w:start w:val="1"/>
    </w:lvl>
  </w:abstractNum>
  <w:abstractNum w:abstractNumId="5">
    <w:nsid w:val="431BD7B7"/>
    <w:multiLevelType w:val="hybridMultilevel"/>
    <w:lvl w:ilvl="0">
      <w:lvlJc w:val="left"/>
      <w:lvlText w:val="%1."/>
      <w:numFmt w:val="decimal"/>
      <w:start w:val="1"/>
    </w:lvl>
  </w:abstractNum>
  <w:abstractNum w:abstractNumId="6">
    <w:nsid w:val="3F2DBA31"/>
    <w:multiLevelType w:val="hybridMultilevel"/>
    <w:lvl w:ilvl="0">
      <w:lvlJc w:val="left"/>
      <w:lvlText w:val="%1."/>
      <w:numFmt w:val="decimal"/>
      <w:start w:val="2"/>
    </w:lvl>
  </w:abstractNum>
  <w:abstractNum w:abstractNumId="7">
    <w:nsid w:val="7C83E458"/>
    <w:multiLevelType w:val="hybridMultilevel"/>
    <w:lvl w:ilvl="0">
      <w:lvlJc w:val="left"/>
      <w:lvlText w:val="2.%1."/>
      <w:numFmt w:val="decimal"/>
      <w:start w:val="2"/>
    </w:lvl>
    <w:lvl w:ilvl="1">
      <w:lvlJc w:val="left"/>
      <w:lvlText w:val="%2)"/>
      <w:numFmt w:val="lowerLetter"/>
      <w:start w:val="1"/>
    </w:lvl>
  </w:abstractNum>
  <w:abstractNum w:abstractNumId="8">
    <w:nsid w:val="257130A3"/>
    <w:multiLevelType w:val="hybridMultilevel"/>
    <w:lvl w:ilvl="0">
      <w:lvlJc w:val="left"/>
      <w:lvlText w:val="%1)"/>
      <w:numFmt w:val="lowerLetter"/>
      <w:start w:val="4"/>
    </w:lvl>
  </w:abstractNum>
  <w:abstractNum w:abstractNumId="9">
    <w:nsid w:val="62BBD95A"/>
    <w:multiLevelType w:val="hybridMultilevel"/>
    <w:lvl w:ilvl="0">
      <w:lvlJc w:val="left"/>
      <w:lvlText w:val="%1."/>
      <w:numFmt w:val="decimal"/>
      <w:start w:val="3"/>
    </w:lvl>
    <w:lvl w:ilvl="1">
      <w:lvlJc w:val="left"/>
      <w:lvlText w:val="%2)"/>
      <w:numFmt w:val="lowerLetter"/>
      <w:start w:val="1"/>
    </w:lvl>
  </w:abstractNum>
  <w:abstractNum w:abstractNumId="10">
    <w:nsid w:val="436C6125"/>
    <w:multiLevelType w:val="hybridMultilevel"/>
    <w:lvl w:ilvl="0">
      <w:lvlJc w:val="left"/>
      <w:lvlText w:val="%1."/>
      <w:numFmt w:val="decimal"/>
      <w:start w:val="4"/>
    </w:lvl>
  </w:abstractNum>
  <w:abstractNum w:abstractNumId="11">
    <w:nsid w:val="628C895D"/>
    <w:multiLevelType w:val="hybridMultilevel"/>
    <w:lvl w:ilvl="0">
      <w:lvlJc w:val="left"/>
      <w:lvlText w:val="%1."/>
      <w:numFmt w:val="decimal"/>
      <w:start w:val="1"/>
    </w:lvl>
  </w:abstractNum>
  <w:abstractNum w:abstractNumId="12">
    <w:nsid w:val="333AB105"/>
    <w:multiLevelType w:val="hybridMultilevel"/>
    <w:lvl w:ilvl="0">
      <w:lvlJc w:val="left"/>
      <w:lvlText w:val="%1."/>
      <w:numFmt w:val="decimal"/>
      <w:start w:val="2"/>
    </w:lvl>
    <w:lvl w:ilvl="1">
      <w:lvlJc w:val="left"/>
      <w:lvlText w:val="%2)"/>
      <w:numFmt w:val="lowerLetter"/>
      <w:start w:val="1"/>
    </w:lvl>
  </w:abstractNum>
  <w:abstractNum w:abstractNumId="13">
    <w:nsid w:val="721DA317"/>
    <w:multiLevelType w:val="hybridMultilevel"/>
    <w:lvl w:ilvl="0">
      <w:lvlJc w:val="left"/>
      <w:lvlText w:val="3.%1."/>
      <w:numFmt w:val="decimal"/>
      <w:start w:val="1"/>
    </w:lvl>
    <w:lvl w:ilvl="1">
      <w:lvlJc w:val="left"/>
      <w:lvlText w:val="%2)"/>
      <w:numFmt w:val="lowerLetter"/>
      <w:start w:val="1"/>
    </w:lvl>
  </w:abstractNum>
  <w:abstractNum w:abstractNumId="14">
    <w:nsid w:val="2443A858"/>
    <w:multiLevelType w:val="hybridMultilevel"/>
    <w:lvl w:ilvl="0">
      <w:lvlJc w:val="left"/>
      <w:lvlText w:val="%1."/>
      <w:numFmt w:val="decimal"/>
      <w:start w:val="4"/>
    </w:lvl>
    <w:lvl w:ilvl="1">
      <w:lvlJc w:val="left"/>
      <w:lvlText w:val="%2)"/>
      <w:numFmt w:val="lowerLetter"/>
      <w:start w:val="1"/>
    </w:lvl>
  </w:abstractNum>
  <w:abstractNum w:abstractNumId="15">
    <w:nsid w:val="2D1D5AE9"/>
    <w:multiLevelType w:val="hybridMultilevel"/>
    <w:lvl w:ilvl="0">
      <w:lvlJc w:val="left"/>
      <w:lvlText w:val="%1."/>
      <w:numFmt w:val="decimal"/>
      <w:start w:val="5"/>
    </w:lvl>
  </w:abstractNum>
  <w:abstractNum w:abstractNumId="16">
    <w:nsid w:val="6763845E"/>
    <w:multiLevelType w:val="hybridMultilevel"/>
    <w:lvl w:ilvl="0">
      <w:lvlJc w:val="left"/>
      <w:lvlText w:val="%1."/>
      <w:numFmt w:val="decimal"/>
      <w:start w:val="6"/>
    </w:lvl>
    <w:lvl w:ilvl="1">
      <w:lvlJc w:val="left"/>
      <w:lvlText w:val="%2)"/>
      <w:numFmt w:val="lowerLetter"/>
      <w:start w:val="1"/>
    </w:lvl>
  </w:abstractNum>
  <w:abstractNum w:abstractNumId="17">
    <w:nsid w:val="75A2A8D4"/>
    <w:multiLevelType w:val="hybridMultilevel"/>
    <w:lvl w:ilvl="0">
      <w:lvlJc w:val="left"/>
      <w:lvlText w:val="%1."/>
      <w:numFmt w:val="decimal"/>
      <w:start w:val="1"/>
    </w:lvl>
    <w:lvl w:ilvl="1">
      <w:lvlJc w:val="left"/>
      <w:lvlText w:val="%2)"/>
      <w:numFmt w:val="lowerLetter"/>
      <w:start w:val="1"/>
    </w:lvl>
  </w:abstractNum>
  <w:abstractNum w:abstractNumId="18">
    <w:nsid w:val="8EDBDAB"/>
    <w:multiLevelType w:val="hybridMultilevel"/>
    <w:lvl w:ilvl="0">
      <w:lvlJc w:val="left"/>
      <w:lvlText w:val="%1."/>
      <w:numFmt w:val="decimal"/>
      <w:start w:val="2"/>
    </w:lvl>
    <w:lvl w:ilvl="1">
      <w:lvlJc w:val="left"/>
      <w:lvlText w:val="2.%2."/>
      <w:numFmt w:val="decimal"/>
      <w:start w:val="1"/>
    </w:lvl>
    <w:lvl w:ilvl="2">
      <w:lvlJc w:val="left"/>
      <w:lvlText w:val="%3)"/>
      <w:numFmt w:val="lowerLetter"/>
      <w:start w:val="1"/>
    </w:lvl>
  </w:abstractNum>
  <w:abstractNum w:abstractNumId="19">
    <w:nsid w:val="79838CB2"/>
    <w:multiLevelType w:val="hybridMultilevel"/>
    <w:lvl w:ilvl="0">
      <w:lvlJc w:val="left"/>
      <w:lvlText w:val="%1)"/>
      <w:numFmt w:val="lowerLetter"/>
      <w:start w:val="4"/>
    </w:lvl>
  </w:abstractNum>
  <w:abstractNum w:abstractNumId="20">
    <w:nsid w:val="4353D0CD"/>
    <w:multiLevelType w:val="hybridMultilevel"/>
    <w:lvl w:ilvl="0">
      <w:lvlJc w:val="left"/>
      <w:lvlText w:val="%1)"/>
      <w:numFmt w:val="lowerLetter"/>
      <w:start w:val="7"/>
    </w:lvl>
  </w:abstractNum>
  <w:abstractNum w:abstractNumId="21">
    <w:nsid w:val="B03E0C6"/>
    <w:multiLevelType w:val="hybridMultilevel"/>
    <w:lvl w:ilvl="0">
      <w:lvlJc w:val="left"/>
      <w:lvlText w:val="%1."/>
      <w:numFmt w:val="decimal"/>
      <w:start w:val="3"/>
    </w:lvl>
    <w:lvl w:ilvl="1">
      <w:lvlJc w:val="left"/>
      <w:lvlText w:val="%2)"/>
      <w:numFmt w:val="lowerLetter"/>
      <w:start w:val="1"/>
    </w:lvl>
  </w:abstractNum>
  <w:abstractNum w:abstractNumId="22">
    <w:nsid w:val="189A769B"/>
    <w:multiLevelType w:val="hybridMultilevel"/>
    <w:lvl w:ilvl="0">
      <w:lvlJc w:val="left"/>
      <w:lvlText w:val="%1."/>
      <w:numFmt w:val="decimal"/>
      <w:start w:val="1"/>
    </w:lvl>
  </w:abstractNum>
  <w:abstractNum w:abstractNumId="23">
    <w:nsid w:val="54E49EB4"/>
    <w:multiLevelType w:val="hybridMultilevel"/>
    <w:lvl w:ilvl="0">
      <w:lvlJc w:val="left"/>
      <w:lvlText w:val="%1)"/>
      <w:numFmt w:val="lowerLetter"/>
      <w:start w:val="1"/>
    </w:lvl>
  </w:abstractNum>
  <w:abstractNum w:abstractNumId="24">
    <w:nsid w:val="71F32454"/>
    <w:multiLevelType w:val="hybridMultilevel"/>
    <w:lvl w:ilvl="0">
      <w:lvlJc w:val="left"/>
      <w:lvlText w:val="%1)"/>
      <w:numFmt w:val="lowerLetter"/>
      <w:start w:val="3"/>
    </w:lvl>
  </w:abstractNum>
  <w:abstractNum w:abstractNumId="25">
    <w:nsid w:val="2CA88611"/>
    <w:multiLevelType w:val="hybridMultilevel"/>
    <w:lvl w:ilvl="0">
      <w:lvlJc w:val="left"/>
      <w:lvlText w:val="%1)"/>
      <w:numFmt w:val="lowerLetter"/>
      <w:start w:val="1"/>
    </w:lvl>
  </w:abstractNum>
  <w:abstractNum w:abstractNumId="26">
    <w:nsid w:val="836C40E"/>
    <w:multiLevelType w:val="hybridMultilevel"/>
    <w:lvl w:ilvl="0">
      <w:lvlJc w:val="left"/>
      <w:lvlText w:val="%1)"/>
      <w:numFmt w:val="lowerLetter"/>
      <w:start w:val="1"/>
    </w:lvl>
  </w:abstractNum>
  <w:abstractNum w:abstractNumId="27">
    <w:nsid w:val="2901D82"/>
    <w:multiLevelType w:val="hybridMultilevel"/>
    <w:lvl w:ilvl="0">
      <w:lvlJc w:val="left"/>
      <w:lvlText w:val="\emdash \e"/>
      <w:numFmt w:val="bullet"/>
      <w:start w:val="1"/>
    </w:lvl>
  </w:abstractNum>
  <w:abstractNum w:abstractNumId="28">
    <w:nsid w:val="3A95F874"/>
    <w:multiLevelType w:val="hybridMultilevel"/>
    <w:lvl w:ilvl="0">
      <w:lvlJc w:val="left"/>
      <w:lvlText w:val="-"/>
      <w:numFmt w:val="bullet"/>
      <w:start w:val="1"/>
    </w:lvl>
  </w:abstractNum>
  <w:abstractNum w:abstractNumId="29">
    <w:nsid w:val="8138641"/>
    <w:multiLevelType w:val="hybridMultilevel"/>
    <w:lvl w:ilvl="0">
      <w:lvlJc w:val="left"/>
      <w:lvlText w:val="•"/>
      <w:numFmt w:val="bullet"/>
      <w:start w:val="1"/>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eastAsiaTheme="minorEastAsia"/>
        <w:sz w:val="22"/>
        <w:szCs w:val="22"/>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Layout w:type="fixed"/>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 Id="rId7" Type="http://schemas.openxmlformats.org/officeDocument/2006/relationships/numbering" Target="numbering.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e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jpeg"/><Relationship Id="rId18" Type="http://schemas.openxmlformats.org/officeDocument/2006/relationships/image" Target="media/image11.jpeg"/><Relationship Id="rId19" Type="http://schemas.openxmlformats.org/officeDocument/2006/relationships/image" Target="media/image12.jpeg"/><Relationship Id="rId20" Type="http://schemas.openxmlformats.org/officeDocument/2006/relationships/image" Target="media/image13.jpeg"/><Relationship Id="rId21" Type="http://schemas.openxmlformats.org/officeDocument/2006/relationships/image" Target="media/image14.jpeg"/><Relationship Id="rId22" Type="http://schemas.openxmlformats.org/officeDocument/2006/relationships/image" Target="media/image15.jpeg"/><Relationship Id="rId23" Type="http://schemas.openxmlformats.org/officeDocument/2006/relationships/image" Target="media/image16.jpeg"/><Relationship Id="rId24" Type="http://schemas.openxmlformats.org/officeDocument/2006/relationships/image" Target="media/image17.jpeg"/><Relationship Id="rId25" Type="http://schemas.openxmlformats.org/officeDocument/2006/relationships/image" Target="media/image18.jpeg"/><Relationship Id="rId26" Type="http://schemas.openxmlformats.org/officeDocument/2006/relationships/image" Target="media/image19.jpeg"/><Relationship Id="rId27" Type="http://schemas.openxmlformats.org/officeDocument/2006/relationships/image" Target="media/image20.jpeg"/><Relationship Id="rId28" Type="http://schemas.openxmlformats.org/officeDocument/2006/relationships/image" Target="media/image21.jpeg"/><Relationship Id="rId29" Type="http://schemas.openxmlformats.org/officeDocument/2006/relationships/image" Target="media/image22.jpeg"/><Relationship Id="rId30" Type="http://schemas.openxmlformats.org/officeDocument/2006/relationships/image" Target="media/image23.jpeg"/><Relationship Id="rId31" Type="http://schemas.openxmlformats.org/officeDocument/2006/relationships/image" Target="media/image24.jpeg"/><Relationship Id="rId32" Type="http://schemas.openxmlformats.org/officeDocument/2006/relationships/image" Target="media/image25.jpeg"/><Relationship Id="rId33" Type="http://schemas.openxmlformats.org/officeDocument/2006/relationships/image" Target="media/image26.jpeg"/><Relationship Id="rId34" Type="http://schemas.openxmlformats.org/officeDocument/2006/relationships/image" Target="media/image27.jpeg"/><Relationship Id="rId35" Type="http://schemas.openxmlformats.org/officeDocument/2006/relationships/image" Target="media/image28.jpeg"/><Relationship Id="rId36" Type="http://schemas.openxmlformats.org/officeDocument/2006/relationships/image" Target="media/image29.jpeg"/><Relationship Id="rId37" Type="http://schemas.openxmlformats.org/officeDocument/2006/relationships/image" Target="media/image30.jpeg"/><Relationship Id="rId38" Type="http://schemas.openxmlformats.org/officeDocument/2006/relationships/image" Target="media/image31.jpeg"/><Relationship Id="rId39" Type="http://schemas.openxmlformats.org/officeDocument/2006/relationships/image" Target="media/image32.jpeg"/><Relationship Id="rId40" Type="http://schemas.openxmlformats.org/officeDocument/2006/relationships/image" Target="media/image33.jpeg"/><Relationship Id="rId41" Type="http://schemas.openxmlformats.org/officeDocument/2006/relationships/image" Target="media/image34.jpeg"/><Relationship Id="rId42" Type="http://schemas.openxmlformats.org/officeDocument/2006/relationships/image" Target="media/image35.jpeg"/><Relationship Id="rId43" Type="http://schemas.openxmlformats.org/officeDocument/2006/relationships/image" Target="media/image36.jpeg"/><Relationship Id="rId44" Type="http://schemas.openxmlformats.org/officeDocument/2006/relationships/image" Target="media/image37.jpeg"/><Relationship Id="rId45" Type="http://schemas.openxmlformats.org/officeDocument/2006/relationships/image" Target="media/image38.jpeg"/><Relationship Id="rId46" Type="http://schemas.openxmlformats.org/officeDocument/2006/relationships/image" Target="media/image39.jpeg"/><Relationship Id="rId47" Type="http://schemas.openxmlformats.org/officeDocument/2006/relationships/image" Target="media/image40.jpeg"/><Relationship Id="rId48" Type="http://schemas.openxmlformats.org/officeDocument/2006/relationships/image" Target="media/image41.jpeg"/><Relationship Id="rId49" Type="http://schemas.openxmlformats.org/officeDocument/2006/relationships/image" Target="media/image42.jpeg"/><Relationship Id="rId50" Type="http://schemas.openxmlformats.org/officeDocument/2006/relationships/image" Target="media/image43.jpeg"/><Relationship Id="rId51" Type="http://schemas.openxmlformats.org/officeDocument/2006/relationships/image" Target="media/image44.jpeg"/><Relationship Id="rId52" Type="http://schemas.openxmlformats.org/officeDocument/2006/relationships/image" Target="media/image45.jpeg"/><Relationship Id="rId53" Type="http://schemas.openxmlformats.org/officeDocument/2006/relationships/image" Target="media/image46.jpeg"/><Relationship Id="rId54" Type="http://schemas.openxmlformats.org/officeDocument/2006/relationships/image" Target="media/image47.jpeg"/><Relationship Id="rId55" Type="http://schemas.openxmlformats.org/officeDocument/2006/relationships/image" Target="media/image48.jpeg"/><Relationship Id="rId56" Type="http://schemas.openxmlformats.org/officeDocument/2006/relationships/image" Target="media/image49.jpeg"/><Relationship Id="rId57" Type="http://schemas.openxmlformats.org/officeDocument/2006/relationships/image" Target="media/image50.jpeg"/><Relationship Id="rId58" Type="http://schemas.openxmlformats.org/officeDocument/2006/relationships/image" Target="media/image51.jpeg"/><Relationship Id="rId59" Type="http://schemas.openxmlformats.org/officeDocument/2006/relationships/image" Target="media/image52.jpeg"/><Relationship Id="rId60" Type="http://schemas.openxmlformats.org/officeDocument/2006/relationships/image" Target="media/image53.jpeg"/><Relationship Id="rId61" Type="http://schemas.openxmlformats.org/officeDocument/2006/relationships/image" Target="media/image54.jpeg"/><Relationship Id="rId62" Type="http://schemas.openxmlformats.org/officeDocument/2006/relationships/image" Target="media/image55.jpeg"/><Relationship Id="rId63" Type="http://schemas.openxmlformats.org/officeDocument/2006/relationships/image" Target="media/image56.jpeg"/><Relationship Id="rId64" Type="http://schemas.openxmlformats.org/officeDocument/2006/relationships/image" Target="media/image57.jpeg"/><Relationship Id="rId65" Type="http://schemas.openxmlformats.org/officeDocument/2006/relationships/image" Target="media/image58.jpeg"/><Relationship Id="rId66" Type="http://schemas.openxmlformats.org/officeDocument/2006/relationships/image" Target="media/image59.jpeg"/><Relationship Id="rId67" Type="http://schemas.openxmlformats.org/officeDocument/2006/relationships/image" Target="media/image60.jpeg"/><Relationship Id="rId68" Type="http://schemas.openxmlformats.org/officeDocument/2006/relationships/image" Target="media/image61.jpeg"/><Relationship Id="rId69" Type="http://schemas.openxmlformats.org/officeDocument/2006/relationships/image" Target="media/image62.jpeg"/></Relationships>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3</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2017-05-23T02:49:55Z</dcterms:created>
  <dcterms:modified xsi:type="dcterms:W3CDTF">2017-05-23T02:49:55Z</dcterms:modified>
</cp:coreProperties>
</file>