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78"/>
        <w:ind w:left="4947" w:right="4931" w:firstLine="0"/>
        <w:jc w:val="center"/>
        <w:rPr>
          <w:sz w:val="57"/>
        </w:rPr>
      </w:pPr>
      <w:r>
        <w:rPr/>
        <w:pict>
          <v:shape style="position:absolute;margin-left:65.239998pt;margin-top:-58.687336pt;width:661.2pt;height:1pt;mso-position-horizontal-relative:page;mso-position-vertical-relative:paragraph;z-index:-3640" coordorigin="1305,-1174" coordsize="13224,20" path="m1305,-1174l14529,-1174m1305,-1155l14529,-1155e" filled="false" stroked="true" strokeweight=".48pt" strokecolor="#000000">
            <v:path arrowok="t"/>
            <w10:wrap type="none"/>
          </v:shape>
        </w:pict>
      </w:r>
      <w:r>
        <w:rPr>
          <w:color w:val="808080"/>
          <w:sz w:val="57"/>
        </w:rPr>
        <w:t>Diseño</w:t>
      </w:r>
      <w:r>
        <w:rPr>
          <w:color w:val="808080"/>
          <w:spacing w:val="55"/>
          <w:sz w:val="57"/>
        </w:rPr>
        <w:t> </w:t>
      </w:r>
      <w:r>
        <w:rPr>
          <w:color w:val="808080"/>
          <w:sz w:val="57"/>
        </w:rPr>
        <w:t>Social</w:t>
      </w:r>
    </w:p>
    <w:p>
      <w:pPr>
        <w:pStyle w:val="BodyText"/>
        <w:spacing w:line="362" w:lineRule="auto" w:before="139"/>
        <w:ind w:left="235" w:right="216"/>
        <w:jc w:val="both"/>
      </w:pPr>
      <w:r>
        <w:rPr/>
        <w:t>En este contexto nace el concepto del diseño social que buscan enfrentar los rezagos en este ámbito a través de las actividades del diseño en todas sus manifestaciones (arquitectónico, industrial, gráfico, entre otros)</w:t>
      </w:r>
    </w:p>
    <w:p>
      <w:pPr>
        <w:pStyle w:val="BodyText"/>
        <w:spacing w:line="360" w:lineRule="auto" w:before="139"/>
        <w:ind w:left="235" w:right="217"/>
        <w:jc w:val="both"/>
      </w:pPr>
      <w:r>
        <w:rPr/>
        <w:t>Margolin (2012) es muy enfático al aclarar que el diseño social y el diseño común (al cual denomina diseño para el mercado) no deben considerarse polos opuestos o contrarios. En realidad muchos de los productos de consumo también satisfacen necesidades sociales; sin embargo el mercado no se ocupa, y probablemente no puede ocuparse, de todas las necesidades sociales, ya que algunas se refieren a poblaciones y comunidades que no constituyen una clase específica de consumidores en el sentido del mercado. Nos referimos aquí a las personas con bajos ingresos o con necesidades especiales debido a la edad, la salud o la discapacidad.</w:t>
      </w:r>
    </w:p>
    <w:p>
      <w:pPr>
        <w:pStyle w:val="BodyText"/>
        <w:spacing w:line="360" w:lineRule="auto" w:before="146"/>
        <w:ind w:left="235" w:right="216"/>
        <w:jc w:val="both"/>
      </w:pPr>
      <w:r>
        <w:rPr/>
        <w:t>El diseño social podemos definirlo, de acuerdo al planteamiento realizado en el 2007 en Nagoya, Japón durante el congreso de Diseño sobre innovaciones sociales, como el “diseño que contribuye al mejoramiento del planeta y al bienestar de sus habitantes. Teniendo como objetivo de su proyecto trabajar juntos para encontrar soluciones a situaciones sociales a través del diseño, mientras proveamos un sentido de involucramiento y solidaridad mundial” (Atpía, 2007).</w:t>
      </w:r>
    </w:p>
    <w:p>
      <w:pPr>
        <w:pStyle w:val="BodyText"/>
        <w:spacing w:line="360" w:lineRule="auto" w:before="142"/>
        <w:ind w:left="235" w:right="216"/>
        <w:jc w:val="both"/>
      </w:pPr>
      <w:r>
        <w:rPr/>
        <w:t>Proporcionar soluciones. Esa es la base sobre la que se sustenta el diseño social, una tendencia en alza que muestra  que "Hay otras formas de hacer las cosas" más allá de crear necesidades que fomenten el consumo, tal y como explica la presidenta de la ONG Diseño Social EN+, María</w:t>
      </w:r>
      <w:r>
        <w:rPr>
          <w:spacing w:val="-2"/>
        </w:rPr>
        <w:t> </w:t>
      </w:r>
      <w:r>
        <w:rPr/>
        <w:t>Hidalgo.</w:t>
      </w:r>
    </w:p>
    <w:p>
      <w:pPr>
        <w:spacing w:after="0" w:line="360" w:lineRule="auto"/>
        <w:jc w:val="both"/>
        <w:sectPr>
          <w:headerReference w:type="default" r:id="rId5"/>
          <w:type w:val="continuous"/>
          <w:pgSz w:w="15840" w:h="12240" w:orient="landscape"/>
          <w:pgMar w:header="744" w:top="1080" w:bottom="280" w:left="1180" w:right="1200"/>
        </w:sectPr>
      </w:pPr>
    </w:p>
    <w:p>
      <w:pPr>
        <w:pStyle w:val="BodyText"/>
        <w:spacing w:before="2"/>
        <w:rPr>
          <w:sz w:val="19"/>
        </w:rPr>
      </w:pPr>
      <w:r>
        <w:rPr/>
        <w:pict>
          <v:shape style="position:absolute;margin-left:65.239998pt;margin-top:53.119999pt;width:661.2pt;height:1pt;mso-position-horizontal-relative:page;mso-position-vertical-relative:page;z-index:1048" coordorigin="1305,1062" coordsize="13224,20" path="m1305,1062l14529,1062m1305,1082l14529,1082e" filled="false" stroked="true" strokeweight=".48pt" strokecolor="#000000">
            <v:path arrowok="t"/>
            <w10:wrap type="none"/>
          </v:shape>
        </w:pict>
      </w:r>
    </w:p>
    <w:p>
      <w:pPr>
        <w:pStyle w:val="BodyText"/>
        <w:spacing w:line="360" w:lineRule="auto" w:before="70"/>
        <w:ind w:left="235" w:right="215"/>
        <w:jc w:val="both"/>
      </w:pPr>
      <w:r>
        <w:rPr/>
        <w:t>En la práctica, el diseño social supone un aprovechamiento de los recursos y el potencial humano, lo que favorece el ahorro de energía y un desarrollo sostenible y garantiza el acceso a bienes de primera necesidad, como el agua, la sanidad o la electricidad, a un precio asequible.</w:t>
      </w:r>
    </w:p>
    <w:p>
      <w:pPr>
        <w:pStyle w:val="BodyText"/>
        <w:spacing w:before="11"/>
        <w:rPr>
          <w:sz w:val="26"/>
        </w:rPr>
      </w:pPr>
    </w:p>
    <w:p>
      <w:pPr>
        <w:pStyle w:val="BodyText"/>
        <w:ind w:left="235"/>
        <w:jc w:val="both"/>
      </w:pPr>
      <w:r>
        <w:rPr>
          <w:color w:val="1C1C1C"/>
        </w:rPr>
        <w:t>Para el Diseño social, existen tres conceptos que ayudan a entenderlo:</w:t>
      </w:r>
    </w:p>
    <w:p>
      <w:pPr>
        <w:pStyle w:val="BodyText"/>
      </w:pPr>
    </w:p>
    <w:p>
      <w:pPr>
        <w:pStyle w:val="ListParagraph"/>
        <w:numPr>
          <w:ilvl w:val="0"/>
          <w:numId w:val="1"/>
        </w:numPr>
        <w:tabs>
          <w:tab w:pos="956" w:val="left" w:leader="none"/>
        </w:tabs>
        <w:spacing w:line="240" w:lineRule="auto" w:before="0" w:after="0"/>
        <w:ind w:left="955" w:right="0" w:hanging="360"/>
        <w:jc w:val="left"/>
        <w:rPr>
          <w:sz w:val="24"/>
        </w:rPr>
      </w:pPr>
      <w:r>
        <w:rPr>
          <w:color w:val="1C1C1C"/>
          <w:sz w:val="24"/>
        </w:rPr>
        <w:t>La que apela a la responsabilidad social del</w:t>
      </w:r>
      <w:r>
        <w:rPr>
          <w:color w:val="1C1C1C"/>
          <w:spacing w:val="-8"/>
          <w:sz w:val="24"/>
        </w:rPr>
        <w:t> </w:t>
      </w:r>
      <w:r>
        <w:rPr>
          <w:color w:val="1C1C1C"/>
          <w:sz w:val="24"/>
        </w:rPr>
        <w:t>profesional.</w:t>
      </w:r>
    </w:p>
    <w:p>
      <w:pPr>
        <w:pStyle w:val="ListParagraph"/>
        <w:numPr>
          <w:ilvl w:val="0"/>
          <w:numId w:val="1"/>
        </w:numPr>
        <w:tabs>
          <w:tab w:pos="956" w:val="left" w:leader="none"/>
        </w:tabs>
        <w:spacing w:line="360" w:lineRule="auto" w:before="137" w:after="0"/>
        <w:ind w:left="955" w:right="216" w:hanging="360"/>
        <w:jc w:val="left"/>
        <w:rPr>
          <w:sz w:val="24"/>
        </w:rPr>
      </w:pPr>
      <w:r>
        <w:rPr>
          <w:color w:val="1C1C1C"/>
          <w:sz w:val="24"/>
        </w:rPr>
        <w:t>La que pone en valor la dimensión económico-social de su trabajo, en campos como el diseño de productos (industriales y artesanales), servicios, sistemas, arquitectura, urbanismo, comunicación,</w:t>
      </w:r>
      <w:r>
        <w:rPr>
          <w:color w:val="1C1C1C"/>
          <w:spacing w:val="-1"/>
          <w:sz w:val="24"/>
        </w:rPr>
        <w:t> </w:t>
      </w:r>
      <w:r>
        <w:rPr>
          <w:color w:val="1C1C1C"/>
          <w:sz w:val="24"/>
        </w:rPr>
        <w:t>etc.</w:t>
      </w:r>
    </w:p>
    <w:p>
      <w:pPr>
        <w:pStyle w:val="ListParagraph"/>
        <w:numPr>
          <w:ilvl w:val="0"/>
          <w:numId w:val="1"/>
        </w:numPr>
        <w:tabs>
          <w:tab w:pos="956" w:val="left" w:leader="none"/>
        </w:tabs>
        <w:spacing w:line="360" w:lineRule="auto" w:before="7" w:after="0"/>
        <w:ind w:left="955" w:right="216" w:hanging="360"/>
        <w:jc w:val="left"/>
        <w:rPr>
          <w:sz w:val="24"/>
        </w:rPr>
      </w:pPr>
      <w:r>
        <w:rPr>
          <w:color w:val="1C1C1C"/>
          <w:sz w:val="24"/>
        </w:rPr>
        <w:t>La que pretende convertir la actividad del diseño de empresas y organizaciones en general (incluidas las estructuras sociales) en una actividad científica.</w:t>
      </w:r>
    </w:p>
    <w:p>
      <w:pPr>
        <w:pStyle w:val="BodyText"/>
      </w:pPr>
    </w:p>
    <w:p>
      <w:pPr>
        <w:pStyle w:val="BodyText"/>
        <w:spacing w:before="7"/>
      </w:pPr>
    </w:p>
    <w:p>
      <w:pPr>
        <w:pStyle w:val="BodyText"/>
        <w:ind w:left="235"/>
        <w:jc w:val="both"/>
      </w:pPr>
      <w:r>
        <w:rPr>
          <w:color w:val="1C1C1C"/>
        </w:rPr>
        <w:t>Así, el término </w:t>
      </w:r>
      <w:r>
        <w:rPr>
          <w:b/>
          <w:color w:val="1C1C1C"/>
        </w:rPr>
        <w:t>'diseño social' </w:t>
      </w:r>
      <w:r>
        <w:rPr>
          <w:color w:val="1C1C1C"/>
        </w:rPr>
        <w:t>tiene matices diferentes según el contexto dónde se utilice:</w:t>
      </w:r>
    </w:p>
    <w:p>
      <w:pPr>
        <w:pStyle w:val="BodyText"/>
      </w:pPr>
    </w:p>
    <w:p>
      <w:pPr>
        <w:pStyle w:val="ListParagraph"/>
        <w:numPr>
          <w:ilvl w:val="0"/>
          <w:numId w:val="2"/>
        </w:numPr>
        <w:tabs>
          <w:tab w:pos="456" w:val="left" w:leader="none"/>
        </w:tabs>
        <w:spacing w:line="240" w:lineRule="auto" w:before="0" w:after="0"/>
        <w:ind w:left="455" w:right="0" w:hanging="220"/>
        <w:jc w:val="both"/>
        <w:rPr>
          <w:color w:val="1C1C1C"/>
          <w:sz w:val="24"/>
        </w:rPr>
      </w:pPr>
      <w:r>
        <w:rPr>
          <w:color w:val="1C1C1C"/>
          <w:sz w:val="24"/>
        </w:rPr>
        <w:t>Dentro del mundo del</w:t>
      </w:r>
      <w:r>
        <w:rPr>
          <w:color w:val="1C1C1C"/>
          <w:spacing w:val="-1"/>
          <w:sz w:val="24"/>
        </w:rPr>
        <w:t> </w:t>
      </w:r>
      <w:r>
        <w:rPr>
          <w:color w:val="1C1C1C"/>
          <w:sz w:val="24"/>
        </w:rPr>
        <w:t>diseño.</w:t>
      </w:r>
    </w:p>
    <w:p>
      <w:pPr>
        <w:pStyle w:val="ListParagraph"/>
        <w:numPr>
          <w:ilvl w:val="0"/>
          <w:numId w:val="2"/>
        </w:numPr>
        <w:tabs>
          <w:tab w:pos="456" w:val="left" w:leader="none"/>
        </w:tabs>
        <w:spacing w:line="240" w:lineRule="auto" w:before="156" w:after="0"/>
        <w:ind w:left="455" w:right="0" w:hanging="220"/>
        <w:jc w:val="both"/>
        <w:rPr>
          <w:color w:val="1C1C1C"/>
          <w:sz w:val="24"/>
        </w:rPr>
      </w:pPr>
      <w:r>
        <w:rPr>
          <w:color w:val="1C1C1C"/>
          <w:sz w:val="24"/>
        </w:rPr>
        <w:t>Dentro del activismo social y político.</w:t>
      </w:r>
    </w:p>
    <w:p>
      <w:pPr>
        <w:pStyle w:val="ListParagraph"/>
        <w:numPr>
          <w:ilvl w:val="0"/>
          <w:numId w:val="2"/>
        </w:numPr>
        <w:tabs>
          <w:tab w:pos="456" w:val="left" w:leader="none"/>
        </w:tabs>
        <w:spacing w:line="240" w:lineRule="auto" w:before="161" w:after="0"/>
        <w:ind w:left="455" w:right="0" w:hanging="220"/>
        <w:jc w:val="both"/>
        <w:rPr>
          <w:color w:val="1C1C1C"/>
          <w:sz w:val="24"/>
        </w:rPr>
      </w:pPr>
      <w:r>
        <w:rPr>
          <w:color w:val="1C1C1C"/>
          <w:sz w:val="24"/>
        </w:rPr>
        <w:t>Dentro de la investigación científica.</w:t>
      </w:r>
    </w:p>
    <w:p>
      <w:pPr>
        <w:spacing w:after="0" w:line="240" w:lineRule="auto"/>
        <w:jc w:val="both"/>
        <w:rPr>
          <w:sz w:val="24"/>
        </w:rPr>
        <w:sectPr>
          <w:pgSz w:w="15840" w:h="12240" w:orient="landscape"/>
          <w:pgMar w:header="744" w:footer="0" w:top="2100" w:bottom="280" w:left="1180" w:right="1200"/>
        </w:sectPr>
      </w:pPr>
    </w:p>
    <w:p>
      <w:pPr>
        <w:pStyle w:val="BodyText"/>
        <w:spacing w:before="9"/>
        <w:rPr>
          <w:sz w:val="19"/>
        </w:rPr>
      </w:pPr>
      <w:r>
        <w:rPr/>
        <w:pict>
          <v:shape style="position:absolute;margin-left:65.239998pt;margin-top:53.119999pt;width:661.2pt;height:1pt;mso-position-horizontal-relative:page;mso-position-vertical-relative:page;z-index:1072" coordorigin="1305,1062" coordsize="13224,20" path="m1305,1062l14529,1062m1305,1082l14529,1082e" filled="false" stroked="true" strokeweight=".48pt" strokecolor="#000000">
            <v:path arrowok="t"/>
            <w10:wrap type="none"/>
          </v:shape>
        </w:pict>
      </w:r>
    </w:p>
    <w:p>
      <w:pPr>
        <w:pStyle w:val="Heading1"/>
        <w:numPr>
          <w:ilvl w:val="0"/>
          <w:numId w:val="2"/>
        </w:numPr>
        <w:tabs>
          <w:tab w:pos="456" w:val="left" w:leader="none"/>
        </w:tabs>
        <w:spacing w:line="240" w:lineRule="auto" w:before="64" w:after="0"/>
        <w:ind w:left="455" w:right="0" w:hanging="220"/>
        <w:jc w:val="both"/>
        <w:rPr>
          <w:color w:val="808080"/>
        </w:rPr>
      </w:pPr>
      <w:r>
        <w:rPr>
          <w:color w:val="808080"/>
        </w:rPr>
        <w:t>Dentro del mundo del</w:t>
      </w:r>
      <w:r>
        <w:rPr>
          <w:color w:val="808080"/>
          <w:spacing w:val="-18"/>
        </w:rPr>
        <w:t> </w:t>
      </w:r>
      <w:r>
        <w:rPr>
          <w:color w:val="808080"/>
        </w:rPr>
        <w:t>diseño.</w:t>
      </w:r>
    </w:p>
    <w:p>
      <w:pPr>
        <w:pStyle w:val="BodyText"/>
        <w:spacing w:line="360" w:lineRule="auto" w:before="181"/>
        <w:ind w:left="235" w:right="216"/>
        <w:jc w:val="both"/>
      </w:pPr>
      <w:r>
        <w:rPr>
          <w:color w:val="1C1C1C"/>
        </w:rPr>
        <w:t>Considera un diseño orientado hacia las personas, que busca trabajar para y por las personas, y que tenga algo más que el beneficio de una transacción de compraventa de servicios.</w:t>
      </w:r>
    </w:p>
    <w:p>
      <w:pPr>
        <w:pStyle w:val="BodyText"/>
        <w:spacing w:line="360" w:lineRule="auto" w:before="146"/>
        <w:ind w:left="235" w:right="216"/>
        <w:jc w:val="both"/>
      </w:pPr>
      <w:r>
        <w:rPr>
          <w:color w:val="1C1C1C"/>
        </w:rPr>
        <w:t>Víctor Papanek planteó que los diseñadores y los profesionales creativos tienen su parte de responsabilidad social pues su actividad puede implicar cambios en el mundo real, según hagan buen o mal diseño. Papanek escribe sobre diseño responsable; por ejemplo, los diseñadores pueden contribuir a diseñar productos más ecológicos, seleccionando cuidadosamente los materiales que utilizan o puede diseñarse para satisfacer las necesidades antes que para satisfacer deseos; además, un diseño responsable debe ocuparse de proyectar para el tercer mundo. Los diseñadores tienen responsabilidad sobre las opciones que hacen en los procesos del diseño.</w:t>
      </w:r>
    </w:p>
    <w:p>
      <w:pPr>
        <w:pStyle w:val="BodyText"/>
        <w:spacing w:line="360" w:lineRule="auto" w:before="142"/>
        <w:ind w:left="235" w:right="216"/>
        <w:jc w:val="both"/>
      </w:pPr>
      <w:r>
        <w:rPr>
          <w:color w:val="1C1C1C"/>
        </w:rPr>
        <w:t>Víctor Margolin contribuye al desarrollo de la definición del diseño social como aquella actividad productiva que intenta desarrollar el capital humano y social al mismo tiempo que productos y procesos provechosos; así el diseñador debe prever y dar forma a productos materiales e inmateriales que pueden resolver problemas humanos en amplia escala y contribuir al bienestar social. Esta forma de pensar está siendo construida por las corrientes que ponen el énfasis en el diseño social. En esta visión el diseño social es una actividad profesional y económica, por eso no se debe enmarcar en  el mundo de la caridad ni del trabajo voluntario, sino que debe ser vista como una contribución profesional que ha de tenerse en cuenta en el desarrollo económico local.</w:t>
      </w:r>
    </w:p>
    <w:p>
      <w:pPr>
        <w:spacing w:after="0" w:line="360" w:lineRule="auto"/>
        <w:jc w:val="both"/>
        <w:sectPr>
          <w:pgSz w:w="15840" w:h="12240" w:orient="landscape"/>
          <w:pgMar w:header="744" w:footer="0" w:top="2100" w:bottom="280" w:left="1180" w:right="1200"/>
        </w:sectPr>
      </w:pPr>
    </w:p>
    <w:p>
      <w:pPr>
        <w:pStyle w:val="BodyText"/>
        <w:spacing w:before="9"/>
        <w:rPr>
          <w:sz w:val="19"/>
        </w:rPr>
      </w:pPr>
      <w:r>
        <w:rPr/>
        <w:pict>
          <v:shape style="position:absolute;margin-left:65.239998pt;margin-top:53.119999pt;width:661.2pt;height:1pt;mso-position-horizontal-relative:page;mso-position-vertical-relative:page;z-index:1096" coordorigin="1305,1062" coordsize="13224,20" path="m1305,1062l14529,1062m1305,1082l14529,1082e" filled="false" stroked="true" strokeweight=".48pt" strokecolor="#000000">
            <v:path arrowok="t"/>
            <w10:wrap type="none"/>
          </v:shape>
        </w:pict>
      </w:r>
    </w:p>
    <w:p>
      <w:pPr>
        <w:pStyle w:val="Heading1"/>
        <w:numPr>
          <w:ilvl w:val="0"/>
          <w:numId w:val="2"/>
        </w:numPr>
        <w:tabs>
          <w:tab w:pos="456" w:val="left" w:leader="none"/>
        </w:tabs>
        <w:spacing w:line="240" w:lineRule="auto" w:before="64" w:after="0"/>
        <w:ind w:left="455" w:right="0" w:hanging="220"/>
        <w:jc w:val="both"/>
        <w:rPr>
          <w:color w:val="808080"/>
        </w:rPr>
      </w:pPr>
      <w:r>
        <w:rPr>
          <w:color w:val="808080"/>
        </w:rPr>
        <w:t>Dentro del activismo social y</w:t>
      </w:r>
      <w:r>
        <w:rPr>
          <w:color w:val="808080"/>
          <w:spacing w:val="-23"/>
        </w:rPr>
        <w:t> </w:t>
      </w:r>
      <w:r>
        <w:rPr>
          <w:color w:val="808080"/>
        </w:rPr>
        <w:t>político.</w:t>
      </w:r>
    </w:p>
    <w:p>
      <w:pPr>
        <w:pStyle w:val="BodyText"/>
        <w:rPr>
          <w:sz w:val="28"/>
        </w:rPr>
      </w:pPr>
    </w:p>
    <w:p>
      <w:pPr>
        <w:pStyle w:val="BodyText"/>
        <w:spacing w:before="3"/>
        <w:rPr>
          <w:sz w:val="25"/>
        </w:rPr>
      </w:pPr>
    </w:p>
    <w:p>
      <w:pPr>
        <w:pStyle w:val="BodyText"/>
        <w:ind w:left="235"/>
        <w:jc w:val="both"/>
      </w:pPr>
      <w:r>
        <w:rPr/>
        <w:t>Estético</w:t>
      </w:r>
    </w:p>
    <w:p>
      <w:pPr>
        <w:pStyle w:val="BodyText"/>
        <w:spacing w:before="141"/>
        <w:ind w:left="235"/>
        <w:jc w:val="both"/>
      </w:pPr>
      <w:r>
        <w:rPr>
          <w:color w:val="1C1C1C"/>
        </w:rPr>
        <w:t>Hay un número creciente de artistas que utilizan el “diseño social” para describir su trabajo.</w:t>
      </w:r>
    </w:p>
    <w:p>
      <w:pPr>
        <w:pStyle w:val="BodyText"/>
      </w:pPr>
    </w:p>
    <w:p>
      <w:pPr>
        <w:pStyle w:val="BodyText"/>
        <w:ind w:left="235"/>
        <w:jc w:val="both"/>
      </w:pPr>
      <w:r>
        <w:rPr/>
        <w:t>Social y Político</w:t>
      </w:r>
    </w:p>
    <w:p>
      <w:pPr>
        <w:pStyle w:val="BodyText"/>
        <w:spacing w:line="360" w:lineRule="auto" w:before="137"/>
        <w:ind w:left="235" w:right="216"/>
        <w:jc w:val="both"/>
      </w:pPr>
      <w:r>
        <w:rPr>
          <w:color w:val="1C1C1C"/>
        </w:rPr>
        <w:t>La Sociedad es una realidad artificial y por lo tanto se puede cambiar, en gran parte y de forma brusca o paulatina, por las personas organizadas. En esta visión el diseño social es una realidad ineludible; existe y las personas lo modifican, tanto si la gente lo reconoce como si no lo reconoce.</w:t>
      </w:r>
    </w:p>
    <w:p>
      <w:pPr>
        <w:pStyle w:val="BodyText"/>
      </w:pPr>
    </w:p>
    <w:p>
      <w:pPr>
        <w:pStyle w:val="Heading1"/>
        <w:numPr>
          <w:ilvl w:val="0"/>
          <w:numId w:val="2"/>
        </w:numPr>
        <w:tabs>
          <w:tab w:pos="456" w:val="left" w:leader="none"/>
        </w:tabs>
        <w:spacing w:line="240" w:lineRule="auto" w:before="140" w:after="0"/>
        <w:ind w:left="455" w:right="0" w:hanging="220"/>
        <w:jc w:val="both"/>
        <w:rPr>
          <w:color w:val="808080"/>
        </w:rPr>
      </w:pPr>
      <w:r>
        <w:rPr>
          <w:color w:val="808080"/>
        </w:rPr>
        <w:t>Dentro de la investigación</w:t>
      </w:r>
      <w:r>
        <w:rPr>
          <w:color w:val="808080"/>
          <w:spacing w:val="-23"/>
        </w:rPr>
        <w:t> </w:t>
      </w:r>
      <w:r>
        <w:rPr>
          <w:color w:val="808080"/>
        </w:rPr>
        <w:t>científica.</w:t>
      </w:r>
    </w:p>
    <w:p>
      <w:pPr>
        <w:pStyle w:val="BodyText"/>
        <w:rPr>
          <w:sz w:val="28"/>
        </w:rPr>
      </w:pPr>
    </w:p>
    <w:p>
      <w:pPr>
        <w:pStyle w:val="BodyText"/>
        <w:spacing w:before="5"/>
        <w:rPr>
          <w:sz w:val="23"/>
        </w:rPr>
      </w:pPr>
    </w:p>
    <w:p>
      <w:pPr>
        <w:pStyle w:val="ListParagraph"/>
        <w:numPr>
          <w:ilvl w:val="1"/>
          <w:numId w:val="2"/>
        </w:numPr>
        <w:tabs>
          <w:tab w:pos="1315" w:val="left" w:leader="none"/>
          <w:tab w:pos="1316" w:val="left" w:leader="none"/>
        </w:tabs>
        <w:spacing w:line="240" w:lineRule="auto" w:before="0" w:after="0"/>
        <w:ind w:left="1315" w:right="0" w:hanging="360"/>
        <w:jc w:val="left"/>
        <w:rPr>
          <w:sz w:val="24"/>
        </w:rPr>
      </w:pPr>
      <w:r>
        <w:rPr>
          <w:sz w:val="24"/>
        </w:rPr>
        <w:t>Pensamiento estratégico</w:t>
      </w:r>
    </w:p>
    <w:p>
      <w:pPr>
        <w:pStyle w:val="BodyText"/>
        <w:spacing w:line="360" w:lineRule="auto" w:before="139"/>
        <w:ind w:left="595" w:right="216"/>
        <w:jc w:val="both"/>
      </w:pPr>
      <w:r>
        <w:rPr>
          <w:color w:val="1C1C1C"/>
        </w:rPr>
        <w:t>Aplicado a comunidades o grupos de interés, incluye la creación de objetivos y la ejecución de las acciones para lograrlos, por parte de los miembros mismos. Así, por ejemplo, tradición y economía de mercado pueden  ser colocados en interacción y colaborar en vez de competir. Como Amartya Sen señala, la pobreza puede considerarse como privación de capacidades; al centrarse en capacidades y no en la renta (generación de ingresos) —por ejemplo—, Amartya Sen sugiere que el desarrollo de variados aspectos sociales pueden contribuir al desarrollo general. La planificación estratégica urbana es un caso particular de pensamiento estratégico y plantea un interesante caso de estudio de Diseño Social aplicado a las formas de gobernar una ciudad, un área/región metropolitana.</w:t>
      </w:r>
    </w:p>
    <w:p>
      <w:pPr>
        <w:spacing w:after="0" w:line="360" w:lineRule="auto"/>
        <w:jc w:val="both"/>
        <w:sectPr>
          <w:pgSz w:w="15840" w:h="12240" w:orient="landscape"/>
          <w:pgMar w:header="744" w:footer="0" w:top="2100" w:bottom="280" w:left="1180" w:right="1200"/>
        </w:sectPr>
      </w:pPr>
    </w:p>
    <w:p>
      <w:pPr>
        <w:pStyle w:val="BodyText"/>
        <w:rPr>
          <w:sz w:val="20"/>
        </w:rPr>
      </w:pPr>
      <w:r>
        <w:rPr/>
        <w:pict>
          <v:shape style="position:absolute;margin-left:65.239998pt;margin-top:53.119999pt;width:661.2pt;height:1pt;mso-position-horizontal-relative:page;mso-position-vertical-relative:page;z-index:1120" coordorigin="1305,1062" coordsize="13224,20" path="m1305,1062l14529,1062m1305,1082l14529,1082e" filled="false" stroked="true" strokeweight=".48pt" strokecolor="#000000">
            <v:path arrowok="t"/>
            <w10:wrap type="none"/>
          </v:shape>
        </w:pict>
      </w:r>
    </w:p>
    <w:p>
      <w:pPr>
        <w:pStyle w:val="BodyText"/>
        <w:rPr>
          <w:sz w:val="20"/>
        </w:rPr>
      </w:pPr>
    </w:p>
    <w:p>
      <w:pPr>
        <w:pStyle w:val="BodyText"/>
        <w:spacing w:before="9"/>
        <w:rPr>
          <w:sz w:val="16"/>
        </w:rPr>
      </w:pPr>
    </w:p>
    <w:p>
      <w:pPr>
        <w:pStyle w:val="ListParagraph"/>
        <w:numPr>
          <w:ilvl w:val="1"/>
          <w:numId w:val="2"/>
        </w:numPr>
        <w:tabs>
          <w:tab w:pos="1315" w:val="left" w:leader="none"/>
          <w:tab w:pos="1316" w:val="left" w:leader="none"/>
        </w:tabs>
        <w:spacing w:line="240" w:lineRule="auto" w:before="53" w:after="0"/>
        <w:ind w:left="1315" w:right="0" w:hanging="360"/>
        <w:jc w:val="left"/>
        <w:rPr>
          <w:sz w:val="24"/>
        </w:rPr>
      </w:pPr>
      <w:r>
        <w:rPr>
          <w:sz w:val="24"/>
        </w:rPr>
        <w:t>Investigación científica sobre Diseño social</w:t>
      </w:r>
    </w:p>
    <w:p>
      <w:pPr>
        <w:pStyle w:val="BodyText"/>
        <w:spacing w:line="360" w:lineRule="auto" w:before="135"/>
        <w:ind w:left="235" w:right="216"/>
        <w:jc w:val="both"/>
      </w:pPr>
      <w:r>
        <w:rPr>
          <w:color w:val="1C1C1C"/>
        </w:rPr>
        <w:t>Aceptado y asumido el hecho de que las sociedades humanas han sido diseñadas por las personas, se plantean los actores en este campo aplicar la metodología científica generalmente aceptada así como herramientas contrastadas ya  en otros ámbitos, para modelizar formas de gobierno existentes —empresas, ciudades...— e ir extrayendo una teoría más general. Al respecto puede consultarse la conferencia dictada por Jay W. Forrester en la Universidad de Sevilla  Designing.</w:t>
      </w:r>
    </w:p>
    <w:sectPr>
      <w:pgSz w:w="15840" w:h="12240" w:orient="landscape"/>
      <w:pgMar w:header="744" w:footer="0" w:top="2100" w:bottom="280" w:left="118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69.760010pt;margin-top:36.209236pt;width:243.75pt;height:58.4pt;mso-position-horizontal-relative:page;mso-position-vertical-relative:page;z-index:-3640" type="#_x0000_t202" filled="false" stroked="false">
          <v:textbox inset="0,0,0,0">
            <w:txbxContent>
              <w:p>
                <w:pPr>
                  <w:spacing w:line="276" w:lineRule="exact" w:before="0"/>
                  <w:ind w:left="20" w:right="0" w:firstLine="0"/>
                  <w:jc w:val="left"/>
                  <w:rPr>
                    <w:rFonts w:ascii="Palatino Linotype" w:hAnsi="Palatino Linotype"/>
                    <w:b/>
                    <w:i/>
                    <w:sz w:val="24"/>
                  </w:rPr>
                </w:pPr>
                <w:r>
                  <w:rPr>
                    <w:rFonts w:ascii="Palatino Linotype" w:hAnsi="Palatino Linotype"/>
                    <w:b/>
                    <w:i/>
                    <w:sz w:val="24"/>
                  </w:rPr>
                  <w:t>Universidad Autónoma del Estado de México</w:t>
                </w:r>
              </w:p>
              <w:p>
                <w:pPr>
                  <w:spacing w:line="274" w:lineRule="exact" w:before="72"/>
                  <w:ind w:left="20" w:right="0" w:firstLine="0"/>
                  <w:jc w:val="left"/>
                  <w:rPr>
                    <w:rFonts w:ascii="Palatino Linotype"/>
                    <w:i/>
                    <w:sz w:val="21"/>
                  </w:rPr>
                </w:pPr>
                <w:r>
                  <w:rPr>
                    <w:rFonts w:ascii="Palatino Linotype"/>
                    <w:i/>
                    <w:w w:val="105"/>
                    <w:sz w:val="21"/>
                  </w:rPr>
                  <w:t>Secretaria de Docencia</w:t>
                </w:r>
              </w:p>
              <w:p>
                <w:pPr>
                  <w:spacing w:line="264" w:lineRule="exact" w:before="0"/>
                  <w:ind w:left="20" w:right="0" w:firstLine="0"/>
                  <w:jc w:val="left"/>
                  <w:rPr>
                    <w:rFonts w:ascii="Palatino Linotype" w:hAnsi="Palatino Linotype"/>
                    <w:i/>
                    <w:sz w:val="21"/>
                  </w:rPr>
                </w:pPr>
                <w:r>
                  <w:rPr>
                    <w:rFonts w:ascii="Palatino Linotype" w:hAnsi="Palatino Linotype"/>
                    <w:i/>
                    <w:w w:val="105"/>
                    <w:sz w:val="21"/>
                  </w:rPr>
                  <w:t>Dirección de Estudios Profesionales</w:t>
                </w:r>
              </w:p>
              <w:p>
                <w:pPr>
                  <w:spacing w:line="274" w:lineRule="exact" w:before="0"/>
                  <w:ind w:left="20" w:right="0" w:firstLine="0"/>
                  <w:jc w:val="left"/>
                  <w:rPr>
                    <w:rFonts w:ascii="Palatino Linotype" w:hAnsi="Palatino Linotype"/>
                    <w:sz w:val="21"/>
                  </w:rPr>
                </w:pPr>
                <w:r>
                  <w:rPr>
                    <w:rFonts w:ascii="Palatino Linotype" w:hAnsi="Palatino Linotype"/>
                    <w:w w:val="105"/>
                    <w:sz w:val="21"/>
                  </w:rPr>
                  <w:t>Coordinación de Desarrollo Curricular</w:t>
                </w:r>
              </w:p>
            </w:txbxContent>
          </v:textbox>
          <w10:wrap type="none"/>
        </v:shape>
      </w:pict>
    </w:r>
    <w:r>
      <w:rPr/>
      <w:pict>
        <v:shape style="position:absolute;margin-left:514.078613pt;margin-top:94.743568pt;width:207.95pt;height:11.85pt;mso-position-horizontal-relative:page;mso-position-vertical-relative:page;z-index:-3616" type="#_x0000_t202" filled="false" stroked="false">
          <v:textbox inset="0,0,0,0">
            <w:txbxContent>
              <w:p>
                <w:pPr>
                  <w:spacing w:line="228" w:lineRule="exact" w:before="0"/>
                  <w:ind w:left="20" w:right="0" w:firstLine="0"/>
                  <w:jc w:val="left"/>
                  <w:rPr>
                    <w:rFonts w:ascii="Palatino Linotype" w:hAnsi="Palatino Linotype"/>
                    <w:i/>
                    <w:sz w:val="19"/>
                  </w:rPr>
                </w:pPr>
                <w:r>
                  <w:rPr>
                    <w:rFonts w:ascii="Palatino Linotype" w:hAnsi="Palatino Linotype"/>
                    <w:i/>
                    <w:w w:val="105"/>
                    <w:sz w:val="19"/>
                  </w:rPr>
                  <w:t>UAEMex. FAD. DI. Utrilla, Santamaría, Victoria.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455" w:hanging="220"/>
      </w:pPr>
      <w:rPr>
        <w:rFonts w:hint="default"/>
        <w:spacing w:val="-1"/>
        <w:w w:val="100"/>
      </w:rPr>
    </w:lvl>
    <w:lvl w:ilvl="1">
      <w:start w:val="1"/>
      <w:numFmt w:val="bullet"/>
      <w:lvlText w:val=""/>
      <w:lvlJc w:val="left"/>
      <w:pPr>
        <w:ind w:left="1315" w:hanging="360"/>
      </w:pPr>
      <w:rPr>
        <w:rFonts w:hint="default" w:ascii="Symbol" w:hAnsi="Symbol" w:eastAsia="Symbol" w:cs="Symbol"/>
        <w:w w:val="100"/>
        <w:sz w:val="24"/>
        <w:szCs w:val="24"/>
      </w:rPr>
    </w:lvl>
    <w:lvl w:ilvl="2">
      <w:start w:val="1"/>
      <w:numFmt w:val="bullet"/>
      <w:lvlText w:val="•"/>
      <w:lvlJc w:val="left"/>
      <w:pPr>
        <w:ind w:left="2668" w:hanging="360"/>
      </w:pPr>
      <w:rPr>
        <w:rFonts w:hint="default"/>
      </w:rPr>
    </w:lvl>
    <w:lvl w:ilvl="3">
      <w:start w:val="1"/>
      <w:numFmt w:val="bullet"/>
      <w:lvlText w:val="•"/>
      <w:lvlJc w:val="left"/>
      <w:pPr>
        <w:ind w:left="4017" w:hanging="360"/>
      </w:pPr>
      <w:rPr>
        <w:rFonts w:hint="default"/>
      </w:rPr>
    </w:lvl>
    <w:lvl w:ilvl="4">
      <w:start w:val="1"/>
      <w:numFmt w:val="bullet"/>
      <w:lvlText w:val="•"/>
      <w:lvlJc w:val="left"/>
      <w:pPr>
        <w:ind w:left="5366" w:hanging="360"/>
      </w:pPr>
      <w:rPr>
        <w:rFonts w:hint="default"/>
      </w:rPr>
    </w:lvl>
    <w:lvl w:ilvl="5">
      <w:start w:val="1"/>
      <w:numFmt w:val="bullet"/>
      <w:lvlText w:val="•"/>
      <w:lvlJc w:val="left"/>
      <w:pPr>
        <w:ind w:left="6715" w:hanging="360"/>
      </w:pPr>
      <w:rPr>
        <w:rFonts w:hint="default"/>
      </w:rPr>
    </w:lvl>
    <w:lvl w:ilvl="6">
      <w:start w:val="1"/>
      <w:numFmt w:val="bullet"/>
      <w:lvlText w:val="•"/>
      <w:lvlJc w:val="left"/>
      <w:pPr>
        <w:ind w:left="8064" w:hanging="360"/>
      </w:pPr>
      <w:rPr>
        <w:rFonts w:hint="default"/>
      </w:rPr>
    </w:lvl>
    <w:lvl w:ilvl="7">
      <w:start w:val="1"/>
      <w:numFmt w:val="bullet"/>
      <w:lvlText w:val="•"/>
      <w:lvlJc w:val="left"/>
      <w:pPr>
        <w:ind w:left="9413" w:hanging="360"/>
      </w:pPr>
      <w:rPr>
        <w:rFonts w:hint="default"/>
      </w:rPr>
    </w:lvl>
    <w:lvl w:ilvl="8">
      <w:start w:val="1"/>
      <w:numFmt w:val="bullet"/>
      <w:lvlText w:val="•"/>
      <w:lvlJc w:val="left"/>
      <w:pPr>
        <w:ind w:left="10762" w:hanging="360"/>
      </w:pPr>
      <w:rPr>
        <w:rFonts w:hint="default"/>
      </w:rPr>
    </w:lvl>
  </w:abstractNum>
  <w:abstractNum w:abstractNumId="0">
    <w:multiLevelType w:val="hybridMultilevel"/>
    <w:lvl w:ilvl="0">
      <w:start w:val="1"/>
      <w:numFmt w:val="decimal"/>
      <w:lvlText w:val="%1."/>
      <w:lvlJc w:val="left"/>
      <w:pPr>
        <w:ind w:left="955" w:hanging="360"/>
        <w:jc w:val="left"/>
      </w:pPr>
      <w:rPr>
        <w:rFonts w:hint="default" w:ascii="Arial" w:hAnsi="Arial" w:eastAsia="Arial" w:cs="Arial"/>
        <w:color w:val="1C1C1C"/>
        <w:spacing w:val="-1"/>
        <w:w w:val="100"/>
        <w:sz w:val="24"/>
        <w:szCs w:val="24"/>
      </w:rPr>
    </w:lvl>
    <w:lvl w:ilvl="1">
      <w:start w:val="1"/>
      <w:numFmt w:val="bullet"/>
      <w:lvlText w:val="•"/>
      <w:lvlJc w:val="left"/>
      <w:pPr>
        <w:ind w:left="2210" w:hanging="360"/>
      </w:pPr>
      <w:rPr>
        <w:rFonts w:hint="default"/>
      </w:rPr>
    </w:lvl>
    <w:lvl w:ilvl="2">
      <w:start w:val="1"/>
      <w:numFmt w:val="bullet"/>
      <w:lvlText w:val="•"/>
      <w:lvlJc w:val="left"/>
      <w:pPr>
        <w:ind w:left="3460" w:hanging="360"/>
      </w:pPr>
      <w:rPr>
        <w:rFonts w:hint="default"/>
      </w:rPr>
    </w:lvl>
    <w:lvl w:ilvl="3">
      <w:start w:val="1"/>
      <w:numFmt w:val="bullet"/>
      <w:lvlText w:val="•"/>
      <w:lvlJc w:val="left"/>
      <w:pPr>
        <w:ind w:left="4710" w:hanging="360"/>
      </w:pPr>
      <w:rPr>
        <w:rFonts w:hint="default"/>
      </w:rPr>
    </w:lvl>
    <w:lvl w:ilvl="4">
      <w:start w:val="1"/>
      <w:numFmt w:val="bullet"/>
      <w:lvlText w:val="•"/>
      <w:lvlJc w:val="left"/>
      <w:pPr>
        <w:ind w:left="5960" w:hanging="360"/>
      </w:pPr>
      <w:rPr>
        <w:rFonts w:hint="default"/>
      </w:rPr>
    </w:lvl>
    <w:lvl w:ilvl="5">
      <w:start w:val="1"/>
      <w:numFmt w:val="bullet"/>
      <w:lvlText w:val="•"/>
      <w:lvlJc w:val="left"/>
      <w:pPr>
        <w:ind w:left="7210" w:hanging="360"/>
      </w:pPr>
      <w:rPr>
        <w:rFonts w:hint="default"/>
      </w:rPr>
    </w:lvl>
    <w:lvl w:ilvl="6">
      <w:start w:val="1"/>
      <w:numFmt w:val="bullet"/>
      <w:lvlText w:val="•"/>
      <w:lvlJc w:val="left"/>
      <w:pPr>
        <w:ind w:left="8460" w:hanging="360"/>
      </w:pPr>
      <w:rPr>
        <w:rFonts w:hint="default"/>
      </w:rPr>
    </w:lvl>
    <w:lvl w:ilvl="7">
      <w:start w:val="1"/>
      <w:numFmt w:val="bullet"/>
      <w:lvlText w:val="•"/>
      <w:lvlJc w:val="left"/>
      <w:pPr>
        <w:ind w:left="9710" w:hanging="360"/>
      </w:pPr>
      <w:rPr>
        <w:rFonts w:hint="default"/>
      </w:rPr>
    </w:lvl>
    <w:lvl w:ilvl="8">
      <w:start w:val="1"/>
      <w:numFmt w:val="bullet"/>
      <w:lvlText w:val="•"/>
      <w:lvlJc w:val="left"/>
      <w:pPr>
        <w:ind w:left="10960"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4"/>
      <w:ind w:left="455" w:hanging="220"/>
      <w:jc w:val="both"/>
      <w:outlineLvl w:val="1"/>
    </w:pPr>
    <w:rPr>
      <w:rFonts w:ascii="Arial" w:hAnsi="Arial" w:eastAsia="Arial" w:cs="Arial"/>
      <w:sz w:val="28"/>
      <w:szCs w:val="28"/>
    </w:rPr>
  </w:style>
  <w:style w:styleId="ListParagraph" w:type="paragraph">
    <w:name w:val="List Paragraph"/>
    <w:basedOn w:val="Normal"/>
    <w:uiPriority w:val="1"/>
    <w:qFormat/>
    <w:pPr>
      <w:ind w:left="455" w:hanging="22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2017-06-02T17:33:30Z</dcterms:created>
  <dcterms:modified xsi:type="dcterms:W3CDTF">2017-06-02T17:33:30Z</dcterms:modified>
</cp:coreProperties>
</file>