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2" w:lineRule="auto" w:before="58"/>
        <w:ind w:left="395" w:right="422" w:firstLine="0"/>
        <w:jc w:val="both"/>
        <w:rPr>
          <w:b/>
          <w:sz w:val="22"/>
        </w:rPr>
      </w:pPr>
      <w:r>
        <w:rPr>
          <w:b/>
          <w:sz w:val="22"/>
        </w:rPr>
        <w:t>El diseño y uso de indicadores en las fases de caracterización y  diagnóstico para la elaboración de los Planes Estatales de Ordenamiento Territorial. Una propuesta para el caso de </w:t>
      </w:r>
      <w:r>
        <w:rPr>
          <w:b/>
          <w:spacing w:val="40"/>
          <w:sz w:val="22"/>
        </w:rPr>
        <w:t> </w:t>
      </w:r>
      <w:r>
        <w:rPr>
          <w:b/>
          <w:sz w:val="22"/>
        </w:rPr>
        <w:t>México.</w:t>
      </w:r>
    </w:p>
    <w:p>
      <w:pPr>
        <w:pStyle w:val="BodyText"/>
        <w:spacing w:before="2"/>
        <w:rPr>
          <w:b/>
          <w:sz w:val="20"/>
        </w:rPr>
      </w:pPr>
    </w:p>
    <w:p>
      <w:pPr>
        <w:pStyle w:val="Heading1"/>
        <w:spacing w:line="254" w:lineRule="auto"/>
        <w:ind w:left="5720" w:right="408" w:firstLine="525"/>
        <w:jc w:val="right"/>
      </w:pPr>
      <w:r>
        <w:rPr/>
        <w:t>José Luis Palacio Prieto</w:t>
      </w:r>
      <w:r>
        <w:rPr>
          <w:w w:val="101"/>
        </w:rPr>
        <w:t> </w:t>
      </w:r>
      <w:r>
        <w:rPr/>
        <w:t>María Teresa Sánchez Salazar</w:t>
      </w:r>
      <w:r>
        <w:rPr>
          <w:w w:val="101"/>
        </w:rPr>
        <w:t> </w:t>
      </w:r>
      <w:r>
        <w:rPr/>
        <w:t>Javier Delgado Campos</w:t>
      </w:r>
      <w:r>
        <w:rPr>
          <w:w w:val="101"/>
        </w:rPr>
        <w:t> </w:t>
      </w:r>
      <w:r>
        <w:rPr/>
        <w:t>Enrique  Propín Frejomil</w:t>
      </w:r>
    </w:p>
    <w:p>
      <w:pPr>
        <w:spacing w:line="198" w:lineRule="exact" w:before="0"/>
        <w:ind w:left="5795" w:right="464" w:firstLine="0"/>
        <w:jc w:val="left"/>
        <w:rPr>
          <w:b/>
          <w:sz w:val="18"/>
        </w:rPr>
      </w:pPr>
      <w:r>
        <w:rPr>
          <w:b/>
          <w:sz w:val="18"/>
        </w:rPr>
        <w:t>José María Casado Izquierdo</w:t>
      </w:r>
    </w:p>
    <w:p>
      <w:pPr>
        <w:pStyle w:val="BodyText"/>
        <w:rPr>
          <w:b/>
        </w:rPr>
      </w:pPr>
    </w:p>
    <w:p>
      <w:pPr>
        <w:pStyle w:val="BodyText"/>
        <w:rPr>
          <w:b/>
        </w:rPr>
      </w:pPr>
    </w:p>
    <w:p>
      <w:pPr>
        <w:pStyle w:val="BodyText"/>
        <w:spacing w:before="7"/>
        <w:rPr>
          <w:b/>
          <w:sz w:val="21"/>
        </w:rPr>
      </w:pPr>
    </w:p>
    <w:p>
      <w:pPr>
        <w:spacing w:before="0"/>
        <w:ind w:left="395" w:right="0" w:firstLine="0"/>
        <w:jc w:val="both"/>
        <w:rPr>
          <w:b/>
          <w:sz w:val="18"/>
        </w:rPr>
      </w:pPr>
      <w:r>
        <w:rPr>
          <w:b/>
          <w:sz w:val="18"/>
        </w:rPr>
        <w:t>Introducción</w:t>
      </w:r>
    </w:p>
    <w:p>
      <w:pPr>
        <w:pStyle w:val="BodyText"/>
        <w:spacing w:before="6"/>
        <w:rPr>
          <w:b/>
        </w:rPr>
      </w:pPr>
    </w:p>
    <w:p>
      <w:pPr>
        <w:pStyle w:val="BodyText"/>
        <w:spacing w:line="252" w:lineRule="auto"/>
        <w:ind w:left="395" w:right="422"/>
        <w:jc w:val="both"/>
      </w:pPr>
      <w:r>
        <w:rPr/>
        <w:t>El ordenamiento territorial (OT) se concibe como un proceso y una estrategia de planificación        de carácter técnico político, a través del cual se pretende configurar, en el largo </w:t>
      </w:r>
      <w:r>
        <w:rPr>
          <w:spacing w:val="2"/>
        </w:rPr>
        <w:t>plazo, </w:t>
      </w:r>
      <w:r>
        <w:rPr>
          <w:spacing w:val="3"/>
        </w:rPr>
        <w:t>una </w:t>
      </w:r>
      <w:r>
        <w:rPr/>
        <w:t>organización del uso y ocupación del territorio, acorde con las potencialidades y </w:t>
      </w:r>
      <w:r>
        <w:rPr>
          <w:spacing w:val="2"/>
        </w:rPr>
        <w:t>limitaciones     </w:t>
      </w:r>
      <w:r>
        <w:rPr>
          <w:spacing w:val="54"/>
        </w:rPr>
        <w:t> </w:t>
      </w:r>
      <w:r>
        <w:rPr/>
        <w:t>del mismo, las expectativas y aspiraciones de la población y los  objetivos  sectoriales  de  desarrollo (económicos, sociales, culturales y ecológicos). Se  concreta  en  planes  que  expresan el modelo territorial a largo plazo que la sociedad percibe como deseable y  las  estrategias mediante las cuales se actuará sobre la  realidad  para  evolucionar  hacia  dicho  modelo  (Massiris,  1991,  1993,  1997,  1999,  2001;  </w:t>
      </w:r>
      <w:r>
        <w:rPr>
          <w:spacing w:val="-5"/>
        </w:rPr>
        <w:t>IGAC,  </w:t>
      </w:r>
      <w:r>
        <w:rPr/>
        <w:t>1996,  1997a,  1997b;  Consejo  de    </w:t>
      </w:r>
      <w:r>
        <w:rPr>
          <w:spacing w:val="46"/>
        </w:rPr>
        <w:t> </w:t>
      </w:r>
      <w:r>
        <w:rPr/>
        <w:t>Europa,</w:t>
      </w:r>
    </w:p>
    <w:p>
      <w:pPr>
        <w:pStyle w:val="BodyText"/>
        <w:spacing w:line="200" w:lineRule="exact"/>
        <w:ind w:left="395"/>
        <w:jc w:val="both"/>
      </w:pPr>
      <w:r>
        <w:rPr/>
        <w:t>1993; Gómez Orea, 1994, 2001).</w:t>
      </w:r>
    </w:p>
    <w:p>
      <w:pPr>
        <w:pStyle w:val="BodyText"/>
        <w:spacing w:before="9"/>
        <w:rPr>
          <w:sz w:val="19"/>
        </w:rPr>
      </w:pPr>
    </w:p>
    <w:p>
      <w:pPr>
        <w:pStyle w:val="BodyText"/>
        <w:ind w:left="395"/>
        <w:jc w:val="both"/>
      </w:pPr>
      <w:r>
        <w:rPr/>
        <w:t>El OT comprende cuatro  etapas:</w:t>
      </w:r>
    </w:p>
    <w:p>
      <w:pPr>
        <w:pStyle w:val="BodyText"/>
        <w:spacing w:before="6"/>
      </w:pPr>
    </w:p>
    <w:p>
      <w:pPr>
        <w:pStyle w:val="ListParagraph"/>
        <w:numPr>
          <w:ilvl w:val="0"/>
          <w:numId w:val="1"/>
        </w:numPr>
        <w:tabs>
          <w:tab w:pos="1280" w:val="left" w:leader="none"/>
        </w:tabs>
        <w:spacing w:line="240" w:lineRule="auto" w:before="0" w:after="0"/>
        <w:ind w:left="1280" w:right="0" w:hanging="345"/>
        <w:jc w:val="left"/>
        <w:rPr>
          <w:sz w:val="18"/>
        </w:rPr>
      </w:pPr>
      <w:r>
        <w:rPr>
          <w:sz w:val="18"/>
        </w:rPr>
        <w:t>Análisis y Diagnóstico </w:t>
      </w:r>
      <w:r>
        <w:rPr>
          <w:spacing w:val="2"/>
          <w:sz w:val="18"/>
        </w:rPr>
        <w:t> </w:t>
      </w:r>
      <w:r>
        <w:rPr>
          <w:sz w:val="18"/>
        </w:rPr>
        <w:t>territorial</w:t>
      </w:r>
    </w:p>
    <w:p>
      <w:pPr>
        <w:pStyle w:val="ListParagraph"/>
        <w:numPr>
          <w:ilvl w:val="0"/>
          <w:numId w:val="1"/>
        </w:numPr>
        <w:tabs>
          <w:tab w:pos="1280" w:val="left" w:leader="none"/>
        </w:tabs>
        <w:spacing w:line="240" w:lineRule="auto" w:before="18" w:after="0"/>
        <w:ind w:left="1280" w:right="0" w:hanging="345"/>
        <w:jc w:val="left"/>
        <w:rPr>
          <w:sz w:val="18"/>
        </w:rPr>
      </w:pPr>
      <w:r>
        <w:rPr>
          <w:sz w:val="18"/>
        </w:rPr>
        <w:t>Prospectiva o diseño de </w:t>
      </w:r>
      <w:r>
        <w:rPr>
          <w:spacing w:val="30"/>
          <w:sz w:val="18"/>
        </w:rPr>
        <w:t> </w:t>
      </w:r>
      <w:r>
        <w:rPr>
          <w:sz w:val="18"/>
        </w:rPr>
        <w:t>escenarios</w:t>
      </w:r>
    </w:p>
    <w:p>
      <w:pPr>
        <w:pStyle w:val="ListParagraph"/>
        <w:numPr>
          <w:ilvl w:val="0"/>
          <w:numId w:val="1"/>
        </w:numPr>
        <w:tabs>
          <w:tab w:pos="1280" w:val="left" w:leader="none"/>
        </w:tabs>
        <w:spacing w:line="240" w:lineRule="auto" w:before="3" w:after="0"/>
        <w:ind w:left="1280" w:right="0" w:hanging="345"/>
        <w:jc w:val="left"/>
        <w:rPr>
          <w:sz w:val="18"/>
        </w:rPr>
      </w:pPr>
      <w:r>
        <w:rPr>
          <w:sz w:val="18"/>
        </w:rPr>
        <w:t>Formulación  del plan</w:t>
      </w:r>
    </w:p>
    <w:p>
      <w:pPr>
        <w:pStyle w:val="ListParagraph"/>
        <w:numPr>
          <w:ilvl w:val="0"/>
          <w:numId w:val="1"/>
        </w:numPr>
        <w:tabs>
          <w:tab w:pos="1280" w:val="left" w:leader="none"/>
        </w:tabs>
        <w:spacing w:line="240" w:lineRule="auto" w:before="18" w:after="0"/>
        <w:ind w:left="1280" w:right="0" w:hanging="345"/>
        <w:jc w:val="left"/>
        <w:rPr>
          <w:sz w:val="18"/>
        </w:rPr>
      </w:pPr>
      <w:r>
        <w:rPr>
          <w:sz w:val="18"/>
        </w:rPr>
        <w:t>Gestión</w:t>
      </w:r>
      <w:r>
        <w:rPr>
          <w:spacing w:val="15"/>
          <w:sz w:val="18"/>
        </w:rPr>
        <w:t> </w:t>
      </w:r>
      <w:r>
        <w:rPr>
          <w:sz w:val="18"/>
        </w:rPr>
        <w:t>territorial</w:t>
      </w:r>
    </w:p>
    <w:p>
      <w:pPr>
        <w:pStyle w:val="BodyText"/>
        <w:spacing w:before="9"/>
        <w:rPr>
          <w:sz w:val="19"/>
        </w:rPr>
      </w:pPr>
    </w:p>
    <w:p>
      <w:pPr>
        <w:pStyle w:val="BodyText"/>
        <w:ind w:left="395"/>
        <w:jc w:val="both"/>
      </w:pPr>
      <w:r>
        <w:rPr/>
        <w:t>Así mismo, en la integración de un plan de OT se consideran cuatro subsistemas:</w:t>
      </w:r>
    </w:p>
    <w:p>
      <w:pPr>
        <w:pStyle w:val="BodyText"/>
        <w:spacing w:before="9"/>
        <w:rPr>
          <w:sz w:val="19"/>
        </w:rPr>
      </w:pPr>
    </w:p>
    <w:p>
      <w:pPr>
        <w:pStyle w:val="ListParagraph"/>
        <w:numPr>
          <w:ilvl w:val="0"/>
          <w:numId w:val="2"/>
        </w:numPr>
        <w:tabs>
          <w:tab w:pos="1280" w:val="left" w:leader="none"/>
        </w:tabs>
        <w:spacing w:line="240" w:lineRule="auto" w:before="0" w:after="0"/>
        <w:ind w:left="1280" w:right="0" w:hanging="345"/>
        <w:jc w:val="left"/>
        <w:rPr>
          <w:sz w:val="18"/>
        </w:rPr>
      </w:pPr>
      <w:r>
        <w:rPr>
          <w:sz w:val="18"/>
        </w:rPr>
        <w:t>Subsistema</w:t>
      </w:r>
      <w:r>
        <w:rPr>
          <w:spacing w:val="33"/>
          <w:sz w:val="18"/>
        </w:rPr>
        <w:t> </w:t>
      </w:r>
      <w:r>
        <w:rPr>
          <w:sz w:val="18"/>
        </w:rPr>
        <w:t>natural</w:t>
      </w:r>
    </w:p>
    <w:p>
      <w:pPr>
        <w:pStyle w:val="ListParagraph"/>
        <w:numPr>
          <w:ilvl w:val="0"/>
          <w:numId w:val="2"/>
        </w:numPr>
        <w:tabs>
          <w:tab w:pos="1280" w:val="left" w:leader="none"/>
        </w:tabs>
        <w:spacing w:line="240" w:lineRule="auto" w:before="3" w:after="0"/>
        <w:ind w:left="1280" w:right="0" w:hanging="345"/>
        <w:jc w:val="left"/>
        <w:rPr>
          <w:sz w:val="18"/>
        </w:rPr>
      </w:pPr>
      <w:r>
        <w:rPr>
          <w:sz w:val="18"/>
        </w:rPr>
        <w:t>Subsistema</w:t>
      </w:r>
      <w:r>
        <w:rPr>
          <w:spacing w:val="38"/>
          <w:sz w:val="18"/>
        </w:rPr>
        <w:t> </w:t>
      </w:r>
      <w:r>
        <w:rPr>
          <w:sz w:val="18"/>
        </w:rPr>
        <w:t>económico</w:t>
      </w:r>
    </w:p>
    <w:p>
      <w:pPr>
        <w:pStyle w:val="ListParagraph"/>
        <w:numPr>
          <w:ilvl w:val="0"/>
          <w:numId w:val="2"/>
        </w:numPr>
        <w:tabs>
          <w:tab w:pos="1280" w:val="left" w:leader="none"/>
        </w:tabs>
        <w:spacing w:line="240" w:lineRule="auto" w:before="3" w:after="0"/>
        <w:ind w:left="1280" w:right="0" w:hanging="345"/>
        <w:jc w:val="left"/>
        <w:rPr>
          <w:sz w:val="18"/>
        </w:rPr>
      </w:pPr>
      <w:r>
        <w:rPr>
          <w:sz w:val="18"/>
        </w:rPr>
        <w:t>Subsistema</w:t>
      </w:r>
      <w:r>
        <w:rPr>
          <w:spacing w:val="32"/>
          <w:sz w:val="18"/>
        </w:rPr>
        <w:t> </w:t>
      </w:r>
      <w:r>
        <w:rPr>
          <w:sz w:val="18"/>
        </w:rPr>
        <w:t>social</w:t>
      </w:r>
    </w:p>
    <w:p>
      <w:pPr>
        <w:pStyle w:val="ListParagraph"/>
        <w:numPr>
          <w:ilvl w:val="0"/>
          <w:numId w:val="2"/>
        </w:numPr>
        <w:tabs>
          <w:tab w:pos="1280" w:val="left" w:leader="none"/>
        </w:tabs>
        <w:spacing w:line="240" w:lineRule="auto" w:before="18" w:after="0"/>
        <w:ind w:left="1280" w:right="0" w:hanging="345"/>
        <w:jc w:val="left"/>
        <w:rPr>
          <w:sz w:val="18"/>
        </w:rPr>
      </w:pPr>
      <w:r>
        <w:rPr>
          <w:sz w:val="18"/>
        </w:rPr>
        <w:t>Subsistema  urbano-regional</w:t>
      </w:r>
    </w:p>
    <w:p>
      <w:pPr>
        <w:pStyle w:val="BodyText"/>
        <w:spacing w:before="6"/>
      </w:pPr>
    </w:p>
    <w:p>
      <w:pPr>
        <w:pStyle w:val="BodyText"/>
        <w:spacing w:line="252" w:lineRule="auto"/>
        <w:ind w:left="395" w:right="419"/>
        <w:jc w:val="both"/>
      </w:pPr>
      <w:r>
        <w:rPr/>
        <w:t>Los fines del OT están encaminados al uso sustentable de los recursos considerando tanto el carácter natural como social y </w:t>
      </w:r>
      <w:r>
        <w:rPr>
          <w:spacing w:val="2"/>
        </w:rPr>
        <w:t>económico </w:t>
      </w:r>
      <w:r>
        <w:rPr/>
        <w:t>del </w:t>
      </w:r>
      <w:r>
        <w:rPr>
          <w:spacing w:val="2"/>
        </w:rPr>
        <w:t>territorio. </w:t>
      </w:r>
      <w:r>
        <w:rPr/>
        <w:t>El uso </w:t>
      </w:r>
      <w:r>
        <w:rPr>
          <w:spacing w:val="2"/>
        </w:rPr>
        <w:t>sustentable </w:t>
      </w:r>
      <w:r>
        <w:rPr/>
        <w:t>de  los  </w:t>
      </w:r>
      <w:r>
        <w:rPr>
          <w:spacing w:val="2"/>
        </w:rPr>
        <w:t>recursos, </w:t>
      </w:r>
      <w:r>
        <w:rPr/>
        <w:t>a través del OT, tiene como finalidad "el mejoramiento de la calidad de vida" (Comisión  de  Desarrollo Sustentable y Medio Ambiente de América Latina y  el  Caribe,  1991)  y  en  este  sentido</w:t>
      </w:r>
      <w:r>
        <w:rPr>
          <w:spacing w:val="19"/>
        </w:rPr>
        <w:t> </w:t>
      </w:r>
      <w:r>
        <w:rPr/>
        <w:t>comparte</w:t>
      </w:r>
      <w:r>
        <w:rPr>
          <w:spacing w:val="19"/>
        </w:rPr>
        <w:t> </w:t>
      </w:r>
      <w:r>
        <w:rPr>
          <w:spacing w:val="6"/>
        </w:rPr>
        <w:t>los</w:t>
      </w:r>
      <w:r>
        <w:rPr>
          <w:spacing w:val="25"/>
        </w:rPr>
        <w:t> </w:t>
      </w:r>
      <w:r>
        <w:rPr/>
        <w:t>aspectos</w:t>
      </w:r>
      <w:r>
        <w:rPr>
          <w:spacing w:val="25"/>
        </w:rPr>
        <w:t> </w:t>
      </w:r>
      <w:r>
        <w:rPr/>
        <w:t>conceptuales</w:t>
      </w:r>
      <w:r>
        <w:rPr>
          <w:spacing w:val="25"/>
        </w:rPr>
        <w:t> </w:t>
      </w:r>
      <w:r>
        <w:rPr/>
        <w:t>y</w:t>
      </w:r>
      <w:r>
        <w:rPr>
          <w:spacing w:val="25"/>
        </w:rPr>
        <w:t> </w:t>
      </w:r>
      <w:r>
        <w:rPr/>
        <w:t>metodológicos</w:t>
      </w:r>
      <w:r>
        <w:rPr>
          <w:spacing w:val="25"/>
        </w:rPr>
        <w:t> </w:t>
      </w:r>
      <w:r>
        <w:rPr/>
        <w:t>de</w:t>
      </w:r>
      <w:r>
        <w:rPr>
          <w:spacing w:val="25"/>
        </w:rPr>
        <w:t> </w:t>
      </w:r>
      <w:r>
        <w:rPr/>
        <w:t>la</w:t>
      </w:r>
      <w:r>
        <w:rPr>
          <w:spacing w:val="25"/>
        </w:rPr>
        <w:t> </w:t>
      </w:r>
      <w:r>
        <w:rPr/>
        <w:t>sustentabilidad.</w:t>
      </w:r>
    </w:p>
    <w:p>
      <w:pPr>
        <w:pStyle w:val="BodyText"/>
        <w:spacing w:before="7"/>
        <w:rPr>
          <w:sz w:val="17"/>
        </w:rPr>
      </w:pPr>
    </w:p>
    <w:p>
      <w:pPr>
        <w:pStyle w:val="BodyText"/>
        <w:spacing w:line="252" w:lineRule="auto"/>
        <w:ind w:left="395" w:right="424"/>
        <w:jc w:val="both"/>
      </w:pPr>
      <w:r>
        <w:rPr/>
        <w:t>Uno de los aspectos centrales de la sustentabilidad es la definición de criterios e indicadores       que permitan la caracterización del estado de los recursos, la población y la economía y, por    ende, del territorio. "El papel de los criterios consiste en caracterizar o definir los elementos esenciales o el conjunto de condiciones o procesos mediante los cuales se puede evaluar la sustentabilidad" (y el territorio mismo; Reygadas,  2003).  Por  otra  parte,  los  indicadores  permiten medir (cuantitativamente) o describir  (cualitativamente)  a  los  criterios;  son  "una  medida de un aspecto del criterio" (Proceso de Montreal, 1995). Los indicadores revelan condiciones y tendencias que pueden ser de utilidad </w:t>
      </w:r>
      <w:r>
        <w:rPr>
          <w:spacing w:val="-6"/>
        </w:rPr>
        <w:t>en </w:t>
      </w:r>
      <w:r>
        <w:rPr/>
        <w:t>la planeación del desarrollo;  su  importancia resulta de gran relevancia en el marco de acuerdos regionales y mundiales, como      los </w:t>
      </w:r>
      <w:r>
        <w:rPr>
          <w:spacing w:val="2"/>
        </w:rPr>
        <w:t>establecidos </w:t>
      </w:r>
      <w:r>
        <w:rPr/>
        <w:t>en el </w:t>
      </w:r>
      <w:r>
        <w:rPr>
          <w:spacing w:val="2"/>
        </w:rPr>
        <w:t>marco </w:t>
      </w:r>
      <w:r>
        <w:rPr/>
        <w:t>de la </w:t>
      </w:r>
      <w:r>
        <w:rPr>
          <w:spacing w:val="2"/>
        </w:rPr>
        <w:t>Agenda </w:t>
      </w:r>
      <w:r>
        <w:rPr/>
        <w:t>21. Su </w:t>
      </w:r>
      <w:r>
        <w:rPr>
          <w:spacing w:val="2"/>
        </w:rPr>
        <w:t>instrumentación  </w:t>
      </w:r>
      <w:r>
        <w:rPr>
          <w:spacing w:val="15"/>
        </w:rPr>
        <w:t> </w:t>
      </w:r>
      <w:r>
        <w:rPr>
          <w:spacing w:val="3"/>
        </w:rPr>
        <w:t>permite:</w:t>
      </w:r>
    </w:p>
    <w:p>
      <w:pPr>
        <w:pStyle w:val="BodyText"/>
        <w:spacing w:before="2"/>
        <w:rPr>
          <w:sz w:val="19"/>
        </w:rPr>
      </w:pPr>
    </w:p>
    <w:p>
      <w:pPr>
        <w:pStyle w:val="BodyText"/>
        <w:tabs>
          <w:tab w:pos="1729" w:val="left" w:leader="none"/>
        </w:tabs>
        <w:ind w:left="1070" w:right="464"/>
      </w:pPr>
      <w:r>
        <w:rPr>
          <w:rFonts w:ascii="Symbol" w:hAnsi="Symbol"/>
        </w:rPr>
        <w:t></w:t>
      </w:r>
      <w:r>
        <w:rPr>
          <w:rFonts w:ascii="Times New Roman" w:hAnsi="Times New Roman"/>
        </w:rPr>
        <w:tab/>
      </w:r>
      <w:r>
        <w:rPr/>
        <w:t>Desarrollar  mejores  colecciones  de  información  y  </w:t>
      </w:r>
      <w:r>
        <w:rPr>
          <w:spacing w:val="2"/>
        </w:rPr>
        <w:t>reportes  </w:t>
      </w:r>
      <w:r>
        <w:rPr/>
        <w:t>con     </w:t>
      </w:r>
      <w:r>
        <w:rPr>
          <w:spacing w:val="32"/>
        </w:rPr>
        <w:t> </w:t>
      </w:r>
      <w:r>
        <w:rPr/>
        <w:t>énfasis </w:t>
      </w:r>
      <w:r>
        <w:rPr>
          <w:spacing w:val="16"/>
        </w:rPr>
        <w:t> </w:t>
      </w:r>
      <w:r>
        <w:rPr/>
        <w:t>en</w:t>
      </w:r>
      <w:r>
        <w:rPr>
          <w:spacing w:val="1"/>
          <w:w w:val="101"/>
        </w:rPr>
        <w:t> </w:t>
      </w:r>
      <w:r>
        <w:rPr/>
        <w:t>materia </w:t>
      </w:r>
      <w:r>
        <w:rPr>
          <w:spacing w:val="15"/>
        </w:rPr>
        <w:t> </w:t>
      </w:r>
      <w:r>
        <w:rPr/>
        <w:t>ambiental;</w:t>
      </w:r>
    </w:p>
    <w:p>
      <w:pPr>
        <w:pStyle w:val="BodyText"/>
        <w:tabs>
          <w:tab w:pos="1729" w:val="left" w:leader="none"/>
        </w:tabs>
        <w:spacing w:line="259" w:lineRule="auto" w:before="6"/>
        <w:ind w:left="1070" w:right="423"/>
      </w:pPr>
      <w:r>
        <w:rPr>
          <w:rFonts w:ascii="Symbol" w:hAnsi="Symbol"/>
        </w:rPr>
        <w:t></w:t>
      </w:r>
      <w:r>
        <w:rPr>
          <w:rFonts w:ascii="Times New Roman" w:hAnsi="Times New Roman"/>
        </w:rPr>
        <w:tab/>
      </w:r>
      <w:r>
        <w:rPr/>
        <w:t>Integrar   datos   ambientales,   económicos   y   sociales   de   importancia  </w:t>
      </w:r>
      <w:r>
        <w:rPr>
          <w:spacing w:val="28"/>
        </w:rPr>
        <w:t> </w:t>
      </w:r>
      <w:r>
        <w:rPr/>
        <w:t>en  </w:t>
      </w:r>
      <w:r>
        <w:rPr>
          <w:spacing w:val="3"/>
        </w:rPr>
        <w:t> </w:t>
      </w:r>
      <w:r>
        <w:rPr/>
        <w:t>la</w:t>
      </w:r>
      <w:r>
        <w:rPr>
          <w:spacing w:val="2"/>
          <w:w w:val="101"/>
        </w:rPr>
        <w:t> </w:t>
      </w:r>
      <w:r>
        <w:rPr/>
        <w:t>planeación y la toma de decisiones;  </w:t>
      </w:r>
      <w:r>
        <w:rPr>
          <w:spacing w:val="1"/>
        </w:rPr>
        <w:t> </w:t>
      </w:r>
      <w:r>
        <w:rPr/>
        <w:t>y</w:t>
      </w:r>
    </w:p>
    <w:p>
      <w:pPr>
        <w:pStyle w:val="BodyText"/>
        <w:tabs>
          <w:tab w:pos="1729" w:val="left" w:leader="none"/>
        </w:tabs>
        <w:spacing w:line="210" w:lineRule="exact"/>
        <w:ind w:left="1070" w:right="464"/>
      </w:pPr>
      <w:r>
        <w:rPr>
          <w:rFonts w:ascii="Symbol" w:hAnsi="Symbol"/>
        </w:rPr>
        <w:t></w:t>
      </w:r>
      <w:r>
        <w:rPr>
          <w:rFonts w:ascii="Times New Roman" w:hAnsi="Times New Roman"/>
        </w:rPr>
        <w:tab/>
      </w:r>
      <w:r>
        <w:rPr/>
        <w:t>Elaborar reportes periódicos sobre condiciones y  </w:t>
      </w:r>
      <w:r>
        <w:rPr>
          <w:spacing w:val="42"/>
        </w:rPr>
        <w:t> </w:t>
      </w:r>
      <w:r>
        <w:rPr/>
        <w:t>tendencias.</w:t>
      </w:r>
    </w:p>
    <w:p>
      <w:pPr>
        <w:spacing w:after="0" w:line="210" w:lineRule="exact"/>
        <w:sectPr>
          <w:footerReference w:type="default" r:id="rId5"/>
          <w:type w:val="continuous"/>
          <w:pgSz w:w="12240" w:h="15840"/>
          <w:pgMar w:footer="706" w:top="1280" w:bottom="900" w:left="1720" w:right="1720"/>
          <w:pgNumType w:start="1"/>
        </w:sectPr>
      </w:pPr>
    </w:p>
    <w:p>
      <w:pPr>
        <w:pStyle w:val="BodyText"/>
        <w:spacing w:line="247" w:lineRule="auto" w:before="71"/>
        <w:ind w:left="395" w:right="423"/>
        <w:jc w:val="both"/>
      </w:pPr>
      <w:r>
        <w:rPr/>
        <w:t>Existen diversas instituciones, grupos de inves tigación, públicos y privados, y académicos de manera individual que han propuesto criterios e indicadores enfocados a la caracterización de      los recursos e, implícitamente, del territorio, sea en escalas mundial, regional, nacional y </w:t>
      </w:r>
      <w:r>
        <w:rPr>
          <w:spacing w:val="2"/>
        </w:rPr>
        <w:t>local. </w:t>
      </w:r>
      <w:r>
        <w:rPr/>
        <w:t>Algunos de los aportes más relevantes a  nivel  internacional  pueden  consultarse  en  FAO  (1996); </w:t>
      </w:r>
      <w:r>
        <w:rPr>
          <w:spacing w:val="27"/>
        </w:rPr>
        <w:t> </w:t>
      </w:r>
      <w:r>
        <w:rPr/>
        <w:t>CCFM </w:t>
      </w:r>
      <w:r>
        <w:rPr>
          <w:spacing w:val="27"/>
        </w:rPr>
        <w:t> </w:t>
      </w:r>
      <w:r>
        <w:rPr/>
        <w:t>(1997); </w:t>
      </w:r>
      <w:r>
        <w:rPr>
          <w:spacing w:val="27"/>
        </w:rPr>
        <w:t> </w:t>
      </w:r>
      <w:r>
        <w:rPr/>
        <w:t>CIFoR </w:t>
      </w:r>
      <w:r>
        <w:rPr>
          <w:spacing w:val="27"/>
        </w:rPr>
        <w:t> </w:t>
      </w:r>
      <w:r>
        <w:rPr/>
        <w:t>(1999); </w:t>
      </w:r>
      <w:r>
        <w:rPr>
          <w:spacing w:val="27"/>
        </w:rPr>
        <w:t> </w:t>
      </w:r>
      <w:r>
        <w:rPr/>
        <w:t>y </w:t>
      </w:r>
      <w:r>
        <w:rPr>
          <w:spacing w:val="27"/>
        </w:rPr>
        <w:t> </w:t>
      </w:r>
      <w:r>
        <w:rPr/>
        <w:t>ONU </w:t>
      </w:r>
      <w:r>
        <w:rPr>
          <w:spacing w:val="27"/>
        </w:rPr>
        <w:t> </w:t>
      </w:r>
      <w:r>
        <w:rPr/>
        <w:t>(2000), </w:t>
      </w:r>
      <w:r>
        <w:rPr>
          <w:spacing w:val="27"/>
        </w:rPr>
        <w:t> </w:t>
      </w:r>
      <w:r>
        <w:rPr/>
        <w:t>OECD </w:t>
      </w:r>
      <w:r>
        <w:rPr>
          <w:spacing w:val="27"/>
        </w:rPr>
        <w:t> </w:t>
      </w:r>
      <w:r>
        <w:rPr/>
        <w:t>(2001), </w:t>
      </w:r>
      <w:r>
        <w:rPr>
          <w:spacing w:val="27"/>
        </w:rPr>
        <w:t> </w:t>
      </w:r>
      <w:r>
        <w:rPr/>
        <w:t>USDA </w:t>
      </w:r>
      <w:r>
        <w:rPr>
          <w:spacing w:val="27"/>
        </w:rPr>
        <w:t> </w:t>
      </w:r>
      <w:r>
        <w:rPr/>
        <w:t>(2002), </w:t>
      </w:r>
      <w:r>
        <w:rPr>
          <w:spacing w:val="27"/>
        </w:rPr>
        <w:t> </w:t>
      </w:r>
      <w:r>
        <w:rPr/>
        <w:t>entre</w:t>
      </w:r>
    </w:p>
    <w:p>
      <w:pPr>
        <w:pStyle w:val="BodyText"/>
        <w:spacing w:line="252" w:lineRule="auto"/>
        <w:ind w:left="395" w:right="419"/>
        <w:jc w:val="both"/>
      </w:pPr>
      <w:r>
        <w:rPr/>
        <w:t>muchos otros. Estos criterios e indicadores tienen alcance nacional o regional aunque destacan </w:t>
      </w:r>
      <w:r>
        <w:rPr>
          <w:spacing w:val="4"/>
        </w:rPr>
        <w:t>también </w:t>
      </w:r>
      <w:r>
        <w:rPr>
          <w:spacing w:val="-3"/>
        </w:rPr>
        <w:t>los </w:t>
      </w:r>
      <w:r>
        <w:rPr/>
        <w:t>esfuerzos de alcance mundial, entre los cuales se encuentran  los  procesos  de Helsinki y Montreal. Este último, representa una de las principales metodologías encaminadas        a la evaluación de la sustentatibilidad de las áreas forestales y  es  el  formato  base a </w:t>
      </w:r>
      <w:r>
        <w:rPr>
          <w:spacing w:val="2"/>
        </w:rPr>
        <w:t>que </w:t>
      </w:r>
      <w:r>
        <w:rPr>
          <w:spacing w:val="4"/>
        </w:rPr>
        <w:t>se </w:t>
      </w:r>
      <w:r>
        <w:rPr>
          <w:spacing w:val="2"/>
        </w:rPr>
        <w:t>ajustan </w:t>
      </w:r>
      <w:r>
        <w:rPr/>
        <w:t>los </w:t>
      </w:r>
      <w:r>
        <w:rPr>
          <w:spacing w:val="2"/>
        </w:rPr>
        <w:t>países participantes </w:t>
      </w:r>
      <w:r>
        <w:rPr/>
        <w:t>en las </w:t>
      </w:r>
      <w:r>
        <w:rPr>
          <w:spacing w:val="2"/>
        </w:rPr>
        <w:t>cumbres </w:t>
      </w:r>
      <w:r>
        <w:rPr/>
        <w:t>de la  </w:t>
      </w:r>
      <w:r>
        <w:rPr>
          <w:spacing w:val="27"/>
        </w:rPr>
        <w:t> </w:t>
      </w:r>
      <w:r>
        <w:rPr>
          <w:spacing w:val="3"/>
        </w:rPr>
        <w:t>Tierra.</w:t>
      </w:r>
    </w:p>
    <w:p>
      <w:pPr>
        <w:pStyle w:val="BodyText"/>
        <w:spacing w:before="7"/>
        <w:rPr>
          <w:sz w:val="17"/>
        </w:rPr>
      </w:pPr>
    </w:p>
    <w:p>
      <w:pPr>
        <w:pStyle w:val="BodyText"/>
        <w:spacing w:line="254" w:lineRule="auto"/>
        <w:ind w:left="395" w:right="424"/>
      </w:pPr>
      <w:r>
        <w:rPr/>
        <w:t>Recientemente, a nivel nacional, CÉSPEDES (2001); Massera </w:t>
      </w:r>
      <w:r>
        <w:rPr>
          <w:i/>
          <w:spacing w:val="2"/>
        </w:rPr>
        <w:t>et </w:t>
      </w:r>
      <w:r>
        <w:rPr>
          <w:i/>
          <w:spacing w:val="3"/>
        </w:rPr>
        <w:t>al. </w:t>
      </w:r>
      <w:r>
        <w:rPr/>
        <w:t>(2001); CONAPO (2000); INE-INEGI (2000); gobiernos de los estados de Jalisco (2001) y Querétaro  (2002)  han  desarrollado indicadores encaminados a la caracterización de las condiciones naturales y </w:t>
      </w:r>
      <w:r>
        <w:rPr>
          <w:spacing w:val="2"/>
        </w:rPr>
        <w:t>socioeconómicas </w:t>
      </w:r>
      <w:r>
        <w:rPr/>
        <w:t>del </w:t>
      </w:r>
      <w:r>
        <w:rPr>
          <w:spacing w:val="2"/>
        </w:rPr>
        <w:t>territorio </w:t>
      </w:r>
      <w:r>
        <w:rPr/>
        <w:t>y sus </w:t>
      </w:r>
      <w:r>
        <w:rPr>
          <w:spacing w:val="34"/>
        </w:rPr>
        <w:t> </w:t>
      </w:r>
      <w:r>
        <w:rPr>
          <w:spacing w:val="3"/>
        </w:rPr>
        <w:t>recursos.</w:t>
      </w:r>
    </w:p>
    <w:p>
      <w:pPr>
        <w:pStyle w:val="BodyText"/>
        <w:spacing w:before="8"/>
      </w:pPr>
    </w:p>
    <w:p>
      <w:pPr>
        <w:pStyle w:val="BodyText"/>
        <w:spacing w:line="249" w:lineRule="auto" w:before="1"/>
        <w:ind w:left="395" w:right="649"/>
      </w:pPr>
      <w:r>
        <w:rPr/>
        <w:t>En este documento se discuten de manera general una propuesta genérica para la generación     de indicadores dirigidos a la </w:t>
      </w:r>
      <w:r>
        <w:rPr>
          <w:spacing w:val="2"/>
        </w:rPr>
        <w:t>caracterización </w:t>
      </w:r>
      <w:r>
        <w:rPr/>
        <w:t>del territorio  en  cada  uno  de  los  cuatro componentes (criterios) básicos, mismos  que  corresponden  a  los  subsistemas  </w:t>
      </w:r>
      <w:r>
        <w:rPr>
          <w:spacing w:val="2"/>
        </w:rPr>
        <w:t>arriba  </w:t>
      </w:r>
      <w:r>
        <w:rPr/>
        <w:t>señalados, que en su conjunto integran el sistema territorial. Si bien existe una cantidad considerable de indicadores que </w:t>
      </w:r>
      <w:r>
        <w:rPr>
          <w:spacing w:val="3"/>
        </w:rPr>
        <w:t>eventualmente </w:t>
      </w:r>
      <w:r>
        <w:rPr/>
        <w:t>pueden ser aplicados a escala  estatal  y  </w:t>
      </w:r>
      <w:r>
        <w:rPr>
          <w:spacing w:val="2"/>
        </w:rPr>
        <w:t>nacional, </w:t>
      </w:r>
      <w:r>
        <w:rPr/>
        <w:t>en </w:t>
      </w:r>
      <w:r>
        <w:rPr>
          <w:spacing w:val="2"/>
        </w:rPr>
        <w:t>este caso </w:t>
      </w:r>
      <w:r>
        <w:rPr/>
        <w:t>se </w:t>
      </w:r>
      <w:r>
        <w:rPr>
          <w:spacing w:val="2"/>
        </w:rPr>
        <w:t>proponen grupos </w:t>
      </w:r>
      <w:r>
        <w:rPr/>
        <w:t>de </w:t>
      </w:r>
      <w:r>
        <w:rPr>
          <w:spacing w:val="2"/>
        </w:rPr>
        <w:t>indicadores, </w:t>
      </w:r>
      <w:r>
        <w:rPr/>
        <w:t>más de </w:t>
      </w:r>
      <w:r>
        <w:rPr>
          <w:spacing w:val="2"/>
        </w:rPr>
        <w:t>manera indicativa </w:t>
      </w:r>
      <w:r>
        <w:rPr>
          <w:spacing w:val="3"/>
        </w:rPr>
        <w:t>que </w:t>
      </w:r>
      <w:r>
        <w:rPr/>
        <w:t>exhaustiva, que se recomienda cumplan con las siguientes características (con  base  en  Reygadas,</w:t>
      </w:r>
      <w:r>
        <w:rPr>
          <w:spacing w:val="34"/>
        </w:rPr>
        <w:t> </w:t>
      </w:r>
      <w:r>
        <w:rPr>
          <w:spacing w:val="2"/>
        </w:rPr>
        <w:t>2003):</w:t>
      </w:r>
    </w:p>
    <w:p>
      <w:pPr>
        <w:pStyle w:val="BodyText"/>
        <w:spacing w:before="1"/>
        <w:rPr>
          <w:sz w:val="19"/>
        </w:rPr>
      </w:pPr>
    </w:p>
    <w:p>
      <w:pPr>
        <w:pStyle w:val="ListParagraph"/>
        <w:numPr>
          <w:ilvl w:val="1"/>
          <w:numId w:val="2"/>
        </w:numPr>
        <w:tabs>
          <w:tab w:pos="1954" w:val="left" w:leader="none"/>
          <w:tab w:pos="1955" w:val="left" w:leader="none"/>
        </w:tabs>
        <w:spacing w:line="240" w:lineRule="auto" w:before="0" w:after="0"/>
        <w:ind w:left="1955" w:right="0" w:hanging="360"/>
        <w:jc w:val="left"/>
        <w:rPr>
          <w:sz w:val="18"/>
        </w:rPr>
      </w:pPr>
      <w:r>
        <w:rPr>
          <w:sz w:val="18"/>
        </w:rPr>
        <w:t>pueden ser representados </w:t>
      </w:r>
      <w:r>
        <w:rPr>
          <w:spacing w:val="19"/>
          <w:sz w:val="18"/>
        </w:rPr>
        <w:t> </w:t>
      </w:r>
      <w:r>
        <w:rPr>
          <w:sz w:val="18"/>
        </w:rPr>
        <w:t>cartográficamente</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se basan en metodologías </w:t>
      </w:r>
      <w:r>
        <w:rPr>
          <w:spacing w:val="30"/>
          <w:sz w:val="18"/>
        </w:rPr>
        <w:t> </w:t>
      </w:r>
      <w:r>
        <w:rPr>
          <w:sz w:val="18"/>
        </w:rPr>
        <w:t>sencillas</w:t>
      </w:r>
    </w:p>
    <w:p>
      <w:pPr>
        <w:pStyle w:val="ListParagraph"/>
        <w:numPr>
          <w:ilvl w:val="1"/>
          <w:numId w:val="2"/>
        </w:numPr>
        <w:tabs>
          <w:tab w:pos="1954" w:val="left" w:leader="none"/>
          <w:tab w:pos="1955" w:val="left" w:leader="none"/>
        </w:tabs>
        <w:spacing w:line="240" w:lineRule="auto" w:before="18" w:after="0"/>
        <w:ind w:left="1955" w:right="0" w:hanging="360"/>
        <w:jc w:val="left"/>
        <w:rPr>
          <w:sz w:val="18"/>
        </w:rPr>
      </w:pPr>
      <w:r>
        <w:rPr>
          <w:sz w:val="18"/>
        </w:rPr>
        <w:t>para su obtención, existen fuentes de datos accesibles y   </w:t>
      </w:r>
      <w:r>
        <w:rPr>
          <w:spacing w:val="10"/>
          <w:sz w:val="18"/>
        </w:rPr>
        <w:t> </w:t>
      </w:r>
      <w:r>
        <w:rPr>
          <w:sz w:val="18"/>
        </w:rPr>
        <w:t>confiables</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pueden actualizarse periódicamente con fines de   </w:t>
      </w:r>
      <w:r>
        <w:rPr>
          <w:spacing w:val="32"/>
          <w:sz w:val="18"/>
        </w:rPr>
        <w:t> </w:t>
      </w:r>
      <w:r>
        <w:rPr>
          <w:sz w:val="18"/>
        </w:rPr>
        <w:t>monitoreo</w:t>
      </w:r>
    </w:p>
    <w:p>
      <w:pPr>
        <w:pStyle w:val="ListParagraph"/>
        <w:numPr>
          <w:ilvl w:val="1"/>
          <w:numId w:val="2"/>
        </w:numPr>
        <w:tabs>
          <w:tab w:pos="1954" w:val="left" w:leader="none"/>
          <w:tab w:pos="1955" w:val="left" w:leader="none"/>
        </w:tabs>
        <w:spacing w:line="240" w:lineRule="auto" w:before="3" w:after="0"/>
        <w:ind w:left="1955" w:right="0" w:hanging="360"/>
        <w:jc w:val="left"/>
        <w:rPr>
          <w:sz w:val="18"/>
        </w:rPr>
      </w:pPr>
      <w:r>
        <w:rPr>
          <w:sz w:val="18"/>
        </w:rPr>
        <w:t>permiten establecer</w:t>
      </w:r>
      <w:r>
        <w:rPr>
          <w:spacing w:val="43"/>
          <w:sz w:val="18"/>
        </w:rPr>
        <w:t> </w:t>
      </w:r>
      <w:r>
        <w:rPr>
          <w:sz w:val="18"/>
        </w:rPr>
        <w:t>tendencias</w:t>
      </w:r>
    </w:p>
    <w:p>
      <w:pPr>
        <w:pStyle w:val="ListParagraph"/>
        <w:numPr>
          <w:ilvl w:val="1"/>
          <w:numId w:val="2"/>
        </w:numPr>
        <w:tabs>
          <w:tab w:pos="1954" w:val="left" w:leader="none"/>
          <w:tab w:pos="1955" w:val="left" w:leader="none"/>
        </w:tabs>
        <w:spacing w:line="240" w:lineRule="auto" w:before="18" w:after="0"/>
        <w:ind w:left="1955" w:right="0" w:hanging="360"/>
        <w:jc w:val="left"/>
        <w:rPr>
          <w:sz w:val="18"/>
        </w:rPr>
      </w:pPr>
      <w:r>
        <w:rPr>
          <w:sz w:val="18"/>
        </w:rPr>
        <w:t>pueden ser agregados con fines de caracterización   </w:t>
      </w:r>
      <w:r>
        <w:rPr>
          <w:spacing w:val="4"/>
          <w:sz w:val="18"/>
        </w:rPr>
        <w:t> </w:t>
      </w:r>
      <w:r>
        <w:rPr>
          <w:sz w:val="18"/>
        </w:rPr>
        <w:t>mesorregional</w:t>
      </w:r>
    </w:p>
    <w:p>
      <w:pPr>
        <w:pStyle w:val="BodyText"/>
        <w:spacing w:before="6"/>
      </w:pPr>
    </w:p>
    <w:p>
      <w:pPr>
        <w:pStyle w:val="BodyText"/>
        <w:spacing w:line="252" w:lineRule="auto"/>
        <w:ind w:left="395" w:right="422"/>
        <w:jc w:val="both"/>
      </w:pPr>
      <w:r>
        <w:rPr/>
        <w:t>Además de estas condiciones, la formulación de los indicadores contempla una escala base de referencia, que para el caso de México se recomienda 1:250,000 debido, entre otras, a  las siguientes razones.</w:t>
      </w:r>
    </w:p>
    <w:p>
      <w:pPr>
        <w:pStyle w:val="BodyText"/>
        <w:spacing w:before="2"/>
        <w:rPr>
          <w:sz w:val="19"/>
        </w:rPr>
      </w:pPr>
    </w:p>
    <w:p>
      <w:pPr>
        <w:pStyle w:val="BodyText"/>
        <w:tabs>
          <w:tab w:pos="1729" w:val="left" w:leader="none"/>
        </w:tabs>
        <w:ind w:left="1070" w:right="450"/>
        <w:jc w:val="both"/>
      </w:pPr>
      <w:r>
        <w:rPr>
          <w:rFonts w:ascii="Symbol" w:hAnsi="Symbol"/>
        </w:rPr>
        <w:t></w:t>
      </w:r>
      <w:r>
        <w:rPr>
          <w:rFonts w:ascii="Times New Roman" w:hAnsi="Times New Roman"/>
        </w:rPr>
        <w:tab/>
      </w:r>
      <w:r>
        <w:rPr/>
        <w:t>La  cartografía  en  esta  escala  es  de  amplia  difusión  y  es  accesible,</w:t>
      </w:r>
      <w:r>
        <w:rPr>
          <w:spacing w:val="1"/>
        </w:rPr>
        <w:t> </w:t>
      </w:r>
      <w:r>
        <w:rPr/>
        <w:t>tanto</w:t>
      </w:r>
      <w:r>
        <w:rPr>
          <w:spacing w:val="45"/>
        </w:rPr>
        <w:t> </w:t>
      </w:r>
      <w:r>
        <w:rPr/>
        <w:t>en</w:t>
      </w:r>
      <w:r>
        <w:rPr>
          <w:spacing w:val="1"/>
          <w:w w:val="101"/>
        </w:rPr>
        <w:t> </w:t>
      </w:r>
      <w:r>
        <w:rPr>
          <w:spacing w:val="2"/>
        </w:rPr>
        <w:t>formato digital como</w:t>
      </w:r>
      <w:r>
        <w:rPr>
          <w:spacing w:val="47"/>
        </w:rPr>
        <w:t> </w:t>
      </w:r>
      <w:r>
        <w:rPr>
          <w:spacing w:val="3"/>
        </w:rPr>
        <w:t>impreso.</w:t>
      </w:r>
    </w:p>
    <w:p>
      <w:pPr>
        <w:pStyle w:val="BodyText"/>
        <w:tabs>
          <w:tab w:pos="1729" w:val="left" w:leader="none"/>
        </w:tabs>
        <w:spacing w:line="252" w:lineRule="auto" w:before="6"/>
        <w:ind w:left="1070" w:right="420"/>
        <w:jc w:val="both"/>
      </w:pPr>
      <w:r>
        <w:rPr>
          <w:rFonts w:ascii="Symbol" w:hAnsi="Symbol"/>
        </w:rPr>
        <w:t></w:t>
      </w:r>
      <w:r>
        <w:rPr>
          <w:rFonts w:ascii="Times New Roman" w:hAnsi="Times New Roman"/>
        </w:rPr>
        <w:tab/>
      </w:r>
      <w:r>
        <w:rPr/>
        <w:t>Es  la  </w:t>
      </w:r>
      <w:r>
        <w:rPr>
          <w:spacing w:val="3"/>
        </w:rPr>
        <w:t>escala  </w:t>
      </w:r>
      <w:r>
        <w:rPr>
          <w:spacing w:val="2"/>
        </w:rPr>
        <w:t>más  </w:t>
      </w:r>
      <w:r>
        <w:rPr>
          <w:spacing w:val="3"/>
        </w:rPr>
        <w:t>detallada  </w:t>
      </w:r>
      <w:r>
        <w:rPr/>
        <w:t>en  la  </w:t>
      </w:r>
      <w:r>
        <w:rPr>
          <w:spacing w:val="2"/>
        </w:rPr>
        <w:t>que  </w:t>
      </w:r>
      <w:r>
        <w:rPr/>
        <w:t>se  </w:t>
      </w:r>
      <w:r>
        <w:rPr>
          <w:spacing w:val="3"/>
        </w:rPr>
        <w:t>encuentra  </w:t>
      </w:r>
      <w:r>
        <w:rPr/>
        <w:t>la  </w:t>
      </w:r>
      <w:r>
        <w:rPr>
          <w:spacing w:val="3"/>
        </w:rPr>
        <w:t>mayor  parte  </w:t>
      </w:r>
      <w:r>
        <w:rPr>
          <w:spacing w:val="12"/>
        </w:rPr>
        <w:t> </w:t>
      </w:r>
      <w:r>
        <w:rPr/>
        <w:t>de </w:t>
      </w:r>
      <w:r>
        <w:rPr>
          <w:spacing w:val="7"/>
        </w:rPr>
        <w:t> </w:t>
      </w:r>
      <w:r>
        <w:rPr>
          <w:spacing w:val="4"/>
        </w:rPr>
        <w:t>la</w:t>
      </w:r>
      <w:r>
        <w:rPr>
          <w:spacing w:val="4"/>
          <w:w w:val="101"/>
        </w:rPr>
        <w:t> </w:t>
      </w:r>
      <w:r>
        <w:rPr/>
        <w:t>cartografía temática con cubrimiento nacional de interés para el OT, tanto generada por     </w:t>
      </w:r>
      <w:r>
        <w:rPr>
          <w:spacing w:val="-3"/>
        </w:rPr>
        <w:t>el </w:t>
      </w:r>
      <w:r>
        <w:rPr>
          <w:spacing w:val="-4"/>
        </w:rPr>
        <w:t>INEGI com </w:t>
      </w:r>
      <w:r>
        <w:rPr/>
        <w:t>o por </w:t>
      </w:r>
      <w:r>
        <w:rPr>
          <w:spacing w:val="2"/>
        </w:rPr>
        <w:t>otras </w:t>
      </w:r>
      <w:r>
        <w:rPr>
          <w:spacing w:val="18"/>
        </w:rPr>
        <w:t> </w:t>
      </w:r>
      <w:r>
        <w:rPr>
          <w:spacing w:val="3"/>
        </w:rPr>
        <w:t>instituciones.</w:t>
      </w:r>
    </w:p>
    <w:p>
      <w:pPr>
        <w:pStyle w:val="BodyText"/>
        <w:tabs>
          <w:tab w:pos="1729" w:val="left" w:leader="none"/>
        </w:tabs>
        <w:spacing w:line="259" w:lineRule="auto"/>
        <w:ind w:left="1070" w:right="421"/>
        <w:jc w:val="both"/>
      </w:pPr>
      <w:r>
        <w:rPr>
          <w:rFonts w:ascii="Symbol" w:hAnsi="Symbol"/>
        </w:rPr>
        <w:t></w:t>
      </w:r>
      <w:r>
        <w:rPr>
          <w:rFonts w:ascii="Times New Roman" w:hAnsi="Times New Roman"/>
        </w:rPr>
        <w:tab/>
      </w:r>
      <w:r>
        <w:rPr/>
        <w:t>Desde</w:t>
      </w:r>
      <w:r>
        <w:rPr>
          <w:spacing w:val="26"/>
        </w:rPr>
        <w:t> </w:t>
      </w:r>
      <w:r>
        <w:rPr/>
        <w:t>el</w:t>
      </w:r>
      <w:r>
        <w:rPr>
          <w:spacing w:val="26"/>
        </w:rPr>
        <w:t> </w:t>
      </w:r>
      <w:r>
        <w:rPr/>
        <w:t>punto</w:t>
      </w:r>
      <w:r>
        <w:rPr>
          <w:spacing w:val="26"/>
        </w:rPr>
        <w:t> </w:t>
      </w:r>
      <w:r>
        <w:rPr/>
        <w:t>de</w:t>
      </w:r>
      <w:r>
        <w:rPr>
          <w:spacing w:val="26"/>
        </w:rPr>
        <w:t> </w:t>
      </w:r>
      <w:r>
        <w:rPr/>
        <w:t>vista</w:t>
      </w:r>
      <w:r>
        <w:rPr>
          <w:spacing w:val="26"/>
        </w:rPr>
        <w:t> </w:t>
      </w:r>
      <w:r>
        <w:rPr/>
        <w:t>espacial,</w:t>
      </w:r>
      <w:r>
        <w:rPr>
          <w:spacing w:val="26"/>
        </w:rPr>
        <w:t> </w:t>
      </w:r>
      <w:r>
        <w:rPr/>
        <w:t>la</w:t>
      </w:r>
      <w:r>
        <w:rPr>
          <w:spacing w:val="26"/>
        </w:rPr>
        <w:t> </w:t>
      </w:r>
      <w:r>
        <w:rPr/>
        <w:t>escala</w:t>
      </w:r>
      <w:r>
        <w:rPr>
          <w:spacing w:val="26"/>
        </w:rPr>
        <w:t> </w:t>
      </w:r>
      <w:r>
        <w:rPr/>
        <w:t>referida</w:t>
      </w:r>
      <w:r>
        <w:rPr>
          <w:spacing w:val="26"/>
        </w:rPr>
        <w:t> </w:t>
      </w:r>
      <w:r>
        <w:rPr/>
        <w:t>es</w:t>
      </w:r>
      <w:r>
        <w:rPr>
          <w:spacing w:val="26"/>
        </w:rPr>
        <w:t> </w:t>
      </w:r>
      <w:r>
        <w:rPr/>
        <w:t>adecuada</w:t>
      </w:r>
      <w:r>
        <w:rPr>
          <w:spacing w:val="26"/>
        </w:rPr>
        <w:t> </w:t>
      </w:r>
      <w:r>
        <w:rPr>
          <w:spacing w:val="2"/>
        </w:rPr>
        <w:t>considerando</w:t>
      </w:r>
      <w:r>
        <w:rPr>
          <w:spacing w:val="2"/>
          <w:w w:val="101"/>
        </w:rPr>
        <w:t> </w:t>
      </w:r>
      <w:r>
        <w:rPr/>
        <w:t>la extensión territorial de la mayor parte de los estados y del carácter nacional de los </w:t>
      </w:r>
      <w:r>
        <w:rPr>
          <w:spacing w:val="2"/>
        </w:rPr>
        <w:t>estudios </w:t>
      </w:r>
      <w:r>
        <w:rPr/>
        <w:t>de OT en su </w:t>
      </w:r>
      <w:r>
        <w:rPr>
          <w:spacing w:val="4"/>
        </w:rPr>
        <w:t> </w:t>
      </w:r>
      <w:r>
        <w:rPr>
          <w:spacing w:val="3"/>
        </w:rPr>
        <w:t>conjunto.</w:t>
      </w:r>
    </w:p>
    <w:p>
      <w:pPr>
        <w:pStyle w:val="BodyText"/>
        <w:tabs>
          <w:tab w:pos="1729" w:val="left" w:leader="none"/>
        </w:tabs>
        <w:spacing w:line="242" w:lineRule="auto"/>
        <w:ind w:left="1070" w:right="423"/>
        <w:jc w:val="both"/>
      </w:pPr>
      <w:r>
        <w:rPr>
          <w:rFonts w:ascii="Symbol" w:hAnsi="Symbol"/>
        </w:rPr>
        <w:t></w:t>
      </w:r>
      <w:r>
        <w:rPr>
          <w:rFonts w:ascii="Times New Roman" w:hAnsi="Times New Roman"/>
        </w:rPr>
        <w:tab/>
      </w:r>
      <w:r>
        <w:rPr/>
        <w:t>El    uso    de    una    escala    común    permite    igualmente</w:t>
      </w:r>
      <w:r>
        <w:rPr>
          <w:spacing w:val="32"/>
        </w:rPr>
        <w:t> </w:t>
      </w:r>
      <w:r>
        <w:rPr/>
        <w:t>obtener  </w:t>
      </w:r>
      <w:r>
        <w:rPr>
          <w:spacing w:val="40"/>
        </w:rPr>
        <w:t> </w:t>
      </w:r>
      <w:r>
        <w:rPr/>
        <w:t>resultados</w:t>
      </w:r>
      <w:r>
        <w:rPr>
          <w:spacing w:val="1"/>
          <w:w w:val="101"/>
        </w:rPr>
        <w:t> </w:t>
      </w:r>
      <w:r>
        <w:rPr/>
        <w:t>compatibles</w:t>
      </w:r>
      <w:r>
        <w:rPr>
          <w:spacing w:val="25"/>
        </w:rPr>
        <w:t> </w:t>
      </w:r>
      <w:r>
        <w:rPr/>
        <w:t>con</w:t>
      </w:r>
      <w:r>
        <w:rPr>
          <w:spacing w:val="25"/>
        </w:rPr>
        <w:t> </w:t>
      </w:r>
      <w:r>
        <w:rPr/>
        <w:t>fines</w:t>
      </w:r>
      <w:r>
        <w:rPr>
          <w:spacing w:val="25"/>
        </w:rPr>
        <w:t> </w:t>
      </w:r>
      <w:r>
        <w:rPr/>
        <w:t>de</w:t>
      </w:r>
      <w:r>
        <w:rPr>
          <w:spacing w:val="25"/>
        </w:rPr>
        <w:t> </w:t>
      </w:r>
      <w:r>
        <w:rPr/>
        <w:t>agregación</w:t>
      </w:r>
      <w:r>
        <w:rPr>
          <w:spacing w:val="25"/>
        </w:rPr>
        <w:t> </w:t>
      </w:r>
      <w:r>
        <w:rPr/>
        <w:t>y</w:t>
      </w:r>
      <w:r>
        <w:rPr>
          <w:spacing w:val="25"/>
        </w:rPr>
        <w:t> </w:t>
      </w:r>
      <w:r>
        <w:rPr/>
        <w:t>evaluación</w:t>
      </w:r>
      <w:r>
        <w:rPr>
          <w:spacing w:val="25"/>
        </w:rPr>
        <w:t> </w:t>
      </w:r>
      <w:r>
        <w:rPr/>
        <w:t>regional</w:t>
      </w:r>
      <w:r>
        <w:rPr>
          <w:spacing w:val="25"/>
        </w:rPr>
        <w:t> </w:t>
      </w:r>
      <w:r>
        <w:rPr/>
        <w:t>y</w:t>
      </w:r>
      <w:r>
        <w:rPr>
          <w:spacing w:val="25"/>
        </w:rPr>
        <w:t> </w:t>
      </w:r>
      <w:r>
        <w:rPr/>
        <w:t>nacional.</w:t>
      </w:r>
    </w:p>
    <w:p>
      <w:pPr>
        <w:pStyle w:val="BodyText"/>
      </w:pPr>
    </w:p>
    <w:p>
      <w:pPr>
        <w:pStyle w:val="BodyText"/>
        <w:spacing w:before="10"/>
        <w:rPr>
          <w:sz w:val="19"/>
        </w:rPr>
      </w:pPr>
    </w:p>
    <w:p>
      <w:pPr>
        <w:pStyle w:val="BodyText"/>
        <w:ind w:left="395"/>
        <w:jc w:val="both"/>
      </w:pPr>
      <w:r>
        <w:rPr/>
        <w:t>Si  bien  existe  una  gran  cantidad  de  indicadores  desarrollados  por  diversas  instituciones (ver</w:t>
      </w:r>
    </w:p>
    <w:p>
      <w:pPr>
        <w:pStyle w:val="BodyText"/>
        <w:spacing w:line="249" w:lineRule="auto" w:before="18"/>
        <w:ind w:left="395" w:right="422"/>
        <w:jc w:val="both"/>
      </w:pPr>
      <w:r>
        <w:rPr/>
        <w:t>p.e. </w:t>
      </w:r>
      <w:hyperlink r:id="rId6">
        <w:r>
          <w:rPr/>
          <w:t>http://mapas.ine.gob.mx/website/atlas/index.html)</w:t>
        </w:r>
      </w:hyperlink>
      <w:r>
        <w:rPr/>
        <w:t> la  escala  en  la  que  se  encuentra  la  mayor parte de ellos (1:4,000,000) no se considera la adecuada para los programas de OT a     nivel estatal. Algunos de estos  indicadores,  como  los  contenidos  en  la  página  electrónica  arriba señalada, y en particular los relativos al subsistema natural, son representativos sólo en escala nacional (como la referida de 1:4,000,000) debido, entre otros aspectos,  a  la  baja  densidad de los datos. Su desarrollo en  escalas  más  detalladas,  como  la  de  1:250,000, resultaría en una generalización poco realista y confiable y requeriría densificar la red de observaciones.</w:t>
      </w:r>
    </w:p>
    <w:p>
      <w:pPr>
        <w:pStyle w:val="BodyText"/>
        <w:spacing w:before="1"/>
        <w:rPr>
          <w:sz w:val="19"/>
        </w:rPr>
      </w:pPr>
    </w:p>
    <w:p>
      <w:pPr>
        <w:pStyle w:val="BodyText"/>
        <w:ind w:left="395"/>
        <w:jc w:val="both"/>
      </w:pPr>
      <w:r>
        <w:rPr/>
        <w:t>Con  base  en  lo  anterior,  se  plantea  el  diseño  y  discusión  de  indicadores  con  base  en   los</w:t>
      </w:r>
    </w:p>
    <w:p>
      <w:pPr>
        <w:spacing w:after="0"/>
        <w:jc w:val="both"/>
        <w:sectPr>
          <w:pgSz w:w="12240" w:h="15840"/>
          <w:pgMar w:header="0" w:footer="706" w:top="1500" w:bottom="900" w:left="1720" w:right="1720"/>
        </w:sectPr>
      </w:pPr>
    </w:p>
    <w:p>
      <w:pPr>
        <w:pStyle w:val="BodyText"/>
        <w:spacing w:line="252" w:lineRule="auto" w:before="66"/>
        <w:ind w:left="395" w:right="417"/>
        <w:jc w:val="both"/>
      </w:pPr>
      <w:r>
        <w:rPr>
          <w:spacing w:val="3"/>
        </w:rPr>
        <w:t>supuestos </w:t>
      </w:r>
      <w:r>
        <w:rPr/>
        <w:t>arriba señalados a partir de contribuciones de entidades especializadas en cada </w:t>
      </w:r>
      <w:r>
        <w:rPr>
          <w:spacing w:val="2"/>
        </w:rPr>
        <w:t>uno    </w:t>
      </w:r>
      <w:r>
        <w:rPr/>
        <w:t>de los temas contenidos en las cuatro áreas del OT: medio natural, social, económico y </w:t>
      </w:r>
      <w:r>
        <w:rPr>
          <w:spacing w:val="-3"/>
        </w:rPr>
        <w:t>urbano- </w:t>
      </w:r>
      <w:r>
        <w:rPr>
          <w:spacing w:val="3"/>
        </w:rPr>
        <w:t>regional.</w:t>
      </w:r>
    </w:p>
    <w:p>
      <w:pPr>
        <w:pStyle w:val="BodyText"/>
        <w:spacing w:before="11"/>
      </w:pPr>
    </w:p>
    <w:p>
      <w:pPr>
        <w:pStyle w:val="BodyText"/>
        <w:spacing w:line="242" w:lineRule="auto"/>
        <w:ind w:left="395" w:right="438"/>
        <w:jc w:val="both"/>
      </w:pPr>
      <w:r>
        <w:rPr/>
        <w:t>En una primera instancia, se han identificado una serie de instituciones y responsables de la generación de los datos básicos y de los indicadores derivados. Entre las instituciones se encuentran las siguientes.</w:t>
      </w:r>
    </w:p>
    <w:p>
      <w:pPr>
        <w:pStyle w:val="BodyText"/>
        <w:spacing w:before="10"/>
        <w:rPr>
          <w:sz w:val="19"/>
        </w:rPr>
      </w:pPr>
    </w:p>
    <w:p>
      <w:pPr>
        <w:pStyle w:val="BodyText"/>
        <w:ind w:left="800"/>
        <w:jc w:val="both"/>
      </w:pPr>
      <w:r>
        <w:rPr>
          <w:rFonts w:ascii="Symbol" w:hAnsi="Symbol"/>
        </w:rPr>
        <w:t></w:t>
      </w:r>
      <w:r>
        <w:rPr>
          <w:rFonts w:ascii="Times New Roman" w:hAnsi="Times New Roman"/>
        </w:rPr>
        <w:t>     </w:t>
      </w:r>
      <w:r>
        <w:rPr/>
        <w:t>Comisión Nacional del Agua  (CONAGUA)</w:t>
      </w:r>
    </w:p>
    <w:p>
      <w:pPr>
        <w:pStyle w:val="BodyText"/>
        <w:spacing w:before="4"/>
        <w:ind w:left="800"/>
        <w:jc w:val="both"/>
      </w:pPr>
      <w:r>
        <w:rPr>
          <w:rFonts w:ascii="Symbol" w:hAnsi="Symbol"/>
        </w:rPr>
        <w:t></w:t>
      </w:r>
      <w:r>
        <w:rPr>
          <w:rFonts w:ascii="Times New Roman" w:hAnsi="Times New Roman"/>
        </w:rPr>
        <w:t>     </w:t>
      </w:r>
      <w:r>
        <w:rPr/>
        <w:t>Comisión Nacional de Áreas Naturales Protegidas  (CONANP)</w:t>
      </w:r>
    </w:p>
    <w:p>
      <w:pPr>
        <w:pStyle w:val="BodyText"/>
        <w:spacing w:before="19"/>
        <w:ind w:left="800"/>
        <w:jc w:val="both"/>
      </w:pPr>
      <w:r>
        <w:rPr>
          <w:rFonts w:ascii="Symbol" w:hAnsi="Symbol"/>
        </w:rPr>
        <w:t></w:t>
      </w:r>
      <w:r>
        <w:rPr>
          <w:rFonts w:ascii="Times New Roman" w:hAnsi="Times New Roman"/>
        </w:rPr>
        <w:t>     </w:t>
      </w:r>
      <w:r>
        <w:rPr/>
        <w:t>Comisión Nacionalpara el estudio de la Biodiversidad  (CONABIO)</w:t>
      </w:r>
    </w:p>
    <w:p>
      <w:pPr>
        <w:pStyle w:val="BodyText"/>
        <w:spacing w:before="4"/>
        <w:ind w:left="800"/>
        <w:jc w:val="both"/>
      </w:pPr>
      <w:r>
        <w:rPr>
          <w:rFonts w:ascii="Symbol" w:hAnsi="Symbol"/>
        </w:rPr>
        <w:t></w:t>
      </w:r>
      <w:r>
        <w:rPr>
          <w:rFonts w:ascii="Times New Roman" w:hAnsi="Times New Roman"/>
        </w:rPr>
        <w:t>     </w:t>
      </w:r>
      <w:r>
        <w:rPr/>
        <w:t>Comisión Nacional Forestal (CONAFOR)</w:t>
      </w:r>
    </w:p>
    <w:p>
      <w:pPr>
        <w:pStyle w:val="BodyText"/>
        <w:spacing w:before="4"/>
        <w:ind w:left="800"/>
        <w:jc w:val="both"/>
      </w:pPr>
      <w:r>
        <w:rPr>
          <w:rFonts w:ascii="Symbol" w:hAnsi="Symbol"/>
        </w:rPr>
        <w:t></w:t>
      </w:r>
      <w:r>
        <w:rPr>
          <w:rFonts w:ascii="Times New Roman" w:hAnsi="Times New Roman"/>
        </w:rPr>
        <w:t>     </w:t>
      </w:r>
      <w:r>
        <w:rPr/>
        <w:t>Comisión Nacional de Población (CONAPO)</w:t>
      </w:r>
    </w:p>
    <w:p>
      <w:pPr>
        <w:pStyle w:val="BodyText"/>
        <w:spacing w:before="4"/>
        <w:ind w:left="800"/>
        <w:jc w:val="both"/>
      </w:pPr>
      <w:r>
        <w:rPr>
          <w:rFonts w:ascii="Symbol" w:hAnsi="Symbol"/>
        </w:rPr>
        <w:t></w:t>
      </w:r>
      <w:r>
        <w:rPr>
          <w:rFonts w:ascii="Times New Roman" w:hAnsi="Times New Roman"/>
        </w:rPr>
        <w:t>     </w:t>
      </w:r>
      <w:r>
        <w:rPr/>
        <w:t>Comisión de Recursos Mineros  (COREMI)</w:t>
      </w:r>
    </w:p>
    <w:p>
      <w:pPr>
        <w:pStyle w:val="BodyText"/>
        <w:spacing w:before="19"/>
        <w:ind w:left="800"/>
        <w:jc w:val="both"/>
      </w:pPr>
      <w:r>
        <w:rPr>
          <w:rFonts w:ascii="Symbol" w:hAnsi="Symbol"/>
        </w:rPr>
        <w:t></w:t>
      </w:r>
      <w:r>
        <w:rPr>
          <w:rFonts w:ascii="Times New Roman" w:hAnsi="Times New Roman"/>
        </w:rPr>
        <w:t>     </w:t>
      </w:r>
      <w:r>
        <w:rPr/>
        <w:t>Instituto Mexicano de Tecnología del Agua  (IMTA)</w:t>
      </w:r>
    </w:p>
    <w:p>
      <w:pPr>
        <w:pStyle w:val="BodyText"/>
        <w:spacing w:before="4"/>
        <w:ind w:left="800" w:right="464"/>
      </w:pPr>
      <w:r>
        <w:rPr>
          <w:rFonts w:ascii="Symbol" w:hAnsi="Symbol"/>
        </w:rPr>
        <w:t></w:t>
      </w:r>
      <w:r>
        <w:rPr>
          <w:rFonts w:ascii="Times New Roman" w:hAnsi="Times New Roman"/>
        </w:rPr>
        <w:t> </w:t>
      </w:r>
      <w:r>
        <w:rPr/>
        <w:t>Instituto Mexicano del Transporte (IMT),  Secre taría de Comunicaciones y Transportes (SCT)</w:t>
      </w:r>
    </w:p>
    <w:p>
      <w:pPr>
        <w:pStyle w:val="BodyText"/>
        <w:spacing w:before="6"/>
        <w:ind w:left="800"/>
        <w:jc w:val="both"/>
      </w:pPr>
      <w:r>
        <w:rPr>
          <w:rFonts w:ascii="Symbol" w:hAnsi="Symbol"/>
        </w:rPr>
        <w:t></w:t>
      </w:r>
      <w:r>
        <w:rPr>
          <w:rFonts w:ascii="Times New Roman" w:hAnsi="Times New Roman"/>
        </w:rPr>
        <w:t>     </w:t>
      </w:r>
      <w:r>
        <w:rPr/>
        <w:t>Instituto Nacional de Ecología (INE)</w:t>
      </w:r>
    </w:p>
    <w:p>
      <w:pPr>
        <w:pStyle w:val="BodyText"/>
        <w:spacing w:before="19"/>
        <w:ind w:left="800"/>
        <w:jc w:val="both"/>
      </w:pPr>
      <w:r>
        <w:rPr>
          <w:rFonts w:ascii="Symbol" w:hAnsi="Symbol"/>
        </w:rPr>
        <w:t></w:t>
      </w:r>
      <w:r>
        <w:rPr>
          <w:rFonts w:ascii="Times New Roman" w:hAnsi="Times New Roman"/>
        </w:rPr>
        <w:t>      </w:t>
      </w:r>
      <w:r>
        <w:rPr/>
        <w:t>Instituto Nacional de Estadística, Geografía e Informática   (INEGI)</w:t>
      </w:r>
    </w:p>
    <w:p>
      <w:pPr>
        <w:pStyle w:val="BodyText"/>
        <w:spacing w:before="4"/>
        <w:ind w:left="800" w:right="649"/>
      </w:pPr>
      <w:r>
        <w:rPr>
          <w:rFonts w:ascii="Symbol" w:hAnsi="Symbol"/>
        </w:rPr>
        <w:t></w:t>
      </w:r>
      <w:r>
        <w:rPr>
          <w:rFonts w:ascii="Times New Roman" w:hAnsi="Times New Roman"/>
        </w:rPr>
        <w:t> </w:t>
      </w:r>
      <w:r>
        <w:rPr/>
        <w:t>Secretaría de Agricultura, Ganadería,  Desarrollo  Rural,  Pesca  y  Alimentación  (SAGARPA)</w:t>
      </w:r>
    </w:p>
    <w:p>
      <w:pPr>
        <w:pStyle w:val="BodyText"/>
        <w:spacing w:before="6"/>
        <w:ind w:left="800"/>
        <w:jc w:val="both"/>
      </w:pPr>
      <w:r>
        <w:rPr>
          <w:rFonts w:ascii="Symbol" w:hAnsi="Symbol"/>
        </w:rPr>
        <w:t></w:t>
      </w:r>
      <w:r>
        <w:rPr>
          <w:rFonts w:ascii="Times New Roman" w:hAnsi="Times New Roman"/>
        </w:rPr>
        <w:t>     </w:t>
      </w:r>
      <w:r>
        <w:rPr/>
        <w:t>Secretaría de Desarrollo Social (SEDESOL)</w:t>
      </w:r>
    </w:p>
    <w:p>
      <w:pPr>
        <w:pStyle w:val="BodyText"/>
        <w:spacing w:before="19"/>
        <w:ind w:left="800"/>
        <w:jc w:val="both"/>
      </w:pPr>
      <w:r>
        <w:rPr>
          <w:rFonts w:ascii="Symbol" w:hAnsi="Symbol"/>
        </w:rPr>
        <w:t></w:t>
      </w:r>
      <w:r>
        <w:rPr>
          <w:rFonts w:ascii="Times New Roman" w:hAnsi="Times New Roman"/>
        </w:rPr>
        <w:t>     </w:t>
      </w:r>
      <w:r>
        <w:rPr/>
        <w:t>Secretaría de Economía</w:t>
      </w:r>
    </w:p>
    <w:p>
      <w:pPr>
        <w:pStyle w:val="BodyText"/>
        <w:spacing w:before="4"/>
        <w:ind w:left="800"/>
        <w:jc w:val="both"/>
      </w:pPr>
      <w:r>
        <w:rPr>
          <w:rFonts w:ascii="Symbol" w:hAnsi="Symbol"/>
        </w:rPr>
        <w:t></w:t>
      </w:r>
      <w:r>
        <w:rPr>
          <w:rFonts w:ascii="Times New Roman" w:hAnsi="Times New Roman"/>
        </w:rPr>
        <w:t>     </w:t>
      </w:r>
      <w:r>
        <w:rPr/>
        <w:t>Secretaría de Hacienda y Crédito Público (SHCP)</w:t>
      </w:r>
    </w:p>
    <w:p>
      <w:pPr>
        <w:pStyle w:val="BodyText"/>
        <w:spacing w:before="4"/>
        <w:ind w:left="800"/>
        <w:jc w:val="both"/>
      </w:pPr>
      <w:r>
        <w:rPr>
          <w:rFonts w:ascii="Symbol" w:hAnsi="Symbol"/>
        </w:rPr>
        <w:t></w:t>
      </w:r>
      <w:r>
        <w:rPr>
          <w:rFonts w:ascii="Times New Roman" w:hAnsi="Times New Roman"/>
        </w:rPr>
        <w:t>     </w:t>
      </w:r>
      <w:r>
        <w:rPr/>
        <w:t>Secretaría de Medio Ambiente y Recursos Naturales    (SEMARNAT)</w:t>
      </w:r>
    </w:p>
    <w:p>
      <w:pPr>
        <w:pStyle w:val="BodyText"/>
        <w:spacing w:before="4"/>
        <w:ind w:left="800"/>
        <w:jc w:val="both"/>
      </w:pPr>
      <w:r>
        <w:rPr>
          <w:rFonts w:ascii="Symbol" w:hAnsi="Symbol"/>
        </w:rPr>
        <w:t></w:t>
      </w:r>
      <w:r>
        <w:rPr>
          <w:rFonts w:ascii="Times New Roman" w:hAnsi="Times New Roman"/>
        </w:rPr>
        <w:t>     </w:t>
      </w:r>
      <w:r>
        <w:rPr/>
        <w:t>Universidad Nacional Autónoma de México (UNAM)</w:t>
      </w:r>
    </w:p>
    <w:p>
      <w:pPr>
        <w:pStyle w:val="BodyText"/>
        <w:spacing w:before="8"/>
        <w:rPr>
          <w:sz w:val="19"/>
        </w:rPr>
      </w:pPr>
    </w:p>
    <w:p>
      <w:pPr>
        <w:pStyle w:val="BodyText"/>
        <w:spacing w:line="249" w:lineRule="auto"/>
        <w:ind w:left="395" w:right="419"/>
        <w:jc w:val="both"/>
      </w:pPr>
      <w:r>
        <w:rPr/>
        <w:t>Estas instituciones han sido invitadas a participar en la discusión para generar indicadores para caracterizar el territorio con vías de su ordenamiento en una reunión a celebrarse en el mes de diciembre de 2004. El resultado de la reunión será la  identificación  y  reconocimiento </w:t>
      </w:r>
      <w:r>
        <w:rPr>
          <w:spacing w:val="3"/>
        </w:rPr>
        <w:t>consensuado </w:t>
      </w:r>
      <w:r>
        <w:rPr/>
        <w:t>de </w:t>
      </w:r>
      <w:r>
        <w:rPr>
          <w:spacing w:val="3"/>
        </w:rPr>
        <w:t>indicadores </w:t>
      </w:r>
      <w:r>
        <w:rPr/>
        <w:t>y responsables de su </w:t>
      </w:r>
      <w:r>
        <w:rPr>
          <w:spacing w:val="2"/>
        </w:rPr>
        <w:t>generación </w:t>
      </w:r>
      <w:r>
        <w:rPr/>
        <w:t>y </w:t>
      </w:r>
      <w:r>
        <w:rPr>
          <w:spacing w:val="2"/>
        </w:rPr>
        <w:t>actualización   </w:t>
      </w:r>
      <w:r>
        <w:rPr>
          <w:spacing w:val="12"/>
        </w:rPr>
        <w:t> </w:t>
      </w:r>
      <w:r>
        <w:rPr>
          <w:spacing w:val="3"/>
        </w:rPr>
        <w:t>permanentes.</w:t>
      </w:r>
    </w:p>
    <w:p>
      <w:pPr>
        <w:pStyle w:val="BodyText"/>
        <w:spacing w:before="9"/>
        <w:rPr>
          <w:sz w:val="17"/>
        </w:rPr>
      </w:pPr>
    </w:p>
    <w:p>
      <w:pPr>
        <w:pStyle w:val="BodyText"/>
        <w:spacing w:line="261" w:lineRule="auto"/>
        <w:ind w:left="395" w:right="460"/>
        <w:jc w:val="both"/>
      </w:pPr>
      <w:r>
        <w:rPr/>
        <w:t>Se ha establecido un formato inicial para la propuesta de indicadores, mismos que  deben  </w:t>
      </w:r>
      <w:r>
        <w:rPr>
          <w:spacing w:val="2"/>
        </w:rPr>
        <w:t>contener </w:t>
      </w:r>
      <w:r>
        <w:rPr/>
        <w:t>al </w:t>
      </w:r>
      <w:r>
        <w:rPr>
          <w:spacing w:val="2"/>
        </w:rPr>
        <w:t>menos </w:t>
      </w:r>
      <w:r>
        <w:rPr/>
        <w:t>la </w:t>
      </w:r>
      <w:r>
        <w:rPr>
          <w:spacing w:val="2"/>
        </w:rPr>
        <w:t>siguiente</w:t>
      </w:r>
      <w:r>
        <w:rPr>
          <w:spacing w:val="39"/>
        </w:rPr>
        <w:t> </w:t>
      </w:r>
      <w:r>
        <w:rPr>
          <w:spacing w:val="3"/>
        </w:rPr>
        <w:t>información:</w:t>
      </w:r>
    </w:p>
    <w:p>
      <w:pPr>
        <w:pStyle w:val="BodyText"/>
        <w:spacing w:before="2"/>
        <w:rPr>
          <w:sz w:val="17"/>
        </w:rPr>
      </w:pPr>
    </w:p>
    <w:p>
      <w:pPr>
        <w:pStyle w:val="BodyText"/>
        <w:ind w:left="800"/>
        <w:jc w:val="both"/>
      </w:pPr>
      <w:r>
        <w:rPr>
          <w:rFonts w:ascii="Symbol" w:hAnsi="Symbol"/>
        </w:rPr>
        <w:t></w:t>
      </w:r>
      <w:r>
        <w:rPr>
          <w:rFonts w:ascii="Times New Roman" w:hAnsi="Times New Roman"/>
        </w:rPr>
        <w:t>     </w:t>
      </w:r>
      <w:r>
        <w:rPr/>
        <w:t>Fundamentación</w:t>
      </w:r>
    </w:p>
    <w:p>
      <w:pPr>
        <w:pStyle w:val="BodyText"/>
        <w:spacing w:before="19"/>
        <w:ind w:left="800"/>
        <w:jc w:val="both"/>
      </w:pPr>
      <w:r>
        <w:rPr>
          <w:rFonts w:ascii="Symbol" w:hAnsi="Symbol"/>
        </w:rPr>
        <w:t></w:t>
      </w:r>
      <w:r>
        <w:rPr>
          <w:rFonts w:ascii="Times New Roman" w:hAnsi="Times New Roman"/>
        </w:rPr>
        <w:t>     </w:t>
      </w:r>
      <w:r>
        <w:rPr/>
        <w:t>Fuente de los datos</w:t>
      </w:r>
    </w:p>
    <w:p>
      <w:pPr>
        <w:pStyle w:val="BodyText"/>
        <w:spacing w:before="4"/>
        <w:ind w:left="800"/>
        <w:jc w:val="both"/>
      </w:pPr>
      <w:r>
        <w:rPr>
          <w:rFonts w:ascii="Symbol" w:hAnsi="Symbol"/>
        </w:rPr>
        <w:t></w:t>
      </w:r>
      <w:r>
        <w:rPr>
          <w:rFonts w:ascii="Times New Roman" w:hAnsi="Times New Roman"/>
        </w:rPr>
        <w:t>     </w:t>
      </w:r>
      <w:r>
        <w:rPr/>
        <w:t>Materiales y Métodos</w:t>
      </w:r>
    </w:p>
    <w:p>
      <w:pPr>
        <w:pStyle w:val="BodyText"/>
        <w:spacing w:before="4"/>
        <w:ind w:left="800"/>
        <w:jc w:val="both"/>
      </w:pPr>
      <w:r>
        <w:rPr>
          <w:rFonts w:ascii="Symbol" w:hAnsi="Symbol"/>
        </w:rPr>
        <w:t></w:t>
      </w:r>
      <w:r>
        <w:rPr>
          <w:rFonts w:ascii="Times New Roman" w:hAnsi="Times New Roman"/>
        </w:rPr>
        <w:t>    </w:t>
      </w:r>
      <w:r>
        <w:rPr/>
        <w:t>Productos</w:t>
      </w:r>
    </w:p>
    <w:p>
      <w:pPr>
        <w:pStyle w:val="BodyText"/>
        <w:spacing w:before="4"/>
        <w:ind w:left="800"/>
        <w:jc w:val="both"/>
      </w:pPr>
      <w:r>
        <w:rPr>
          <w:rFonts w:ascii="Symbol" w:hAnsi="Symbol"/>
        </w:rPr>
        <w:t></w:t>
      </w:r>
      <w:r>
        <w:rPr>
          <w:rFonts w:ascii="Times New Roman" w:hAnsi="Times New Roman"/>
        </w:rPr>
        <w:t>     </w:t>
      </w:r>
      <w:r>
        <w:rPr/>
        <w:t>Referencias bibliográficas</w:t>
      </w:r>
    </w:p>
    <w:p>
      <w:pPr>
        <w:pStyle w:val="BodyText"/>
        <w:spacing w:before="19"/>
        <w:ind w:left="800"/>
        <w:jc w:val="both"/>
      </w:pPr>
      <w:r>
        <w:rPr>
          <w:rFonts w:ascii="Symbol" w:hAnsi="Symbol"/>
        </w:rPr>
        <w:t></w:t>
      </w:r>
      <w:r>
        <w:rPr>
          <w:rFonts w:ascii="Times New Roman" w:hAnsi="Times New Roman"/>
        </w:rPr>
        <w:t>     </w:t>
      </w:r>
      <w:r>
        <w:rPr/>
        <w:t>Relación con otros indicadores</w:t>
      </w:r>
    </w:p>
    <w:p>
      <w:pPr>
        <w:pStyle w:val="BodyText"/>
      </w:pPr>
    </w:p>
    <w:p>
      <w:pPr>
        <w:pStyle w:val="BodyText"/>
        <w:spacing w:before="11"/>
        <w:rPr>
          <w:sz w:val="19"/>
        </w:rPr>
      </w:pPr>
    </w:p>
    <w:p>
      <w:pPr>
        <w:pStyle w:val="Heading1"/>
        <w:numPr>
          <w:ilvl w:val="0"/>
          <w:numId w:val="3"/>
        </w:numPr>
        <w:tabs>
          <w:tab w:pos="632" w:val="left" w:leader="none"/>
        </w:tabs>
        <w:spacing w:line="240" w:lineRule="auto" w:before="0" w:after="0"/>
        <w:ind w:left="631" w:right="0" w:hanging="236"/>
        <w:jc w:val="both"/>
      </w:pPr>
      <w:r>
        <w:rPr>
          <w:spacing w:val="3"/>
        </w:rPr>
        <w:t>INDICADORES </w:t>
      </w:r>
      <w:r>
        <w:rPr>
          <w:spacing w:val="2"/>
        </w:rPr>
        <w:t>DEL </w:t>
      </w:r>
      <w:r>
        <w:rPr>
          <w:spacing w:val="3"/>
        </w:rPr>
        <w:t>SUBSISTEMA </w:t>
      </w:r>
      <w:r>
        <w:rPr>
          <w:spacing w:val="10"/>
        </w:rPr>
        <w:t> </w:t>
      </w:r>
      <w:r>
        <w:rPr>
          <w:spacing w:val="4"/>
        </w:rPr>
        <w:t>NATURAL</w:t>
      </w:r>
    </w:p>
    <w:p>
      <w:pPr>
        <w:pStyle w:val="BodyText"/>
        <w:spacing w:before="9"/>
        <w:rPr>
          <w:b/>
          <w:sz w:val="19"/>
        </w:rPr>
      </w:pPr>
    </w:p>
    <w:p>
      <w:pPr>
        <w:pStyle w:val="BodyText"/>
        <w:spacing w:line="249" w:lineRule="auto"/>
        <w:ind w:left="395" w:right="423"/>
        <w:jc w:val="both"/>
      </w:pPr>
      <w:r>
        <w:rPr/>
        <w:t>La finalidad del diagnóstico del subsistema natural o medio físico es conocer el estado en </w:t>
      </w:r>
      <w:r>
        <w:rPr>
          <w:spacing w:val="2"/>
        </w:rPr>
        <w:t>que     </w:t>
      </w:r>
      <w:r>
        <w:rPr>
          <w:spacing w:val="54"/>
        </w:rPr>
        <w:t> </w:t>
      </w:r>
      <w:r>
        <w:rPr/>
        <w:t>se encuentra, cómo funciona, qué problemas le afectan y de qué </w:t>
      </w:r>
      <w:r>
        <w:rPr>
          <w:spacing w:val="2"/>
        </w:rPr>
        <w:t>potencialidades </w:t>
      </w:r>
      <w:r>
        <w:rPr>
          <w:spacing w:val="3"/>
        </w:rPr>
        <w:t>dispone. </w:t>
      </w:r>
      <w:r>
        <w:rPr/>
        <w:t>Específicamente el diagnóstico del medio físico debe contener aspectos descriptivos e interpretativos y cumplir con los siguientes objetivos (Gómez,   </w:t>
      </w:r>
      <w:r>
        <w:rPr>
          <w:spacing w:val="13"/>
        </w:rPr>
        <w:t> </w:t>
      </w:r>
      <w:r>
        <w:rPr>
          <w:spacing w:val="2"/>
        </w:rPr>
        <w:t>2001):</w:t>
      </w:r>
    </w:p>
    <w:p>
      <w:pPr>
        <w:pStyle w:val="BodyText"/>
        <w:spacing w:before="4"/>
        <w:rPr>
          <w:sz w:val="19"/>
        </w:rPr>
      </w:pPr>
    </w:p>
    <w:p>
      <w:pPr>
        <w:pStyle w:val="BodyText"/>
        <w:spacing w:line="242" w:lineRule="auto"/>
        <w:ind w:left="800" w:right="448"/>
        <w:jc w:val="both"/>
      </w:pPr>
      <w:r>
        <w:rPr>
          <w:rFonts w:ascii="Symbol" w:hAnsi="Symbol"/>
        </w:rPr>
        <w:t></w:t>
      </w:r>
      <w:r>
        <w:rPr>
          <w:rFonts w:ascii="Times New Roman" w:hAnsi="Times New Roman"/>
        </w:rPr>
        <w:t> </w:t>
      </w:r>
      <w:r>
        <w:rPr/>
        <w:t>Conocer las características naturales del territorio, de acuerdo con su estructura, organización y función, mediante un inventario de las mismas y la interpretación de su funcionamiento.</w:t>
      </w:r>
    </w:p>
    <w:p>
      <w:pPr>
        <w:pStyle w:val="BodyText"/>
        <w:spacing w:before="19"/>
        <w:ind w:left="800" w:right="649"/>
      </w:pPr>
      <w:r>
        <w:rPr>
          <w:rFonts w:ascii="Symbol" w:hAnsi="Symbol"/>
        </w:rPr>
        <w:t></w:t>
      </w:r>
      <w:r>
        <w:rPr>
          <w:rFonts w:ascii="Times New Roman" w:hAnsi="Times New Roman"/>
        </w:rPr>
        <w:t>    </w:t>
      </w:r>
      <w:r>
        <w:rPr/>
        <w:t>Comprender las formas de utilización del territorio y sus recursos naturales, incluyendo    las </w:t>
      </w:r>
      <w:r>
        <w:rPr>
          <w:spacing w:val="2"/>
        </w:rPr>
        <w:t>degradaciones </w:t>
      </w:r>
      <w:r>
        <w:rPr/>
        <w:t>y </w:t>
      </w:r>
      <w:r>
        <w:rPr>
          <w:spacing w:val="2"/>
        </w:rPr>
        <w:t>amenazas (peligros) </w:t>
      </w:r>
      <w:r>
        <w:rPr/>
        <w:t>que </w:t>
      </w:r>
      <w:r>
        <w:rPr>
          <w:spacing w:val="2"/>
        </w:rPr>
        <w:t>actúan </w:t>
      </w:r>
      <w:r>
        <w:rPr>
          <w:spacing w:val="3"/>
        </w:rPr>
        <w:t>sobre </w:t>
      </w:r>
      <w:r>
        <w:rPr/>
        <w:t>el </w:t>
      </w:r>
      <w:r>
        <w:rPr>
          <w:spacing w:val="41"/>
        </w:rPr>
        <w:t> </w:t>
      </w:r>
      <w:r>
        <w:rPr>
          <w:spacing w:val="4"/>
        </w:rPr>
        <w:t>mismo.</w:t>
      </w:r>
    </w:p>
    <w:p>
      <w:pPr>
        <w:pStyle w:val="BodyText"/>
        <w:spacing w:line="259" w:lineRule="auto" w:before="6"/>
        <w:ind w:left="800" w:right="649"/>
      </w:pPr>
      <w:r>
        <w:rPr>
          <w:rFonts w:ascii="Symbol" w:hAnsi="Symbol"/>
        </w:rPr>
        <w:t></w:t>
      </w:r>
      <w:r>
        <w:rPr>
          <w:rFonts w:ascii="Times New Roman" w:hAnsi="Times New Roman"/>
        </w:rPr>
        <w:t>    </w:t>
      </w:r>
      <w:r>
        <w:rPr/>
        <w:t>Valorar el territorio en términos de su conservación, basado en el estado y la calidad de    su  patrimonio</w:t>
      </w:r>
      <w:r>
        <w:rPr>
          <w:spacing w:val="5"/>
        </w:rPr>
        <w:t> </w:t>
      </w:r>
      <w:r>
        <w:rPr/>
        <w:t>natural.</w:t>
      </w:r>
    </w:p>
    <w:p>
      <w:pPr>
        <w:pStyle w:val="BodyText"/>
        <w:spacing w:line="242" w:lineRule="auto"/>
        <w:ind w:left="800" w:right="649"/>
      </w:pPr>
      <w:r>
        <w:rPr>
          <w:rFonts w:ascii="Symbol" w:hAnsi="Symbol"/>
        </w:rPr>
        <w:t></w:t>
      </w:r>
      <w:r>
        <w:rPr>
          <w:rFonts w:ascii="Times New Roman" w:hAnsi="Times New Roman"/>
        </w:rPr>
        <w:t> </w:t>
      </w:r>
      <w:r>
        <w:rPr/>
        <w:t>Estimar la potencialidad  del  territorio,  considerándola  como  las  oportunidades  que  ofrece en términos de recursos para las </w:t>
      </w:r>
      <w:r>
        <w:rPr>
          <w:spacing w:val="4"/>
        </w:rPr>
        <w:t>actividades  </w:t>
      </w:r>
      <w:r>
        <w:rPr>
          <w:spacing w:val="9"/>
        </w:rPr>
        <w:t> </w:t>
      </w:r>
      <w:r>
        <w:rPr>
          <w:spacing w:val="4"/>
        </w:rPr>
        <w:t>humanas.</w:t>
      </w:r>
    </w:p>
    <w:p>
      <w:pPr>
        <w:spacing w:after="0" w:line="242" w:lineRule="auto"/>
        <w:sectPr>
          <w:pgSz w:w="12240" w:h="15840"/>
          <w:pgMar w:header="0" w:footer="706" w:top="1280" w:bottom="900" w:left="1720" w:right="1720"/>
        </w:sectPr>
      </w:pPr>
    </w:p>
    <w:p>
      <w:pPr>
        <w:pStyle w:val="BodyText"/>
        <w:spacing w:before="49"/>
        <w:ind w:left="800" w:right="464"/>
      </w:pPr>
      <w:r>
        <w:rPr>
          <w:rFonts w:ascii="Symbol" w:hAnsi="Symbol"/>
        </w:rPr>
        <w:t></w:t>
      </w:r>
      <w:r>
        <w:rPr>
          <w:rFonts w:ascii="Times New Roman" w:hAnsi="Times New Roman"/>
        </w:rPr>
        <w:t>     </w:t>
      </w:r>
      <w:r>
        <w:rPr/>
        <w:t>Conocer la fragilidad o vulnerabilidad del territorio para dichas    actividades.</w:t>
      </w:r>
    </w:p>
    <w:p>
      <w:pPr>
        <w:pStyle w:val="BodyText"/>
        <w:spacing w:before="19"/>
        <w:ind w:left="800" w:right="464"/>
      </w:pPr>
      <w:r>
        <w:rPr>
          <w:rFonts w:ascii="Symbol" w:hAnsi="Symbol"/>
        </w:rPr>
        <w:t></w:t>
      </w:r>
      <w:r>
        <w:rPr>
          <w:rFonts w:ascii="Times New Roman" w:hAnsi="Times New Roman"/>
        </w:rPr>
        <w:t> </w:t>
      </w:r>
      <w:r>
        <w:rPr/>
        <w:t>Conocer los riesgos naturales que se dan en el territorio y sus implicaciones para las actividades  humanas.</w:t>
      </w:r>
    </w:p>
    <w:p>
      <w:pPr>
        <w:pStyle w:val="BodyText"/>
        <w:spacing w:before="6"/>
        <w:ind w:left="800" w:right="464"/>
      </w:pPr>
      <w:r>
        <w:rPr>
          <w:rFonts w:ascii="Symbol" w:hAnsi="Symbol"/>
        </w:rPr>
        <w:t></w:t>
      </w:r>
      <w:r>
        <w:rPr>
          <w:rFonts w:ascii="Times New Roman" w:hAnsi="Times New Roman"/>
        </w:rPr>
        <w:t>        </w:t>
      </w:r>
      <w:r>
        <w:rPr/>
        <w:t>Determinar el estado legal del suelo, que puede condicionar su uso y aprovechamiento.</w:t>
      </w:r>
    </w:p>
    <w:p>
      <w:pPr>
        <w:pStyle w:val="BodyText"/>
        <w:spacing w:line="259" w:lineRule="auto" w:before="4"/>
        <w:ind w:left="800" w:right="464"/>
      </w:pPr>
      <w:r>
        <w:rPr>
          <w:rFonts w:ascii="Symbol" w:hAnsi="Symbol"/>
        </w:rPr>
        <w:t></w:t>
      </w:r>
      <w:r>
        <w:rPr>
          <w:rFonts w:ascii="Times New Roman" w:hAnsi="Times New Roman"/>
        </w:rPr>
        <w:t> </w:t>
      </w:r>
      <w:r>
        <w:rPr/>
        <w:t>Determinar la aptitud de uso del territorio y conformar los escenarios alternativos para elaborar su modelo de uso y ocupación.</w:t>
      </w:r>
    </w:p>
    <w:p>
      <w:pPr>
        <w:pStyle w:val="BodyText"/>
        <w:spacing w:before="1"/>
        <w:rPr>
          <w:sz w:val="17"/>
        </w:rPr>
      </w:pPr>
    </w:p>
    <w:p>
      <w:pPr>
        <w:pStyle w:val="BodyText"/>
        <w:tabs>
          <w:tab w:pos="4246" w:val="left" w:leader="none"/>
        </w:tabs>
        <w:spacing w:line="249" w:lineRule="auto"/>
        <w:ind w:left="395" w:right="423"/>
      </w:pPr>
      <w:r>
        <w:rPr/>
        <w:t>Con  base  en  la  necesidad  </w:t>
      </w:r>
      <w:r>
        <w:rPr>
          <w:spacing w:val="12"/>
        </w:rPr>
        <w:t> </w:t>
      </w:r>
      <w:r>
        <w:rPr/>
        <w:t>de </w:t>
      </w:r>
      <w:r>
        <w:rPr>
          <w:spacing w:val="12"/>
        </w:rPr>
        <w:t> </w:t>
      </w:r>
      <w:r>
        <w:rPr/>
        <w:t>determinar</w:t>
        <w:tab/>
        <w:t>la  aptitud  de  uso  del  territorio  con  vistas  </w:t>
      </w:r>
      <w:r>
        <w:rPr>
          <w:spacing w:val="39"/>
        </w:rPr>
        <w:t> </w:t>
      </w:r>
      <w:r>
        <w:rPr/>
        <w:t>a </w:t>
      </w:r>
      <w:r>
        <w:rPr>
          <w:spacing w:val="11"/>
        </w:rPr>
        <w:t> </w:t>
      </w:r>
      <w:r>
        <w:rPr/>
        <w:t>la</w:t>
      </w:r>
      <w:r>
        <w:rPr>
          <w:w w:val="101"/>
        </w:rPr>
        <w:t> </w:t>
      </w:r>
      <w:r>
        <w:rPr>
          <w:spacing w:val="-6"/>
        </w:rPr>
        <w:t>defi </w:t>
      </w:r>
      <w:r>
        <w:rPr/>
        <w:t>nición y la elaboración del modelo de su uso y ocupación, en el subsistema natural se ha adoptado la propuesta y utilización de indicadores concretos de cada uno de los elementos del medio natural, que permitan la evaluación de sus aptitudes de uso, y </w:t>
      </w:r>
      <w:r>
        <w:rPr>
          <w:spacing w:val="2"/>
        </w:rPr>
        <w:t>asíponderar </w:t>
      </w:r>
      <w:r>
        <w:rPr/>
        <w:t>cuál sería la oferta natural territorial y cómo podría satisfacer, de una manera ambientalmente óptima y económicamente  sostenible,  las  demandas  del  ordenamiento  estatal  .  Estos  indicadores reflejan las potencialidades naturales, las tendencias históricas de degradación, las tasas  de cambio superficial y cualitativo de cada recurso  natural,  así  como  los  elementos  necesarios  para la adopción de políticas consecuentes con los fines del ordenamiento del territorio como       vía de </w:t>
      </w:r>
      <w:r>
        <w:rPr>
          <w:spacing w:val="2"/>
        </w:rPr>
        <w:t>progreso social </w:t>
      </w:r>
      <w:r>
        <w:rPr/>
        <w:t>y de </w:t>
      </w:r>
      <w:r>
        <w:rPr>
          <w:spacing w:val="2"/>
        </w:rPr>
        <w:t>conservación </w:t>
      </w:r>
      <w:r>
        <w:rPr/>
        <w:t>de la  </w:t>
      </w:r>
      <w:r>
        <w:rPr>
          <w:spacing w:val="11"/>
        </w:rPr>
        <w:t> </w:t>
      </w:r>
      <w:r>
        <w:rPr/>
        <w:t>naturaleza.</w:t>
      </w:r>
    </w:p>
    <w:p>
      <w:pPr>
        <w:pStyle w:val="BodyText"/>
        <w:spacing w:before="1"/>
        <w:rPr>
          <w:sz w:val="19"/>
        </w:rPr>
      </w:pPr>
    </w:p>
    <w:p>
      <w:pPr>
        <w:pStyle w:val="BodyText"/>
        <w:spacing w:line="242" w:lineRule="auto"/>
        <w:ind w:left="395" w:right="447"/>
        <w:jc w:val="both"/>
      </w:pPr>
      <w:r>
        <w:rPr/>
        <w:t>Entre los indicadores para caracterizar al medio natural se han definido preliminarmente los siguientes  (ejemplos):</w:t>
      </w:r>
    </w:p>
    <w:p>
      <w:pPr>
        <w:pStyle w:val="BodyText"/>
        <w:spacing w:before="11"/>
        <w:rPr>
          <w:sz w:val="20"/>
        </w:rPr>
      </w:pPr>
    </w:p>
    <w:p>
      <w:pPr>
        <w:pStyle w:val="ListParagraph"/>
        <w:numPr>
          <w:ilvl w:val="1"/>
          <w:numId w:val="3"/>
        </w:numPr>
        <w:tabs>
          <w:tab w:pos="1070" w:val="left" w:leader="none"/>
        </w:tabs>
        <w:spacing w:line="240" w:lineRule="auto" w:before="0" w:after="0"/>
        <w:ind w:left="1070" w:right="0" w:hanging="270"/>
        <w:jc w:val="left"/>
        <w:rPr>
          <w:sz w:val="18"/>
        </w:rPr>
      </w:pPr>
      <w:r>
        <w:rPr>
          <w:spacing w:val="2"/>
          <w:sz w:val="18"/>
        </w:rPr>
        <w:t>Cambio </w:t>
      </w:r>
      <w:r>
        <w:rPr>
          <w:sz w:val="18"/>
        </w:rPr>
        <w:t>de uso del </w:t>
      </w:r>
      <w:r>
        <w:rPr>
          <w:spacing w:val="2"/>
          <w:sz w:val="18"/>
        </w:rPr>
        <w:t>suelo </w:t>
      </w:r>
      <w:r>
        <w:rPr>
          <w:sz w:val="18"/>
        </w:rPr>
        <w:t>y </w:t>
      </w:r>
      <w:r>
        <w:rPr>
          <w:spacing w:val="19"/>
          <w:sz w:val="18"/>
        </w:rPr>
        <w:t> </w:t>
      </w:r>
      <w:r>
        <w:rPr>
          <w:spacing w:val="3"/>
          <w:sz w:val="18"/>
        </w:rPr>
        <w:t>vegetación</w:t>
      </w:r>
    </w:p>
    <w:p>
      <w:pPr>
        <w:pStyle w:val="ListParagraph"/>
        <w:numPr>
          <w:ilvl w:val="1"/>
          <w:numId w:val="3"/>
        </w:numPr>
        <w:tabs>
          <w:tab w:pos="1070" w:val="left" w:leader="none"/>
        </w:tabs>
        <w:spacing w:line="240" w:lineRule="auto" w:before="3" w:after="0"/>
        <w:ind w:left="1070" w:right="0" w:hanging="270"/>
        <w:jc w:val="left"/>
        <w:rPr>
          <w:sz w:val="18"/>
        </w:rPr>
      </w:pPr>
      <w:r>
        <w:rPr>
          <w:spacing w:val="2"/>
          <w:sz w:val="18"/>
        </w:rPr>
        <w:t>Tasa </w:t>
      </w:r>
      <w:r>
        <w:rPr>
          <w:sz w:val="18"/>
        </w:rPr>
        <w:t>de</w:t>
      </w:r>
      <w:r>
        <w:rPr>
          <w:spacing w:val="23"/>
          <w:sz w:val="18"/>
        </w:rPr>
        <w:t> </w:t>
      </w:r>
      <w:r>
        <w:rPr>
          <w:spacing w:val="3"/>
          <w:sz w:val="18"/>
        </w:rPr>
        <w:t>deforestación</w:t>
      </w:r>
    </w:p>
    <w:p>
      <w:pPr>
        <w:pStyle w:val="ListParagraph"/>
        <w:numPr>
          <w:ilvl w:val="1"/>
          <w:numId w:val="3"/>
        </w:numPr>
        <w:tabs>
          <w:tab w:pos="1070" w:val="left" w:leader="none"/>
        </w:tabs>
        <w:spacing w:line="240" w:lineRule="auto" w:before="18" w:after="0"/>
        <w:ind w:left="1070" w:right="0" w:hanging="270"/>
        <w:jc w:val="left"/>
        <w:rPr>
          <w:sz w:val="18"/>
        </w:rPr>
      </w:pPr>
      <w:r>
        <w:rPr>
          <w:sz w:val="18"/>
        </w:rPr>
        <w:t>Relación  cobertura  natural/cobertura</w:t>
      </w:r>
      <w:r>
        <w:rPr>
          <w:spacing w:val="40"/>
          <w:sz w:val="18"/>
        </w:rPr>
        <w:t> </w:t>
      </w:r>
      <w:r>
        <w:rPr>
          <w:sz w:val="18"/>
        </w:rPr>
        <w:t>antrópica</w:t>
      </w:r>
    </w:p>
    <w:p>
      <w:pPr>
        <w:pStyle w:val="ListParagraph"/>
        <w:numPr>
          <w:ilvl w:val="1"/>
          <w:numId w:val="3"/>
        </w:numPr>
        <w:tabs>
          <w:tab w:pos="1070" w:val="left" w:leader="none"/>
        </w:tabs>
        <w:spacing w:line="240" w:lineRule="auto" w:before="3" w:after="0"/>
        <w:ind w:left="1070" w:right="0" w:hanging="270"/>
        <w:jc w:val="left"/>
        <w:rPr>
          <w:sz w:val="18"/>
        </w:rPr>
      </w:pPr>
      <w:r>
        <w:rPr>
          <w:sz w:val="18"/>
        </w:rPr>
        <w:t>R elación cobertura natural/cobertura antrópica por  </w:t>
      </w:r>
      <w:r>
        <w:rPr>
          <w:spacing w:val="22"/>
          <w:sz w:val="18"/>
        </w:rPr>
        <w:t> </w:t>
      </w:r>
      <w:r>
        <w:rPr>
          <w:sz w:val="18"/>
        </w:rPr>
        <w:t>municipio</w:t>
      </w:r>
    </w:p>
    <w:p>
      <w:pPr>
        <w:pStyle w:val="ListParagraph"/>
        <w:numPr>
          <w:ilvl w:val="1"/>
          <w:numId w:val="3"/>
        </w:numPr>
        <w:tabs>
          <w:tab w:pos="1070" w:val="left" w:leader="none"/>
        </w:tabs>
        <w:spacing w:line="240" w:lineRule="auto" w:before="3" w:after="0"/>
        <w:ind w:left="1070" w:right="0" w:hanging="270"/>
        <w:jc w:val="left"/>
        <w:rPr>
          <w:sz w:val="18"/>
        </w:rPr>
      </w:pPr>
      <w:r>
        <w:rPr>
          <w:spacing w:val="2"/>
          <w:sz w:val="18"/>
        </w:rPr>
        <w:t>Extensión </w:t>
      </w:r>
      <w:r>
        <w:rPr>
          <w:sz w:val="18"/>
        </w:rPr>
        <w:t>de la </w:t>
      </w:r>
      <w:r>
        <w:rPr>
          <w:spacing w:val="2"/>
          <w:sz w:val="18"/>
        </w:rPr>
        <w:t>frontera</w:t>
      </w:r>
      <w:r>
        <w:rPr>
          <w:spacing w:val="43"/>
          <w:sz w:val="18"/>
        </w:rPr>
        <w:t> </w:t>
      </w:r>
      <w:r>
        <w:rPr>
          <w:spacing w:val="3"/>
          <w:sz w:val="18"/>
        </w:rPr>
        <w:t>agrícola</w:t>
      </w:r>
    </w:p>
    <w:p>
      <w:pPr>
        <w:pStyle w:val="ListParagraph"/>
        <w:numPr>
          <w:ilvl w:val="1"/>
          <w:numId w:val="3"/>
        </w:numPr>
        <w:tabs>
          <w:tab w:pos="1070" w:val="left" w:leader="none"/>
        </w:tabs>
        <w:spacing w:line="240" w:lineRule="auto" w:before="18" w:after="0"/>
        <w:ind w:left="1070" w:right="0" w:hanging="270"/>
        <w:jc w:val="left"/>
        <w:rPr>
          <w:sz w:val="18"/>
        </w:rPr>
      </w:pPr>
      <w:r>
        <w:rPr>
          <w:sz w:val="18"/>
        </w:rPr>
        <w:t>Áreas  naturales</w:t>
      </w:r>
      <w:r>
        <w:rPr>
          <w:spacing w:val="19"/>
          <w:sz w:val="18"/>
        </w:rPr>
        <w:t> </w:t>
      </w:r>
      <w:r>
        <w:rPr>
          <w:sz w:val="18"/>
        </w:rPr>
        <w:t>protegidas</w:t>
      </w:r>
    </w:p>
    <w:p>
      <w:pPr>
        <w:pStyle w:val="ListParagraph"/>
        <w:numPr>
          <w:ilvl w:val="1"/>
          <w:numId w:val="3"/>
        </w:numPr>
        <w:tabs>
          <w:tab w:pos="1070" w:val="left" w:leader="none"/>
        </w:tabs>
        <w:spacing w:line="240" w:lineRule="auto" w:before="3" w:after="0"/>
        <w:ind w:left="1070" w:right="0" w:hanging="270"/>
        <w:jc w:val="left"/>
        <w:rPr>
          <w:sz w:val="18"/>
        </w:rPr>
      </w:pPr>
      <w:r>
        <w:rPr>
          <w:sz w:val="18"/>
        </w:rPr>
        <w:t>Erosión de</w:t>
      </w:r>
      <w:r>
        <w:rPr>
          <w:spacing w:val="-2"/>
          <w:sz w:val="18"/>
        </w:rPr>
        <w:t> </w:t>
      </w:r>
      <w:r>
        <w:rPr>
          <w:spacing w:val="2"/>
          <w:sz w:val="18"/>
        </w:rPr>
        <w:t>suelos</w:t>
      </w:r>
    </w:p>
    <w:p>
      <w:pPr>
        <w:pStyle w:val="BodyText"/>
        <w:spacing w:before="4"/>
        <w:rPr>
          <w:sz w:val="26"/>
        </w:rPr>
      </w:pPr>
    </w:p>
    <w:p>
      <w:pPr>
        <w:pStyle w:val="Heading1"/>
        <w:numPr>
          <w:ilvl w:val="0"/>
          <w:numId w:val="3"/>
        </w:numPr>
        <w:tabs>
          <w:tab w:pos="634" w:val="left" w:leader="none"/>
        </w:tabs>
        <w:spacing w:line="240" w:lineRule="auto" w:before="0" w:after="0"/>
        <w:ind w:left="633" w:right="0" w:hanging="238"/>
        <w:jc w:val="both"/>
      </w:pPr>
      <w:r>
        <w:rPr>
          <w:spacing w:val="3"/>
        </w:rPr>
        <w:t>INDICADORES </w:t>
      </w:r>
      <w:r>
        <w:rPr>
          <w:spacing w:val="2"/>
        </w:rPr>
        <w:t>DEL </w:t>
      </w:r>
      <w:r>
        <w:rPr>
          <w:spacing w:val="3"/>
        </w:rPr>
        <w:t>SUBSISTEMA SOCIAL </w:t>
      </w:r>
      <w:r>
        <w:rPr/>
        <w:t>Y  </w:t>
      </w:r>
      <w:r>
        <w:rPr>
          <w:spacing w:val="5"/>
        </w:rPr>
        <w:t> </w:t>
      </w:r>
      <w:r>
        <w:rPr>
          <w:spacing w:val="4"/>
        </w:rPr>
        <w:t>URBANO-REGIONAL</w:t>
      </w:r>
    </w:p>
    <w:p>
      <w:pPr>
        <w:pStyle w:val="BodyText"/>
        <w:spacing w:line="249" w:lineRule="auto" w:before="138"/>
        <w:ind w:left="395" w:right="455"/>
        <w:jc w:val="both"/>
      </w:pPr>
      <w:r>
        <w:rPr/>
        <w:t>El conjunto de problemáticas que se engloban bajo el rubro genérico de  “lo  social”  de  un  territorio abarca situaciones que tienen que ver  con  aspectos  estructurales  de  la  sociedad  y otras que tienen que ver con las condiciones materiales en las que se desenvuelve dicha  </w:t>
      </w:r>
      <w:r>
        <w:rPr>
          <w:spacing w:val="3"/>
        </w:rPr>
        <w:t>sociedad. Algunas otras </w:t>
      </w:r>
      <w:r>
        <w:rPr/>
        <w:t>se </w:t>
      </w:r>
      <w:r>
        <w:rPr>
          <w:spacing w:val="3"/>
        </w:rPr>
        <w:t>relacionan </w:t>
      </w:r>
      <w:r>
        <w:rPr>
          <w:spacing w:val="2"/>
        </w:rPr>
        <w:t>más </w:t>
      </w:r>
      <w:r>
        <w:rPr>
          <w:spacing w:val="3"/>
        </w:rPr>
        <w:t>bien </w:t>
      </w:r>
      <w:r>
        <w:rPr>
          <w:spacing w:val="-8"/>
        </w:rPr>
        <w:t>con </w:t>
      </w:r>
      <w:r>
        <w:rPr/>
        <w:t>procesos </w:t>
      </w:r>
      <w:r>
        <w:rPr>
          <w:spacing w:val="47"/>
        </w:rPr>
        <w:t> </w:t>
      </w:r>
      <w:r>
        <w:rPr/>
        <w:t>sociales.</w:t>
      </w:r>
    </w:p>
    <w:p>
      <w:pPr>
        <w:pStyle w:val="BodyText"/>
        <w:spacing w:before="1"/>
        <w:rPr>
          <w:sz w:val="19"/>
        </w:rPr>
      </w:pPr>
    </w:p>
    <w:p>
      <w:pPr>
        <w:pStyle w:val="BodyText"/>
        <w:spacing w:line="249" w:lineRule="auto"/>
        <w:ind w:left="395" w:right="424"/>
        <w:jc w:val="both"/>
      </w:pPr>
      <w:r>
        <w:rPr/>
        <w:t>Esta característica hace diferir el análisis de “lo social” respecto a las variables e indicadores        del medio físico que involucran fundamentalmente procesos naturales. Mientras que el </w:t>
      </w:r>
      <w:r>
        <w:rPr>
          <w:spacing w:val="2"/>
        </w:rPr>
        <w:t>método     </w:t>
      </w:r>
      <w:r>
        <w:rPr/>
        <w:t>de </w:t>
      </w:r>
      <w:r>
        <w:rPr>
          <w:spacing w:val="2"/>
        </w:rPr>
        <w:t>análisis social </w:t>
      </w:r>
      <w:r>
        <w:rPr/>
        <w:t>se </w:t>
      </w:r>
      <w:r>
        <w:rPr>
          <w:spacing w:val="2"/>
        </w:rPr>
        <w:t>basa </w:t>
      </w:r>
      <w:r>
        <w:rPr/>
        <w:t>en la argumentación y refutación, en donde los resultados a los </w:t>
      </w:r>
      <w:r>
        <w:rPr>
          <w:spacing w:val="2"/>
        </w:rPr>
        <w:t>que      </w:t>
      </w:r>
      <w:r>
        <w:rPr/>
        <w:t>se </w:t>
      </w:r>
      <w:r>
        <w:rPr>
          <w:spacing w:val="2"/>
        </w:rPr>
        <w:t>llega siempre </w:t>
      </w:r>
      <w:r>
        <w:rPr/>
        <w:t>son </w:t>
      </w:r>
      <w:r>
        <w:rPr>
          <w:spacing w:val="2"/>
        </w:rPr>
        <w:t>relativos, puesto </w:t>
      </w:r>
      <w:r>
        <w:rPr/>
        <w:t>que  </w:t>
      </w:r>
      <w:r>
        <w:rPr>
          <w:spacing w:val="2"/>
        </w:rPr>
        <w:t>dependen </w:t>
      </w:r>
      <w:r>
        <w:rPr/>
        <w:t>de  </w:t>
      </w:r>
      <w:r>
        <w:rPr>
          <w:i/>
        </w:rPr>
        <w:t>condiciones  históricas </w:t>
      </w:r>
      <w:r>
        <w:rPr>
          <w:spacing w:val="2"/>
        </w:rPr>
        <w:t>–que </w:t>
      </w:r>
      <w:r>
        <w:rPr>
          <w:spacing w:val="3"/>
        </w:rPr>
        <w:t>pueden</w:t>
      </w:r>
      <w:r>
        <w:rPr>
          <w:spacing w:val="56"/>
        </w:rPr>
        <w:t> </w:t>
      </w:r>
      <w:r>
        <w:rPr/>
        <w:t>ser </w:t>
      </w:r>
      <w:r>
        <w:rPr>
          <w:spacing w:val="-3"/>
        </w:rPr>
        <w:t>variables </w:t>
      </w:r>
      <w:r>
        <w:rPr/>
        <w:t>-, del </w:t>
      </w:r>
      <w:r>
        <w:rPr>
          <w:i/>
        </w:rPr>
        <w:t>contexto sociopolítico </w:t>
      </w:r>
      <w:r>
        <w:rPr>
          <w:spacing w:val="-3"/>
        </w:rPr>
        <w:t>–que </w:t>
      </w:r>
      <w:r>
        <w:rPr/>
        <w:t>puede variar  drásticamente  de  un  momento  a otro-, y, finalmente, dependen de </w:t>
      </w:r>
      <w:r>
        <w:rPr>
          <w:i/>
          <w:spacing w:val="2"/>
        </w:rPr>
        <w:t>personas</w:t>
      </w:r>
      <w:r>
        <w:rPr>
          <w:spacing w:val="2"/>
        </w:rPr>
        <w:t>, </w:t>
      </w:r>
      <w:r>
        <w:rPr/>
        <w:t>de seres  vivos  cuyo  comportamiento  es  impredecible y que pueden fallar, equivocarse o bien tomar una decisión acertada, independientemente de las condiciones objetivas que le   </w:t>
      </w:r>
      <w:r>
        <w:rPr>
          <w:spacing w:val="46"/>
        </w:rPr>
        <w:t> </w:t>
      </w:r>
      <w:r>
        <w:rPr/>
        <w:t>rodean.</w:t>
      </w:r>
    </w:p>
    <w:p>
      <w:pPr>
        <w:pStyle w:val="BodyText"/>
        <w:spacing w:before="5"/>
        <w:rPr>
          <w:sz w:val="20"/>
        </w:rPr>
      </w:pPr>
    </w:p>
    <w:p>
      <w:pPr>
        <w:pStyle w:val="BodyText"/>
        <w:spacing w:line="242" w:lineRule="auto"/>
        <w:ind w:left="395" w:right="427"/>
        <w:jc w:val="both"/>
      </w:pPr>
      <w:r>
        <w:rPr>
          <w:spacing w:val="3"/>
          <w:w w:val="101"/>
        </w:rPr>
        <w:t>L</w:t>
      </w:r>
      <w:r>
        <w:rPr>
          <w:w w:val="101"/>
        </w:rPr>
        <w:t>a</w:t>
      </w:r>
      <w:r>
        <w:rPr/>
        <w:t> </w:t>
      </w:r>
      <w:r>
        <w:rPr>
          <w:spacing w:val="3"/>
          <w:w w:val="101"/>
        </w:rPr>
        <w:t>población</w:t>
      </w:r>
      <w:r>
        <w:rPr>
          <w:w w:val="101"/>
        </w:rPr>
        <w:t>,</w:t>
      </w:r>
      <w:r>
        <w:rPr/>
        <w:t> </w:t>
      </w:r>
      <w:r>
        <w:rPr>
          <w:spacing w:val="3"/>
          <w:w w:val="101"/>
        </w:rPr>
        <w:t>desd</w:t>
      </w:r>
      <w:r>
        <w:rPr>
          <w:w w:val="101"/>
        </w:rPr>
        <w:t>e</w:t>
      </w:r>
      <w:r>
        <w:rPr/>
        <w:t> </w:t>
      </w:r>
      <w:r>
        <w:rPr>
          <w:spacing w:val="3"/>
          <w:w w:val="101"/>
        </w:rPr>
        <w:t>e</w:t>
      </w:r>
      <w:r>
        <w:rPr>
          <w:w w:val="101"/>
        </w:rPr>
        <w:t>l</w:t>
      </w:r>
      <w:r>
        <w:rPr/>
        <w:t> </w:t>
      </w:r>
      <w:r>
        <w:rPr>
          <w:spacing w:val="3"/>
          <w:w w:val="101"/>
        </w:rPr>
        <w:t>punt</w:t>
      </w:r>
      <w:r>
        <w:rPr>
          <w:w w:val="101"/>
        </w:rPr>
        <w:t>o</w:t>
      </w:r>
      <w:r>
        <w:rPr/>
        <w:t> </w:t>
      </w:r>
      <w:r>
        <w:rPr>
          <w:spacing w:val="3"/>
          <w:w w:val="101"/>
        </w:rPr>
        <w:t>d</w:t>
      </w:r>
      <w:r>
        <w:rPr>
          <w:w w:val="101"/>
        </w:rPr>
        <w:t>e</w:t>
      </w:r>
      <w:r>
        <w:rPr/>
        <w:t> </w:t>
      </w:r>
      <w:r>
        <w:rPr>
          <w:spacing w:val="3"/>
          <w:w w:val="101"/>
        </w:rPr>
        <w:t>vist</w:t>
      </w:r>
      <w:r>
        <w:rPr>
          <w:w w:val="101"/>
        </w:rPr>
        <w:t>a</w:t>
      </w:r>
      <w:r>
        <w:rPr/>
        <w:t> </w:t>
      </w:r>
      <w:r>
        <w:rPr>
          <w:spacing w:val="3"/>
          <w:w w:val="101"/>
        </w:rPr>
        <w:t>de</w:t>
      </w:r>
      <w:r>
        <w:rPr>
          <w:w w:val="101"/>
        </w:rPr>
        <w:t>l</w:t>
      </w:r>
      <w:r>
        <w:rPr/>
        <w:t> </w:t>
      </w:r>
      <w:r>
        <w:rPr>
          <w:spacing w:val="3"/>
          <w:w w:val="101"/>
        </w:rPr>
        <w:t>Ordena</w:t>
      </w:r>
      <w:r>
        <w:rPr>
          <w:spacing w:val="2"/>
          <w:w w:val="101"/>
        </w:rPr>
        <w:t>m</w:t>
      </w:r>
      <w:r>
        <w:rPr>
          <w:spacing w:val="-101"/>
          <w:w w:val="101"/>
        </w:rPr>
        <w:t>e</w:t>
      </w:r>
      <w:r>
        <w:rPr>
          <w:w w:val="101"/>
        </w:rPr>
        <w:t>i</w:t>
      </w:r>
      <w:r>
        <w:rPr/>
        <w:t> </w:t>
      </w:r>
      <w:r>
        <w:rPr>
          <w:w w:val="101"/>
        </w:rPr>
        <w:t>nto</w:t>
      </w:r>
      <w:r>
        <w:rPr/>
        <w:t> </w:t>
      </w:r>
      <w:r>
        <w:rPr>
          <w:w w:val="101"/>
        </w:rPr>
        <w:t>Territorial</w:t>
      </w:r>
      <w:r>
        <w:rPr/>
        <w:t> </w:t>
      </w:r>
      <w:r>
        <w:rPr>
          <w:w w:val="101"/>
        </w:rPr>
        <w:t>se</w:t>
      </w:r>
      <w:r>
        <w:rPr/>
        <w:t> </w:t>
      </w:r>
      <w:r>
        <w:rPr>
          <w:w w:val="101"/>
        </w:rPr>
        <w:t>analiza</w:t>
      </w:r>
      <w:r>
        <w:rPr/>
        <w:t> </w:t>
      </w:r>
      <w:r>
        <w:rPr>
          <w:w w:val="101"/>
        </w:rPr>
        <w:t>desde</w:t>
      </w:r>
      <w:r>
        <w:rPr/>
        <w:t> </w:t>
      </w:r>
      <w:r>
        <w:rPr>
          <w:w w:val="101"/>
        </w:rPr>
        <w:t>tres</w:t>
      </w:r>
      <w:r>
        <w:rPr/>
        <w:t> </w:t>
      </w:r>
      <w:r>
        <w:rPr>
          <w:w w:val="101"/>
        </w:rPr>
        <w:t>puntos </w:t>
      </w:r>
      <w:r>
        <w:rPr>
          <w:spacing w:val="3"/>
        </w:rPr>
        <w:t>de </w:t>
      </w:r>
      <w:r>
        <w:rPr>
          <w:spacing w:val="7"/>
        </w:rPr>
        <w:t>vista:</w:t>
      </w:r>
    </w:p>
    <w:p>
      <w:pPr>
        <w:pStyle w:val="BodyText"/>
        <w:spacing w:before="7"/>
        <w:rPr>
          <w:sz w:val="19"/>
        </w:rPr>
      </w:pPr>
    </w:p>
    <w:p>
      <w:pPr>
        <w:pStyle w:val="ListParagraph"/>
        <w:numPr>
          <w:ilvl w:val="0"/>
          <w:numId w:val="4"/>
        </w:numPr>
        <w:tabs>
          <w:tab w:pos="1070" w:val="left" w:leader="none"/>
        </w:tabs>
        <w:spacing w:line="249" w:lineRule="auto" w:before="0" w:after="0"/>
        <w:ind w:left="395" w:right="423" w:firstLine="0"/>
        <w:jc w:val="both"/>
        <w:rPr>
          <w:sz w:val="18"/>
        </w:rPr>
      </w:pPr>
      <w:r>
        <w:rPr>
          <w:i/>
          <w:sz w:val="18"/>
        </w:rPr>
        <w:t>La población como recurso territorial </w:t>
      </w:r>
      <w:r>
        <w:rPr>
          <w:sz w:val="18"/>
        </w:rPr>
        <w:t>. Se trata de aquellos  aspectos  que  permiten  evaluar la capacidad productiva –en un  sentido  amplio-,  de  una  población  regional  determinada, con el fin de evaluar la cantidad y calidad  de  la  oferta  laboral  (aptitud  y preparación  técnico-profesional) </w:t>
      </w:r>
      <w:r>
        <w:rPr>
          <w:spacing w:val="2"/>
          <w:sz w:val="18"/>
        </w:rPr>
        <w:t>para </w:t>
      </w:r>
      <w:r>
        <w:rPr>
          <w:sz w:val="18"/>
        </w:rPr>
        <w:t>el </w:t>
      </w:r>
      <w:r>
        <w:rPr>
          <w:spacing w:val="2"/>
          <w:sz w:val="18"/>
        </w:rPr>
        <w:t>desarrollo </w:t>
      </w:r>
      <w:r>
        <w:rPr>
          <w:sz w:val="18"/>
        </w:rPr>
        <w:t>de </w:t>
      </w:r>
      <w:r>
        <w:rPr>
          <w:spacing w:val="2"/>
          <w:sz w:val="18"/>
        </w:rPr>
        <w:t>actividades </w:t>
      </w:r>
      <w:r>
        <w:rPr>
          <w:spacing w:val="42"/>
          <w:sz w:val="18"/>
        </w:rPr>
        <w:t> </w:t>
      </w:r>
      <w:r>
        <w:rPr>
          <w:spacing w:val="3"/>
          <w:sz w:val="18"/>
        </w:rPr>
        <w:t>económicas.</w:t>
      </w:r>
    </w:p>
    <w:p>
      <w:pPr>
        <w:pStyle w:val="BodyText"/>
        <w:spacing w:before="1"/>
        <w:rPr>
          <w:sz w:val="19"/>
        </w:rPr>
      </w:pPr>
    </w:p>
    <w:p>
      <w:pPr>
        <w:pStyle w:val="BodyText"/>
        <w:ind w:left="395"/>
        <w:jc w:val="both"/>
      </w:pPr>
      <w:r>
        <w:rPr/>
        <w:t>En este sentido los tres temas básicos para su valoración    son:</w:t>
      </w:r>
    </w:p>
    <w:p>
      <w:pPr>
        <w:pStyle w:val="BodyText"/>
        <w:spacing w:before="6"/>
      </w:pPr>
    </w:p>
    <w:p>
      <w:pPr>
        <w:pStyle w:val="ListParagraph"/>
        <w:numPr>
          <w:ilvl w:val="0"/>
          <w:numId w:val="5"/>
        </w:numPr>
        <w:tabs>
          <w:tab w:pos="609" w:val="left" w:leader="none"/>
        </w:tabs>
        <w:spacing w:line="240" w:lineRule="auto" w:before="0" w:after="0"/>
        <w:ind w:left="608" w:right="0" w:hanging="213"/>
        <w:jc w:val="both"/>
        <w:rPr>
          <w:sz w:val="18"/>
        </w:rPr>
      </w:pPr>
      <w:r>
        <w:rPr>
          <w:sz w:val="18"/>
        </w:rPr>
        <w:t>la </w:t>
      </w:r>
      <w:r>
        <w:rPr>
          <w:spacing w:val="2"/>
          <w:sz w:val="18"/>
        </w:rPr>
        <w:t>dinámica </w:t>
      </w:r>
      <w:r>
        <w:rPr>
          <w:sz w:val="18"/>
        </w:rPr>
        <w:t>y </w:t>
      </w:r>
      <w:r>
        <w:rPr>
          <w:spacing w:val="2"/>
          <w:sz w:val="18"/>
        </w:rPr>
        <w:t>territorialidad </w:t>
      </w:r>
      <w:r>
        <w:rPr>
          <w:sz w:val="18"/>
        </w:rPr>
        <w:t>de la</w:t>
      </w:r>
      <w:r>
        <w:rPr>
          <w:spacing w:val="46"/>
          <w:sz w:val="18"/>
        </w:rPr>
        <w:t> </w:t>
      </w:r>
      <w:r>
        <w:rPr>
          <w:spacing w:val="3"/>
          <w:sz w:val="18"/>
        </w:rPr>
        <w:t>población;</w:t>
      </w:r>
    </w:p>
    <w:p>
      <w:pPr>
        <w:pStyle w:val="ListParagraph"/>
        <w:numPr>
          <w:ilvl w:val="0"/>
          <w:numId w:val="5"/>
        </w:numPr>
        <w:tabs>
          <w:tab w:pos="631" w:val="left" w:leader="none"/>
        </w:tabs>
        <w:spacing w:line="240" w:lineRule="auto" w:before="18" w:after="0"/>
        <w:ind w:left="630" w:right="0" w:hanging="235"/>
        <w:jc w:val="both"/>
        <w:rPr>
          <w:sz w:val="18"/>
        </w:rPr>
      </w:pPr>
      <w:r>
        <w:rPr>
          <w:spacing w:val="3"/>
          <w:sz w:val="18"/>
        </w:rPr>
        <w:t>la </w:t>
      </w:r>
      <w:r>
        <w:rPr>
          <w:sz w:val="18"/>
        </w:rPr>
        <w:t>aptitud de la población como fuerza de trabajo,  </w:t>
      </w:r>
      <w:r>
        <w:rPr>
          <w:spacing w:val="26"/>
          <w:sz w:val="18"/>
        </w:rPr>
        <w:t> </w:t>
      </w:r>
      <w:r>
        <w:rPr>
          <w:sz w:val="18"/>
        </w:rPr>
        <w:t>y</w:t>
      </w:r>
    </w:p>
    <w:p>
      <w:pPr>
        <w:pStyle w:val="ListParagraph"/>
        <w:numPr>
          <w:ilvl w:val="0"/>
          <w:numId w:val="5"/>
        </w:numPr>
        <w:tabs>
          <w:tab w:pos="602" w:val="left" w:leader="none"/>
        </w:tabs>
        <w:spacing w:line="240" w:lineRule="auto" w:before="3" w:after="0"/>
        <w:ind w:left="601" w:right="0" w:hanging="206"/>
        <w:jc w:val="both"/>
        <w:rPr>
          <w:sz w:val="18"/>
        </w:rPr>
      </w:pPr>
      <w:r>
        <w:rPr>
          <w:sz w:val="18"/>
        </w:rPr>
        <w:t>la </w:t>
      </w:r>
      <w:r>
        <w:rPr>
          <w:spacing w:val="3"/>
          <w:sz w:val="18"/>
        </w:rPr>
        <w:t>marginalidad</w:t>
      </w:r>
      <w:r>
        <w:rPr>
          <w:spacing w:val="35"/>
          <w:sz w:val="18"/>
        </w:rPr>
        <w:t> </w:t>
      </w:r>
      <w:r>
        <w:rPr>
          <w:spacing w:val="4"/>
          <w:sz w:val="18"/>
        </w:rPr>
        <w:t>social.</w:t>
      </w:r>
    </w:p>
    <w:p>
      <w:pPr>
        <w:spacing w:after="0" w:line="240" w:lineRule="auto"/>
        <w:jc w:val="both"/>
        <w:rPr>
          <w:sz w:val="18"/>
        </w:rPr>
        <w:sectPr>
          <w:pgSz w:w="12240" w:h="15840"/>
          <w:pgMar w:header="0" w:footer="706" w:top="1300" w:bottom="900" w:left="1720" w:right="1720"/>
        </w:sectPr>
      </w:pPr>
    </w:p>
    <w:p>
      <w:pPr>
        <w:pStyle w:val="ListParagraph"/>
        <w:numPr>
          <w:ilvl w:val="0"/>
          <w:numId w:val="4"/>
        </w:numPr>
        <w:tabs>
          <w:tab w:pos="1070" w:val="left" w:leader="none"/>
        </w:tabs>
        <w:spacing w:line="249" w:lineRule="auto" w:before="66" w:after="0"/>
        <w:ind w:left="395" w:right="424" w:firstLine="0"/>
        <w:jc w:val="both"/>
        <w:rPr>
          <w:sz w:val="18"/>
        </w:rPr>
      </w:pPr>
      <w:r>
        <w:rPr>
          <w:i/>
          <w:sz w:val="18"/>
        </w:rPr>
        <w:t>La población como sujeto territorial </w:t>
      </w:r>
      <w:r>
        <w:rPr>
          <w:sz w:val="18"/>
        </w:rPr>
        <w:t>. En este caso, se evalúa a la población como demandante de servicios, infraestructuras y  equipamiento  (cantidad,  calidad  y  acceso),  es  </w:t>
      </w:r>
      <w:r>
        <w:rPr>
          <w:spacing w:val="3"/>
          <w:sz w:val="18"/>
        </w:rPr>
        <w:t>decir, </w:t>
      </w:r>
      <w:r>
        <w:rPr>
          <w:sz w:val="18"/>
        </w:rPr>
        <w:t>se evalúan los soportes materiales con que cuenta la población para  cubrir  sus  necesidades básica y que se asocian al concepto de calidad de vida, con el fin de comparar las dotaciones actuales con las necesidades y aspiraciones futuras de la población,   </w:t>
      </w:r>
      <w:r>
        <w:rPr>
          <w:spacing w:val="2"/>
          <w:sz w:val="18"/>
        </w:rPr>
        <w:t>considerando   </w:t>
      </w:r>
      <w:r>
        <w:rPr>
          <w:sz w:val="18"/>
        </w:rPr>
        <w:t>los</w:t>
      </w:r>
      <w:r>
        <w:rPr>
          <w:spacing w:val="21"/>
          <w:sz w:val="18"/>
        </w:rPr>
        <w:t> </w:t>
      </w:r>
      <w:r>
        <w:rPr>
          <w:sz w:val="18"/>
        </w:rPr>
        <w:t>estándares</w:t>
      </w:r>
      <w:r>
        <w:rPr>
          <w:spacing w:val="21"/>
          <w:sz w:val="18"/>
        </w:rPr>
        <w:t> </w:t>
      </w:r>
      <w:r>
        <w:rPr>
          <w:sz w:val="18"/>
        </w:rPr>
        <w:t>oficiales.</w:t>
      </w:r>
      <w:r>
        <w:rPr>
          <w:spacing w:val="21"/>
          <w:sz w:val="18"/>
        </w:rPr>
        <w:t> </w:t>
      </w:r>
      <w:r>
        <w:rPr>
          <w:sz w:val="18"/>
        </w:rPr>
        <w:t>Al</w:t>
      </w:r>
      <w:r>
        <w:rPr>
          <w:spacing w:val="21"/>
          <w:sz w:val="18"/>
        </w:rPr>
        <w:t> </w:t>
      </w:r>
      <w:r>
        <w:rPr>
          <w:sz w:val="18"/>
        </w:rPr>
        <w:t>respecto,</w:t>
      </w:r>
      <w:r>
        <w:rPr>
          <w:spacing w:val="21"/>
          <w:sz w:val="18"/>
        </w:rPr>
        <w:t> </w:t>
      </w:r>
      <w:r>
        <w:rPr>
          <w:sz w:val="18"/>
        </w:rPr>
        <w:t>los</w:t>
      </w:r>
      <w:r>
        <w:rPr>
          <w:spacing w:val="21"/>
          <w:sz w:val="18"/>
        </w:rPr>
        <w:t> </w:t>
      </w:r>
      <w:r>
        <w:rPr>
          <w:sz w:val="18"/>
        </w:rPr>
        <w:t>temas</w:t>
      </w:r>
      <w:r>
        <w:rPr>
          <w:spacing w:val="21"/>
          <w:sz w:val="18"/>
        </w:rPr>
        <w:t> </w:t>
      </w:r>
      <w:r>
        <w:rPr>
          <w:sz w:val="18"/>
        </w:rPr>
        <w:t>fundamentales</w:t>
      </w:r>
      <w:r>
        <w:rPr>
          <w:spacing w:val="21"/>
          <w:sz w:val="18"/>
        </w:rPr>
        <w:t> </w:t>
      </w:r>
      <w:r>
        <w:rPr>
          <w:sz w:val="18"/>
        </w:rPr>
        <w:t>a</w:t>
      </w:r>
      <w:r>
        <w:rPr>
          <w:spacing w:val="21"/>
          <w:sz w:val="18"/>
        </w:rPr>
        <w:t> </w:t>
      </w:r>
      <w:r>
        <w:rPr>
          <w:sz w:val="18"/>
        </w:rPr>
        <w:t>cosiderar</w:t>
      </w:r>
      <w:r>
        <w:rPr>
          <w:spacing w:val="21"/>
          <w:sz w:val="18"/>
        </w:rPr>
        <w:t> </w:t>
      </w:r>
      <w:r>
        <w:rPr>
          <w:sz w:val="18"/>
        </w:rPr>
        <w:t>serían:</w:t>
      </w:r>
    </w:p>
    <w:p>
      <w:pPr>
        <w:pStyle w:val="BodyText"/>
        <w:spacing w:before="1"/>
        <w:rPr>
          <w:sz w:val="19"/>
        </w:rPr>
      </w:pPr>
    </w:p>
    <w:p>
      <w:pPr>
        <w:pStyle w:val="ListParagraph"/>
        <w:numPr>
          <w:ilvl w:val="1"/>
          <w:numId w:val="4"/>
        </w:numPr>
        <w:tabs>
          <w:tab w:pos="1745" w:val="left" w:leader="none"/>
        </w:tabs>
        <w:spacing w:line="240" w:lineRule="auto" w:before="0" w:after="0"/>
        <w:ind w:left="1745" w:right="0" w:hanging="420"/>
        <w:jc w:val="both"/>
        <w:rPr>
          <w:sz w:val="18"/>
        </w:rPr>
      </w:pPr>
      <w:r>
        <w:rPr>
          <w:sz w:val="18"/>
        </w:rPr>
        <w:t>los  servicios</w:t>
      </w:r>
      <w:r>
        <w:rPr>
          <w:spacing w:val="23"/>
          <w:sz w:val="18"/>
        </w:rPr>
        <w:t> </w:t>
      </w:r>
      <w:r>
        <w:rPr>
          <w:sz w:val="18"/>
        </w:rPr>
        <w:t>públicos;</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  infraestructura  municipal,</w:t>
      </w:r>
      <w:r>
        <w:rPr>
          <w:spacing w:val="-16"/>
          <w:sz w:val="18"/>
        </w:rPr>
        <w:t> </w:t>
      </w:r>
      <w:r>
        <w:rPr>
          <w:sz w:val="18"/>
        </w:rPr>
        <w:t>y</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w:t>
      </w:r>
      <w:r>
        <w:rPr>
          <w:spacing w:val="32"/>
          <w:sz w:val="18"/>
        </w:rPr>
        <w:t> </w:t>
      </w:r>
      <w:r>
        <w:rPr>
          <w:sz w:val="18"/>
        </w:rPr>
        <w:t>vivienda</w:t>
      </w:r>
    </w:p>
    <w:p>
      <w:pPr>
        <w:pStyle w:val="BodyText"/>
        <w:spacing w:before="9"/>
        <w:rPr>
          <w:sz w:val="19"/>
        </w:rPr>
      </w:pPr>
    </w:p>
    <w:p>
      <w:pPr>
        <w:pStyle w:val="ListParagraph"/>
        <w:numPr>
          <w:ilvl w:val="0"/>
          <w:numId w:val="4"/>
        </w:numPr>
        <w:tabs>
          <w:tab w:pos="1070" w:val="left" w:leader="none"/>
        </w:tabs>
        <w:spacing w:line="249" w:lineRule="auto" w:before="0" w:after="0"/>
        <w:ind w:left="395" w:right="449" w:firstLine="0"/>
        <w:jc w:val="both"/>
        <w:rPr>
          <w:sz w:val="18"/>
        </w:rPr>
      </w:pPr>
      <w:r>
        <w:rPr>
          <w:i/>
          <w:sz w:val="18"/>
        </w:rPr>
        <w:t>La población como objeto territorial. </w:t>
      </w:r>
      <w:r>
        <w:rPr>
          <w:sz w:val="18"/>
        </w:rPr>
        <w:t>En </w:t>
      </w:r>
      <w:r>
        <w:rPr>
          <w:spacing w:val="2"/>
          <w:sz w:val="18"/>
        </w:rPr>
        <w:t>este último grupo  </w:t>
      </w:r>
      <w:r>
        <w:rPr>
          <w:sz w:val="18"/>
        </w:rPr>
        <w:t>se  </w:t>
      </w:r>
      <w:r>
        <w:rPr>
          <w:spacing w:val="2"/>
          <w:sz w:val="18"/>
        </w:rPr>
        <w:t>consideran  </w:t>
      </w:r>
      <w:r>
        <w:rPr>
          <w:spacing w:val="3"/>
          <w:sz w:val="18"/>
        </w:rPr>
        <w:t>aquellos</w:t>
      </w:r>
      <w:r>
        <w:rPr>
          <w:spacing w:val="56"/>
          <w:sz w:val="18"/>
        </w:rPr>
        <w:t> </w:t>
      </w:r>
      <w:r>
        <w:rPr>
          <w:spacing w:val="-3"/>
          <w:sz w:val="18"/>
        </w:rPr>
        <w:t>aspect </w:t>
      </w:r>
      <w:r>
        <w:rPr>
          <w:sz w:val="18"/>
        </w:rPr>
        <w:t>os de la población que permiten evaluarla en tanto que objeto territorial, es decir, se consideran sus actividades de relación interpersonal y de grupo, que permiten valorar  la  </w:t>
      </w:r>
      <w:r>
        <w:rPr>
          <w:spacing w:val="2"/>
          <w:sz w:val="18"/>
        </w:rPr>
        <w:t>estructura social. Incluye como temas </w:t>
      </w:r>
      <w:r>
        <w:rPr>
          <w:spacing w:val="20"/>
          <w:sz w:val="18"/>
        </w:rPr>
        <w:t> </w:t>
      </w:r>
      <w:r>
        <w:rPr>
          <w:spacing w:val="3"/>
          <w:sz w:val="18"/>
        </w:rPr>
        <w:t>fundamentales:</w:t>
      </w:r>
    </w:p>
    <w:p>
      <w:pPr>
        <w:pStyle w:val="BodyText"/>
        <w:spacing w:before="5"/>
        <w:rPr>
          <w:sz w:val="20"/>
        </w:rPr>
      </w:pPr>
    </w:p>
    <w:p>
      <w:pPr>
        <w:pStyle w:val="ListParagraph"/>
        <w:numPr>
          <w:ilvl w:val="1"/>
          <w:numId w:val="4"/>
        </w:numPr>
        <w:tabs>
          <w:tab w:pos="1745" w:val="left" w:leader="none"/>
        </w:tabs>
        <w:spacing w:line="240" w:lineRule="auto" w:before="0" w:after="0"/>
        <w:ind w:left="1745" w:right="0" w:hanging="420"/>
        <w:jc w:val="both"/>
        <w:rPr>
          <w:sz w:val="18"/>
        </w:rPr>
      </w:pPr>
      <w:r>
        <w:rPr>
          <w:sz w:val="18"/>
        </w:rPr>
        <w:t>el grado de participación </w:t>
      </w:r>
      <w:r>
        <w:rPr>
          <w:spacing w:val="3"/>
          <w:sz w:val="18"/>
        </w:rPr>
        <w:t>política </w:t>
      </w:r>
      <w:r>
        <w:rPr>
          <w:spacing w:val="36"/>
          <w:sz w:val="18"/>
        </w:rPr>
        <w:t> </w:t>
      </w:r>
      <w:r>
        <w:rPr>
          <w:spacing w:val="4"/>
          <w:sz w:val="18"/>
        </w:rPr>
        <w:t>formal;</w:t>
      </w:r>
    </w:p>
    <w:p>
      <w:pPr>
        <w:pStyle w:val="ListParagraph"/>
        <w:numPr>
          <w:ilvl w:val="1"/>
          <w:numId w:val="4"/>
        </w:numPr>
        <w:tabs>
          <w:tab w:pos="1745" w:val="left" w:leader="none"/>
        </w:tabs>
        <w:spacing w:line="240" w:lineRule="auto" w:before="3" w:after="0"/>
        <w:ind w:left="1745" w:right="0" w:hanging="420"/>
        <w:jc w:val="both"/>
        <w:rPr>
          <w:sz w:val="18"/>
        </w:rPr>
      </w:pPr>
      <w:r>
        <w:rPr>
          <w:sz w:val="18"/>
        </w:rPr>
        <w:t>el grado de cohesión social, </w:t>
      </w:r>
      <w:r>
        <w:rPr>
          <w:spacing w:val="40"/>
          <w:sz w:val="18"/>
        </w:rPr>
        <w:t> </w:t>
      </w:r>
      <w:r>
        <w:rPr>
          <w:sz w:val="18"/>
        </w:rPr>
        <w:t>y</w:t>
      </w:r>
    </w:p>
    <w:p>
      <w:pPr>
        <w:pStyle w:val="ListParagraph"/>
        <w:numPr>
          <w:ilvl w:val="1"/>
          <w:numId w:val="4"/>
        </w:numPr>
        <w:tabs>
          <w:tab w:pos="1745" w:val="left" w:leader="none"/>
        </w:tabs>
        <w:spacing w:line="240" w:lineRule="auto" w:before="3" w:after="0"/>
        <w:ind w:left="1745" w:right="0" w:hanging="420"/>
        <w:jc w:val="both"/>
        <w:rPr>
          <w:sz w:val="18"/>
        </w:rPr>
      </w:pPr>
      <w:r>
        <w:rPr>
          <w:sz w:val="18"/>
        </w:rPr>
        <w:t>la </w:t>
      </w:r>
      <w:r>
        <w:rPr>
          <w:spacing w:val="2"/>
          <w:sz w:val="18"/>
        </w:rPr>
        <w:t>afinidad</w:t>
      </w:r>
      <w:r>
        <w:rPr>
          <w:spacing w:val="26"/>
          <w:sz w:val="18"/>
        </w:rPr>
        <w:t> </w:t>
      </w:r>
      <w:r>
        <w:rPr>
          <w:spacing w:val="3"/>
          <w:sz w:val="18"/>
        </w:rPr>
        <w:t>religiosa.</w:t>
      </w:r>
    </w:p>
    <w:p>
      <w:pPr>
        <w:pStyle w:val="BodyText"/>
        <w:spacing w:before="9"/>
        <w:rPr>
          <w:sz w:val="19"/>
        </w:rPr>
      </w:pPr>
    </w:p>
    <w:p>
      <w:pPr>
        <w:pStyle w:val="BodyText"/>
        <w:spacing w:line="252" w:lineRule="auto"/>
        <w:ind w:left="395" w:right="424"/>
        <w:jc w:val="both"/>
      </w:pPr>
      <w:r>
        <w:rPr/>
        <w:t>Todos estos aspectos –con excepción del último grupo -, se pueden analizar bajo criterios cuantitativos. El análisis final deberá ser acompañado de una reflexión que cubra los aspectos subjetivos, incuantificables, presentes en los procesos    sociales.</w:t>
      </w:r>
    </w:p>
    <w:p>
      <w:pPr>
        <w:pStyle w:val="BodyText"/>
        <w:spacing w:before="7"/>
        <w:rPr>
          <w:sz w:val="17"/>
        </w:rPr>
      </w:pPr>
    </w:p>
    <w:p>
      <w:pPr>
        <w:pStyle w:val="BodyText"/>
        <w:spacing w:line="252" w:lineRule="auto"/>
        <w:ind w:left="395" w:right="433"/>
        <w:jc w:val="both"/>
      </w:pPr>
      <w:r>
        <w:rPr/>
        <w:t>En cuanto al subsistema urbano -regional, tiene como objetivo caracterizar y diagnosticar el  sistema de ciudades, localidades y áreas rurales de un territorio, para posteriormente llegar a        un </w:t>
      </w:r>
      <w:r>
        <w:rPr>
          <w:spacing w:val="2"/>
        </w:rPr>
        <w:t>ordenamiento territorial</w:t>
      </w:r>
      <w:r>
        <w:rPr>
          <w:spacing w:val="52"/>
        </w:rPr>
        <w:t> </w:t>
      </w:r>
      <w:r>
        <w:rPr>
          <w:spacing w:val="3"/>
        </w:rPr>
        <w:t>integral.</w:t>
      </w:r>
    </w:p>
    <w:p>
      <w:pPr>
        <w:pStyle w:val="BodyText"/>
        <w:spacing w:before="11"/>
      </w:pPr>
    </w:p>
    <w:p>
      <w:pPr>
        <w:pStyle w:val="BodyText"/>
        <w:spacing w:line="249" w:lineRule="auto"/>
        <w:ind w:left="395" w:right="420"/>
        <w:jc w:val="both"/>
      </w:pPr>
      <w:r>
        <w:rPr/>
        <w:t>Para ello se propone abordar dicho análisis a partir de tres grandes apartados temáticos que se refieren a características específicas de los sistemas urbanos y las áreas rurales, que se encuentran en su área de </w:t>
      </w:r>
      <w:r>
        <w:rPr>
          <w:spacing w:val="3"/>
        </w:rPr>
        <w:t>influencia </w:t>
      </w:r>
      <w:r>
        <w:rPr/>
        <w:t>o incluso, fuera de ella. Los tres grupos temáticos son </w:t>
      </w:r>
      <w:r>
        <w:rPr>
          <w:spacing w:val="2"/>
        </w:rPr>
        <w:t>los </w:t>
      </w:r>
      <w:r>
        <w:rPr>
          <w:spacing w:val="5"/>
        </w:rPr>
        <w:t>siguientes:</w:t>
      </w:r>
    </w:p>
    <w:p>
      <w:pPr>
        <w:pStyle w:val="BodyText"/>
        <w:spacing w:before="9"/>
        <w:rPr>
          <w:sz w:val="17"/>
        </w:rPr>
      </w:pPr>
    </w:p>
    <w:p>
      <w:pPr>
        <w:pStyle w:val="ListParagraph"/>
        <w:numPr>
          <w:ilvl w:val="0"/>
          <w:numId w:val="6"/>
        </w:numPr>
        <w:tabs>
          <w:tab w:pos="1729" w:val="left" w:leader="none"/>
          <w:tab w:pos="1730" w:val="left" w:leader="none"/>
        </w:tabs>
        <w:spacing w:line="261" w:lineRule="auto" w:before="0" w:after="0"/>
        <w:ind w:left="1325" w:right="438" w:firstLine="0"/>
        <w:jc w:val="left"/>
        <w:rPr>
          <w:sz w:val="18"/>
        </w:rPr>
      </w:pPr>
      <w:r>
        <w:rPr>
          <w:i/>
          <w:sz w:val="18"/>
        </w:rPr>
        <w:t>Morfología </w:t>
      </w:r>
      <w:r>
        <w:rPr>
          <w:i/>
          <w:spacing w:val="3"/>
          <w:sz w:val="18"/>
        </w:rPr>
        <w:t>urbano-regional. </w:t>
      </w:r>
      <w:r>
        <w:rPr>
          <w:sz w:val="18"/>
        </w:rPr>
        <w:t>En este apartado se trata de caracterizar el grado    de </w:t>
      </w:r>
      <w:r>
        <w:rPr>
          <w:spacing w:val="2"/>
          <w:sz w:val="18"/>
        </w:rPr>
        <w:t>ocupación </w:t>
      </w:r>
      <w:r>
        <w:rPr>
          <w:sz w:val="18"/>
        </w:rPr>
        <w:t>de un </w:t>
      </w:r>
      <w:r>
        <w:rPr>
          <w:spacing w:val="2"/>
          <w:sz w:val="18"/>
        </w:rPr>
        <w:t>territorio, </w:t>
      </w:r>
      <w:r>
        <w:rPr>
          <w:sz w:val="18"/>
        </w:rPr>
        <w:t>ya sea por </w:t>
      </w:r>
      <w:r>
        <w:rPr>
          <w:spacing w:val="2"/>
          <w:sz w:val="18"/>
        </w:rPr>
        <w:t>localidades urbanas </w:t>
      </w:r>
      <w:r>
        <w:rPr>
          <w:sz w:val="18"/>
        </w:rPr>
        <w:t>o  </w:t>
      </w:r>
      <w:r>
        <w:rPr>
          <w:spacing w:val="20"/>
          <w:sz w:val="18"/>
        </w:rPr>
        <w:t> </w:t>
      </w:r>
      <w:r>
        <w:rPr>
          <w:spacing w:val="3"/>
          <w:sz w:val="18"/>
        </w:rPr>
        <w:t>rurales.</w:t>
      </w:r>
    </w:p>
    <w:p>
      <w:pPr>
        <w:pStyle w:val="BodyText"/>
        <w:spacing w:before="10"/>
        <w:rPr>
          <w:sz w:val="16"/>
        </w:rPr>
      </w:pPr>
    </w:p>
    <w:p>
      <w:pPr>
        <w:pStyle w:val="ListParagraph"/>
        <w:numPr>
          <w:ilvl w:val="0"/>
          <w:numId w:val="6"/>
        </w:numPr>
        <w:tabs>
          <w:tab w:pos="1730" w:val="left" w:leader="none"/>
        </w:tabs>
        <w:spacing w:line="252" w:lineRule="auto" w:before="1" w:after="0"/>
        <w:ind w:left="1325" w:right="422" w:firstLine="0"/>
        <w:jc w:val="both"/>
        <w:rPr>
          <w:sz w:val="18"/>
        </w:rPr>
      </w:pPr>
      <w:r>
        <w:rPr>
          <w:i/>
          <w:sz w:val="18"/>
        </w:rPr>
        <w:t>Funcionalidad </w:t>
      </w:r>
      <w:r>
        <w:rPr>
          <w:i/>
          <w:spacing w:val="2"/>
          <w:sz w:val="18"/>
        </w:rPr>
        <w:t>urbano-regional. </w:t>
      </w:r>
      <w:r>
        <w:rPr>
          <w:sz w:val="18"/>
        </w:rPr>
        <w:t>A través de ellos se trata de identificar  los  vínculos funcionales, tanto de los grupos sociales como de  sus  actividades  económicas en el espacio por </w:t>
      </w:r>
      <w:r>
        <w:rPr>
          <w:spacing w:val="41"/>
          <w:sz w:val="18"/>
        </w:rPr>
        <w:t> </w:t>
      </w:r>
      <w:r>
        <w:rPr>
          <w:sz w:val="18"/>
        </w:rPr>
        <w:t>analizar.</w:t>
      </w:r>
    </w:p>
    <w:p>
      <w:pPr>
        <w:pStyle w:val="BodyText"/>
        <w:spacing w:before="3"/>
        <w:rPr>
          <w:sz w:val="20"/>
        </w:rPr>
      </w:pPr>
    </w:p>
    <w:p>
      <w:pPr>
        <w:pStyle w:val="ListParagraph"/>
        <w:numPr>
          <w:ilvl w:val="0"/>
          <w:numId w:val="6"/>
        </w:numPr>
        <w:tabs>
          <w:tab w:pos="1730" w:val="left" w:leader="none"/>
        </w:tabs>
        <w:spacing w:line="247" w:lineRule="auto" w:before="0" w:after="0"/>
        <w:ind w:left="1325" w:right="419" w:firstLine="0"/>
        <w:jc w:val="both"/>
        <w:rPr>
          <w:sz w:val="18"/>
        </w:rPr>
      </w:pPr>
      <w:r>
        <w:rPr>
          <w:i/>
          <w:sz w:val="18"/>
        </w:rPr>
        <w:t>Aspectos metropolitanos. </w:t>
      </w:r>
      <w:r>
        <w:rPr>
          <w:sz w:val="18"/>
        </w:rPr>
        <w:t>Ante el avance de la  urbanización,  al  parecer  inevitable, sobre amplios espacios  rurales,  importa  destacar  algunos  de  los  rasgos de la expansión urbana que los afectan. En primer lugar, se  trata  de  evaluar  el cambio de uso del suelo, producto de la  </w:t>
      </w:r>
      <w:r>
        <w:rPr>
          <w:i/>
          <w:spacing w:val="2"/>
          <w:sz w:val="18"/>
        </w:rPr>
        <w:t>expansión urbana </w:t>
      </w:r>
      <w:r>
        <w:rPr>
          <w:sz w:val="18"/>
        </w:rPr>
        <w:t>en el espacio periurbano  de las </w:t>
      </w:r>
      <w:r>
        <w:rPr>
          <w:spacing w:val="2"/>
          <w:sz w:val="18"/>
        </w:rPr>
        <w:t>ciudades </w:t>
      </w:r>
      <w:r>
        <w:rPr>
          <w:sz w:val="18"/>
        </w:rPr>
        <w:t>más dinámicas, sin limitarse, como anteriormente se hacía, al  concepto de conurbación. En segundo lugar, se busca  identificar  los  efectos  que causa la  </w:t>
      </w:r>
      <w:r>
        <w:rPr>
          <w:i/>
          <w:sz w:val="18"/>
        </w:rPr>
        <w:t>extracción de agua en cuencas lejanas </w:t>
      </w:r>
      <w:r>
        <w:rPr>
          <w:sz w:val="18"/>
        </w:rPr>
        <w:t>para consumo urbano y, por otro   </w:t>
      </w:r>
      <w:r>
        <w:rPr>
          <w:spacing w:val="2"/>
          <w:sz w:val="18"/>
        </w:rPr>
        <w:t>lado, </w:t>
      </w:r>
      <w:r>
        <w:rPr>
          <w:sz w:val="18"/>
        </w:rPr>
        <w:t>los </w:t>
      </w:r>
      <w:r>
        <w:rPr>
          <w:spacing w:val="2"/>
          <w:sz w:val="18"/>
        </w:rPr>
        <w:t>efectos </w:t>
      </w:r>
      <w:r>
        <w:rPr>
          <w:sz w:val="18"/>
        </w:rPr>
        <w:t>que </w:t>
      </w:r>
      <w:r>
        <w:rPr>
          <w:spacing w:val="2"/>
          <w:sz w:val="18"/>
        </w:rPr>
        <w:t>tiene </w:t>
      </w:r>
      <w:r>
        <w:rPr>
          <w:sz w:val="18"/>
        </w:rPr>
        <w:t>la </w:t>
      </w:r>
      <w:r>
        <w:rPr>
          <w:i/>
          <w:sz w:val="18"/>
        </w:rPr>
        <w:t>eliminación de </w:t>
      </w:r>
      <w:r>
        <w:rPr>
          <w:i/>
          <w:spacing w:val="2"/>
          <w:sz w:val="18"/>
        </w:rPr>
        <w:t>desechos sólidos </w:t>
      </w:r>
      <w:r>
        <w:rPr>
          <w:i/>
          <w:sz w:val="18"/>
        </w:rPr>
        <w:t>y </w:t>
      </w:r>
      <w:r>
        <w:rPr>
          <w:i/>
          <w:spacing w:val="2"/>
          <w:sz w:val="18"/>
        </w:rPr>
        <w:t>líquidos </w:t>
      </w:r>
      <w:r>
        <w:rPr>
          <w:sz w:val="18"/>
        </w:rPr>
        <w:t>de </w:t>
      </w:r>
      <w:r>
        <w:rPr>
          <w:spacing w:val="4"/>
          <w:sz w:val="18"/>
        </w:rPr>
        <w:t>acuerdo </w:t>
      </w:r>
      <w:r>
        <w:rPr>
          <w:sz w:val="18"/>
        </w:rPr>
        <w:t>con las </w:t>
      </w:r>
      <w:r>
        <w:rPr>
          <w:spacing w:val="2"/>
          <w:sz w:val="18"/>
        </w:rPr>
        <w:t>distintas modalidades </w:t>
      </w:r>
      <w:r>
        <w:rPr>
          <w:sz w:val="18"/>
        </w:rPr>
        <w:t>y </w:t>
      </w:r>
      <w:r>
        <w:rPr>
          <w:spacing w:val="2"/>
          <w:sz w:val="18"/>
        </w:rPr>
        <w:t>sitios </w:t>
      </w:r>
      <w:r>
        <w:rPr>
          <w:sz w:val="18"/>
        </w:rPr>
        <w:t>de </w:t>
      </w:r>
      <w:r>
        <w:rPr>
          <w:spacing w:val="18"/>
          <w:sz w:val="18"/>
        </w:rPr>
        <w:t> </w:t>
      </w:r>
      <w:r>
        <w:rPr>
          <w:spacing w:val="3"/>
          <w:sz w:val="18"/>
        </w:rPr>
        <w:t>descarga.</w:t>
      </w:r>
    </w:p>
    <w:p>
      <w:pPr>
        <w:pStyle w:val="BodyText"/>
        <w:spacing w:before="3"/>
        <w:rPr>
          <w:sz w:val="19"/>
        </w:rPr>
      </w:pPr>
    </w:p>
    <w:p>
      <w:pPr>
        <w:pStyle w:val="BodyText"/>
        <w:spacing w:line="242" w:lineRule="auto"/>
        <w:ind w:left="395" w:right="447"/>
        <w:jc w:val="both"/>
      </w:pPr>
      <w:r>
        <w:rPr/>
        <w:t>Entre los indicadores para caracterizar al medio social se han definido preliminarmente los siguientes  (ejemplos):</w:t>
      </w:r>
    </w:p>
    <w:p>
      <w:pPr>
        <w:pStyle w:val="BodyText"/>
        <w:spacing w:before="7"/>
        <w:rPr>
          <w:sz w:val="19"/>
        </w:rPr>
      </w:pPr>
    </w:p>
    <w:p>
      <w:pPr>
        <w:pStyle w:val="ListParagraph"/>
        <w:numPr>
          <w:ilvl w:val="0"/>
          <w:numId w:val="7"/>
        </w:numPr>
        <w:tabs>
          <w:tab w:pos="1005" w:val="left" w:leader="none"/>
        </w:tabs>
        <w:spacing w:line="240" w:lineRule="auto" w:before="0" w:after="0"/>
        <w:ind w:left="1005" w:right="0" w:hanging="205"/>
        <w:jc w:val="left"/>
        <w:rPr>
          <w:sz w:val="18"/>
        </w:rPr>
      </w:pPr>
      <w:r>
        <w:rPr>
          <w:sz w:val="18"/>
        </w:rPr>
        <w:t>Densidad de</w:t>
      </w:r>
      <w:r>
        <w:rPr>
          <w:spacing w:val="43"/>
          <w:sz w:val="18"/>
        </w:rPr>
        <w:t> </w:t>
      </w:r>
      <w:r>
        <w:rPr>
          <w:sz w:val="18"/>
        </w:rPr>
        <w:t>población</w:t>
      </w:r>
    </w:p>
    <w:p>
      <w:pPr>
        <w:pStyle w:val="ListParagraph"/>
        <w:numPr>
          <w:ilvl w:val="0"/>
          <w:numId w:val="7"/>
        </w:numPr>
        <w:tabs>
          <w:tab w:pos="1003" w:val="left" w:leader="none"/>
        </w:tabs>
        <w:spacing w:line="240" w:lineRule="auto" w:before="3" w:after="0"/>
        <w:ind w:left="1002" w:right="0" w:hanging="202"/>
        <w:jc w:val="left"/>
        <w:rPr>
          <w:sz w:val="18"/>
        </w:rPr>
      </w:pPr>
      <w:r>
        <w:rPr>
          <w:sz w:val="18"/>
        </w:rPr>
        <w:t>Nivel de urba</w:t>
      </w:r>
      <w:r>
        <w:rPr>
          <w:spacing w:val="-22"/>
          <w:sz w:val="18"/>
        </w:rPr>
        <w:t> </w:t>
      </w:r>
      <w:r>
        <w:rPr>
          <w:sz w:val="18"/>
        </w:rPr>
        <w:t>nización</w:t>
      </w:r>
    </w:p>
    <w:p>
      <w:pPr>
        <w:pStyle w:val="ListParagraph"/>
        <w:numPr>
          <w:ilvl w:val="0"/>
          <w:numId w:val="7"/>
        </w:numPr>
        <w:tabs>
          <w:tab w:pos="1009" w:val="left" w:leader="none"/>
        </w:tabs>
        <w:spacing w:line="240" w:lineRule="auto" w:before="18" w:after="0"/>
        <w:ind w:left="1008" w:right="0" w:hanging="208"/>
        <w:jc w:val="left"/>
        <w:rPr>
          <w:sz w:val="18"/>
        </w:rPr>
      </w:pPr>
      <w:r>
        <w:rPr>
          <w:sz w:val="18"/>
        </w:rPr>
        <w:t>Índice  de  dispersión</w:t>
      </w:r>
      <w:r>
        <w:rPr>
          <w:spacing w:val="-23"/>
          <w:sz w:val="18"/>
        </w:rPr>
        <w:t> </w:t>
      </w:r>
      <w:r>
        <w:rPr>
          <w:sz w:val="18"/>
        </w:rPr>
        <w:t>(Demangeon)</w:t>
      </w:r>
    </w:p>
    <w:p>
      <w:pPr>
        <w:pStyle w:val="ListParagraph"/>
        <w:numPr>
          <w:ilvl w:val="0"/>
          <w:numId w:val="7"/>
        </w:numPr>
        <w:tabs>
          <w:tab w:pos="1005" w:val="left" w:leader="none"/>
        </w:tabs>
        <w:spacing w:line="240" w:lineRule="auto" w:before="3" w:after="0"/>
        <w:ind w:left="1004" w:right="0" w:hanging="204"/>
        <w:jc w:val="left"/>
        <w:rPr>
          <w:sz w:val="18"/>
        </w:rPr>
      </w:pPr>
      <w:r>
        <w:rPr>
          <w:sz w:val="18"/>
        </w:rPr>
        <w:t>Índice de especialización económica </w:t>
      </w:r>
      <w:r>
        <w:rPr>
          <w:spacing w:val="35"/>
          <w:sz w:val="18"/>
        </w:rPr>
        <w:t> </w:t>
      </w:r>
      <w:r>
        <w:rPr>
          <w:sz w:val="18"/>
        </w:rPr>
        <w:t>(Nelson)</w:t>
      </w:r>
    </w:p>
    <w:p>
      <w:pPr>
        <w:pStyle w:val="ListParagraph"/>
        <w:numPr>
          <w:ilvl w:val="0"/>
          <w:numId w:val="7"/>
        </w:numPr>
        <w:tabs>
          <w:tab w:pos="1008" w:val="left" w:leader="none"/>
        </w:tabs>
        <w:spacing w:line="240" w:lineRule="auto" w:before="3" w:after="0"/>
        <w:ind w:left="1007" w:right="0" w:hanging="207"/>
        <w:jc w:val="left"/>
        <w:rPr>
          <w:sz w:val="18"/>
        </w:rPr>
      </w:pPr>
      <w:r>
        <w:rPr>
          <w:sz w:val="18"/>
        </w:rPr>
        <w:t>Expansión</w:t>
      </w:r>
      <w:r>
        <w:rPr>
          <w:spacing w:val="39"/>
          <w:sz w:val="18"/>
        </w:rPr>
        <w:t> </w:t>
      </w:r>
      <w:r>
        <w:rPr>
          <w:spacing w:val="2"/>
          <w:sz w:val="18"/>
        </w:rPr>
        <w:t>Urbana</w:t>
      </w:r>
    </w:p>
    <w:p>
      <w:pPr>
        <w:pStyle w:val="ListParagraph"/>
        <w:numPr>
          <w:ilvl w:val="0"/>
          <w:numId w:val="7"/>
        </w:numPr>
        <w:tabs>
          <w:tab w:pos="1005" w:val="left" w:leader="none"/>
        </w:tabs>
        <w:spacing w:line="240" w:lineRule="auto" w:before="18" w:after="0"/>
        <w:ind w:left="1004" w:right="0" w:hanging="204"/>
        <w:jc w:val="left"/>
        <w:rPr>
          <w:sz w:val="18"/>
        </w:rPr>
      </w:pPr>
      <w:r>
        <w:rPr>
          <w:sz w:val="18"/>
        </w:rPr>
        <w:t>Índice de</w:t>
      </w:r>
      <w:r>
        <w:rPr>
          <w:spacing w:val="21"/>
          <w:sz w:val="18"/>
        </w:rPr>
        <w:t> </w:t>
      </w:r>
      <w:r>
        <w:rPr>
          <w:sz w:val="18"/>
        </w:rPr>
        <w:t>primacía</w:t>
      </w:r>
    </w:p>
    <w:p>
      <w:pPr>
        <w:pStyle w:val="ListParagraph"/>
        <w:numPr>
          <w:ilvl w:val="0"/>
          <w:numId w:val="7"/>
        </w:numPr>
        <w:tabs>
          <w:tab w:pos="1008" w:val="left" w:leader="none"/>
        </w:tabs>
        <w:spacing w:line="240" w:lineRule="auto" w:before="3" w:after="0"/>
        <w:ind w:left="1007" w:right="0" w:hanging="207"/>
        <w:jc w:val="left"/>
        <w:rPr>
          <w:sz w:val="18"/>
        </w:rPr>
      </w:pPr>
      <w:r>
        <w:rPr>
          <w:sz w:val="18"/>
        </w:rPr>
        <w:t>Jerarquía Urbana, Mixta y Rural (Rangos 6 A  </w:t>
      </w:r>
      <w:r>
        <w:rPr>
          <w:spacing w:val="6"/>
          <w:sz w:val="18"/>
        </w:rPr>
        <w:t> </w:t>
      </w:r>
      <w:r>
        <w:rPr>
          <w:sz w:val="18"/>
        </w:rPr>
        <w:t>9)</w:t>
      </w:r>
    </w:p>
    <w:p>
      <w:pPr>
        <w:spacing w:after="0" w:line="240" w:lineRule="auto"/>
        <w:jc w:val="left"/>
        <w:rPr>
          <w:sz w:val="18"/>
        </w:rPr>
        <w:sectPr>
          <w:pgSz w:w="12240" w:h="15840"/>
          <w:pgMar w:header="0" w:footer="706" w:top="1280" w:bottom="900" w:left="1720" w:right="1720"/>
        </w:sectPr>
      </w:pPr>
    </w:p>
    <w:p>
      <w:pPr>
        <w:pStyle w:val="ListParagraph"/>
        <w:numPr>
          <w:ilvl w:val="0"/>
          <w:numId w:val="7"/>
        </w:numPr>
        <w:tabs>
          <w:tab w:pos="1004" w:val="left" w:leader="none"/>
        </w:tabs>
        <w:spacing w:line="240" w:lineRule="auto" w:before="66" w:after="0"/>
        <w:ind w:left="1003" w:right="0" w:hanging="203"/>
        <w:jc w:val="left"/>
        <w:rPr>
          <w:sz w:val="18"/>
        </w:rPr>
      </w:pPr>
      <w:r>
        <w:rPr>
          <w:sz w:val="18"/>
        </w:rPr>
        <w:t>Distribución Espacial de los </w:t>
      </w:r>
      <w:r>
        <w:rPr>
          <w:spacing w:val="29"/>
          <w:sz w:val="18"/>
        </w:rPr>
        <w:t> </w:t>
      </w:r>
      <w:r>
        <w:rPr>
          <w:sz w:val="18"/>
        </w:rPr>
        <w:t>Asentamientos</w:t>
      </w:r>
    </w:p>
    <w:p>
      <w:pPr>
        <w:pStyle w:val="ListParagraph"/>
        <w:numPr>
          <w:ilvl w:val="0"/>
          <w:numId w:val="7"/>
        </w:numPr>
        <w:tabs>
          <w:tab w:pos="1002" w:val="left" w:leader="none"/>
        </w:tabs>
        <w:spacing w:line="240" w:lineRule="auto" w:before="18" w:after="0"/>
        <w:ind w:left="1001" w:right="0" w:hanging="201"/>
        <w:jc w:val="left"/>
        <w:rPr>
          <w:sz w:val="18"/>
        </w:rPr>
      </w:pPr>
      <w:r>
        <w:rPr>
          <w:sz w:val="18"/>
        </w:rPr>
        <w:t>Cambio  de  Categoría</w:t>
      </w:r>
      <w:r>
        <w:rPr>
          <w:spacing w:val="-16"/>
          <w:sz w:val="18"/>
        </w:rPr>
        <w:t> </w:t>
      </w:r>
      <w:r>
        <w:rPr>
          <w:sz w:val="18"/>
        </w:rPr>
        <w:t>Rural-Urbana</w:t>
      </w:r>
    </w:p>
    <w:p>
      <w:pPr>
        <w:pStyle w:val="ListParagraph"/>
        <w:numPr>
          <w:ilvl w:val="0"/>
          <w:numId w:val="7"/>
        </w:numPr>
        <w:tabs>
          <w:tab w:pos="1106" w:val="left" w:leader="none"/>
        </w:tabs>
        <w:spacing w:line="240" w:lineRule="auto" w:before="3" w:after="0"/>
        <w:ind w:left="1105" w:right="0" w:hanging="305"/>
        <w:jc w:val="left"/>
        <w:rPr>
          <w:sz w:val="18"/>
        </w:rPr>
      </w:pPr>
      <w:r>
        <w:rPr>
          <w:sz w:val="18"/>
        </w:rPr>
        <w:t>Índice de consolidación urbano </w:t>
      </w:r>
      <w:r>
        <w:rPr>
          <w:spacing w:val="20"/>
          <w:sz w:val="18"/>
        </w:rPr>
        <w:t> </w:t>
      </w:r>
      <w:r>
        <w:rPr>
          <w:spacing w:val="2"/>
          <w:sz w:val="18"/>
        </w:rPr>
        <w:t>-regional</w:t>
      </w:r>
    </w:p>
    <w:p>
      <w:pPr>
        <w:pStyle w:val="ListParagraph"/>
        <w:numPr>
          <w:ilvl w:val="0"/>
          <w:numId w:val="7"/>
        </w:numPr>
        <w:tabs>
          <w:tab w:pos="1110" w:val="left" w:leader="none"/>
        </w:tabs>
        <w:spacing w:line="240" w:lineRule="auto" w:before="3" w:after="0"/>
        <w:ind w:left="1109" w:right="0" w:hanging="309"/>
        <w:jc w:val="left"/>
        <w:rPr>
          <w:sz w:val="18"/>
        </w:rPr>
      </w:pPr>
      <w:r>
        <w:rPr>
          <w:spacing w:val="2"/>
          <w:sz w:val="18"/>
        </w:rPr>
        <w:t>Densidad </w:t>
      </w:r>
      <w:r>
        <w:rPr>
          <w:sz w:val="18"/>
        </w:rPr>
        <w:t>de la Red</w:t>
      </w:r>
      <w:r>
        <w:rPr>
          <w:spacing w:val="33"/>
          <w:sz w:val="18"/>
        </w:rPr>
        <w:t> </w:t>
      </w:r>
      <w:r>
        <w:rPr>
          <w:spacing w:val="3"/>
          <w:sz w:val="18"/>
        </w:rPr>
        <w:t>Vial</w:t>
      </w:r>
    </w:p>
    <w:p>
      <w:pPr>
        <w:pStyle w:val="ListParagraph"/>
        <w:numPr>
          <w:ilvl w:val="0"/>
          <w:numId w:val="7"/>
        </w:numPr>
        <w:tabs>
          <w:tab w:pos="1109" w:val="left" w:leader="none"/>
        </w:tabs>
        <w:spacing w:line="240" w:lineRule="auto" w:before="18" w:after="0"/>
        <w:ind w:left="1108" w:right="0" w:hanging="308"/>
        <w:jc w:val="left"/>
        <w:rPr>
          <w:sz w:val="18"/>
        </w:rPr>
      </w:pPr>
      <w:r>
        <w:rPr>
          <w:spacing w:val="2"/>
          <w:sz w:val="18"/>
        </w:rPr>
        <w:t>Cobertura Territorial </w:t>
      </w:r>
      <w:r>
        <w:rPr>
          <w:sz w:val="18"/>
        </w:rPr>
        <w:t>de la</w:t>
      </w:r>
      <w:r>
        <w:rPr>
          <w:spacing w:val="42"/>
          <w:sz w:val="18"/>
        </w:rPr>
        <w:t> </w:t>
      </w:r>
      <w:r>
        <w:rPr>
          <w:spacing w:val="3"/>
          <w:sz w:val="18"/>
        </w:rPr>
        <w:t>Red</w:t>
      </w:r>
    </w:p>
    <w:p>
      <w:pPr>
        <w:pStyle w:val="ListParagraph"/>
        <w:numPr>
          <w:ilvl w:val="0"/>
          <w:numId w:val="7"/>
        </w:numPr>
        <w:tabs>
          <w:tab w:pos="1107" w:val="left" w:leader="none"/>
        </w:tabs>
        <w:spacing w:line="240" w:lineRule="auto" w:before="3" w:after="0"/>
        <w:ind w:left="1106" w:right="0" w:hanging="306"/>
        <w:jc w:val="left"/>
        <w:rPr>
          <w:sz w:val="18"/>
        </w:rPr>
      </w:pPr>
      <w:r>
        <w:rPr>
          <w:spacing w:val="2"/>
          <w:sz w:val="18"/>
        </w:rPr>
        <w:t>Cobertura demográfica </w:t>
      </w:r>
      <w:r>
        <w:rPr>
          <w:sz w:val="18"/>
        </w:rPr>
        <w:t>de la</w:t>
      </w:r>
      <w:r>
        <w:rPr>
          <w:spacing w:val="32"/>
          <w:sz w:val="18"/>
        </w:rPr>
        <w:t> </w:t>
      </w:r>
      <w:r>
        <w:rPr>
          <w:spacing w:val="3"/>
          <w:sz w:val="18"/>
        </w:rPr>
        <w:t>red</w:t>
      </w:r>
    </w:p>
    <w:p>
      <w:pPr>
        <w:pStyle w:val="BodyText"/>
      </w:pPr>
    </w:p>
    <w:p>
      <w:pPr>
        <w:pStyle w:val="BodyText"/>
        <w:spacing w:before="1"/>
        <w:rPr>
          <w:sz w:val="20"/>
        </w:rPr>
      </w:pPr>
    </w:p>
    <w:p>
      <w:pPr>
        <w:pStyle w:val="Heading1"/>
        <w:numPr>
          <w:ilvl w:val="0"/>
          <w:numId w:val="3"/>
        </w:numPr>
        <w:tabs>
          <w:tab w:pos="633" w:val="left" w:leader="none"/>
        </w:tabs>
        <w:spacing w:line="240" w:lineRule="auto" w:before="0" w:after="0"/>
        <w:ind w:left="632" w:right="0" w:hanging="237"/>
        <w:jc w:val="left"/>
      </w:pPr>
      <w:r>
        <w:rPr/>
        <w:t>INDICADORES  DEL  SUBSISTEMA</w:t>
      </w:r>
      <w:r>
        <w:rPr>
          <w:spacing w:val="23"/>
        </w:rPr>
        <w:t> </w:t>
      </w:r>
      <w:r>
        <w:rPr/>
        <w:t>ECONOMICO</w:t>
      </w:r>
    </w:p>
    <w:p>
      <w:pPr>
        <w:pStyle w:val="BodyText"/>
        <w:spacing w:before="9"/>
        <w:rPr>
          <w:b/>
          <w:sz w:val="19"/>
        </w:rPr>
      </w:pPr>
    </w:p>
    <w:p>
      <w:pPr>
        <w:pStyle w:val="BodyText"/>
        <w:spacing w:line="242" w:lineRule="auto"/>
        <w:ind w:left="395" w:right="649"/>
      </w:pPr>
      <w:r>
        <w:rPr/>
        <w:t>El </w:t>
      </w:r>
      <w:r>
        <w:rPr>
          <w:spacing w:val="2"/>
        </w:rPr>
        <w:t>análisis </w:t>
      </w:r>
      <w:r>
        <w:rPr/>
        <w:t>y </w:t>
      </w:r>
      <w:r>
        <w:rPr>
          <w:spacing w:val="2"/>
        </w:rPr>
        <w:t>caracterización </w:t>
      </w:r>
      <w:r>
        <w:rPr/>
        <w:t>del </w:t>
      </w:r>
      <w:r>
        <w:rPr>
          <w:spacing w:val="2"/>
        </w:rPr>
        <w:t>subsistema económico </w:t>
      </w:r>
      <w:r>
        <w:rPr>
          <w:spacing w:val="-3"/>
        </w:rPr>
        <w:t>para </w:t>
      </w:r>
      <w:r>
        <w:rPr/>
        <w:t>el Ordenamiento Territorial tiene como  objetivos</w:t>
      </w:r>
      <w:r>
        <w:rPr>
          <w:spacing w:val="32"/>
        </w:rPr>
        <w:t> </w:t>
      </w:r>
      <w:r>
        <w:rPr/>
        <w:t>generales:</w:t>
      </w:r>
    </w:p>
    <w:p>
      <w:pPr>
        <w:pStyle w:val="BodyText"/>
        <w:spacing w:before="7"/>
        <w:rPr>
          <w:sz w:val="19"/>
        </w:rPr>
      </w:pPr>
    </w:p>
    <w:p>
      <w:pPr>
        <w:pStyle w:val="ListParagraph"/>
        <w:numPr>
          <w:ilvl w:val="0"/>
          <w:numId w:val="8"/>
        </w:numPr>
        <w:tabs>
          <w:tab w:pos="1579" w:val="left" w:leader="none"/>
          <w:tab w:pos="1580" w:val="left" w:leader="none"/>
        </w:tabs>
        <w:spacing w:line="252" w:lineRule="auto" w:before="0" w:after="0"/>
        <w:ind w:left="1070" w:right="409" w:firstLine="0"/>
        <w:jc w:val="left"/>
        <w:rPr>
          <w:sz w:val="18"/>
        </w:rPr>
      </w:pPr>
      <w:r>
        <w:rPr>
          <w:sz w:val="18"/>
        </w:rPr>
        <w:t>Identificar, integrar y localizar los elementos,  características  y  procesos  del  sistema económico (internas y externas) que permitan obtener una comprensión </w:t>
      </w:r>
      <w:r>
        <w:rPr>
          <w:spacing w:val="2"/>
          <w:sz w:val="18"/>
        </w:rPr>
        <w:t>global    </w:t>
      </w:r>
      <w:r>
        <w:rPr>
          <w:sz w:val="18"/>
        </w:rPr>
        <w:t>de la estructura, organización  y  funcionamiento  del</w:t>
      </w:r>
      <w:r>
        <w:rPr>
          <w:spacing w:val="-20"/>
          <w:sz w:val="18"/>
        </w:rPr>
        <w:t> </w:t>
      </w:r>
      <w:r>
        <w:rPr>
          <w:sz w:val="18"/>
        </w:rPr>
        <w:t>territorio.</w:t>
      </w:r>
    </w:p>
    <w:p>
      <w:pPr>
        <w:pStyle w:val="ListParagraph"/>
        <w:numPr>
          <w:ilvl w:val="0"/>
          <w:numId w:val="8"/>
        </w:numPr>
        <w:tabs>
          <w:tab w:pos="1580" w:val="left" w:leader="none"/>
        </w:tabs>
        <w:spacing w:line="242" w:lineRule="auto" w:before="8" w:after="0"/>
        <w:ind w:left="1070" w:right="427" w:firstLine="0"/>
        <w:jc w:val="both"/>
        <w:rPr>
          <w:sz w:val="18"/>
        </w:rPr>
      </w:pPr>
      <w:r>
        <w:rPr>
          <w:sz w:val="18"/>
        </w:rPr>
        <w:t>Detectar las potencialidades, limitantes  y  problemas  para  la  evaluación  integral del territorio tomando en cuenta la imagen objetivo preliminar y los procesos globales       en los que </w:t>
      </w:r>
      <w:r>
        <w:rPr>
          <w:spacing w:val="2"/>
          <w:sz w:val="18"/>
        </w:rPr>
        <w:t>éste </w:t>
      </w:r>
      <w:r>
        <w:rPr>
          <w:sz w:val="18"/>
        </w:rPr>
        <w:t>se</w:t>
      </w:r>
      <w:r>
        <w:rPr>
          <w:spacing w:val="35"/>
          <w:sz w:val="18"/>
        </w:rPr>
        <w:t> </w:t>
      </w:r>
      <w:r>
        <w:rPr>
          <w:spacing w:val="3"/>
          <w:sz w:val="18"/>
        </w:rPr>
        <w:t>inserta.</w:t>
      </w:r>
    </w:p>
    <w:p>
      <w:pPr>
        <w:pStyle w:val="BodyText"/>
        <w:spacing w:before="7"/>
        <w:rPr>
          <w:sz w:val="19"/>
        </w:rPr>
      </w:pPr>
    </w:p>
    <w:p>
      <w:pPr>
        <w:pStyle w:val="BodyText"/>
        <w:ind w:left="395" w:right="464"/>
      </w:pPr>
      <w:r>
        <w:rPr/>
        <w:t>Por lo tanto, los elem entos clave del análisis económico son los   siguientes:</w:t>
      </w:r>
    </w:p>
    <w:p>
      <w:pPr>
        <w:pStyle w:val="BodyText"/>
        <w:spacing w:before="9"/>
        <w:rPr>
          <w:sz w:val="19"/>
        </w:rPr>
      </w:pPr>
    </w:p>
    <w:p>
      <w:pPr>
        <w:pStyle w:val="ListParagraph"/>
        <w:numPr>
          <w:ilvl w:val="1"/>
          <w:numId w:val="3"/>
        </w:numPr>
        <w:tabs>
          <w:tab w:pos="1069" w:val="left" w:leader="none"/>
          <w:tab w:pos="1070" w:val="left" w:leader="none"/>
        </w:tabs>
        <w:spacing w:line="240" w:lineRule="auto" w:before="0" w:after="0"/>
        <w:ind w:left="665" w:right="0" w:firstLine="0"/>
        <w:jc w:val="left"/>
        <w:rPr>
          <w:sz w:val="18"/>
        </w:rPr>
      </w:pPr>
      <w:r>
        <w:rPr>
          <w:sz w:val="18"/>
        </w:rPr>
        <w:t>Procesos globales que afectan el territorio   </w:t>
      </w:r>
      <w:r>
        <w:rPr>
          <w:spacing w:val="20"/>
          <w:sz w:val="18"/>
        </w:rPr>
        <w:t> </w:t>
      </w:r>
      <w:r>
        <w:rPr>
          <w:sz w:val="18"/>
        </w:rPr>
        <w:t>(externos).</w:t>
      </w:r>
    </w:p>
    <w:p>
      <w:pPr>
        <w:pStyle w:val="ListParagraph"/>
        <w:numPr>
          <w:ilvl w:val="1"/>
          <w:numId w:val="3"/>
        </w:numPr>
        <w:tabs>
          <w:tab w:pos="1069" w:val="left" w:leader="none"/>
          <w:tab w:pos="1070" w:val="left" w:leader="none"/>
        </w:tabs>
        <w:spacing w:line="242" w:lineRule="auto" w:before="3" w:after="0"/>
        <w:ind w:left="665" w:right="1025" w:firstLine="0"/>
        <w:jc w:val="left"/>
        <w:rPr>
          <w:sz w:val="18"/>
        </w:rPr>
      </w:pPr>
      <w:r>
        <w:rPr>
          <w:sz w:val="18"/>
        </w:rPr>
        <w:t>Papel del territorio en el contexto regional, nacional, internacional (estado actual, dinámica  y</w:t>
      </w:r>
      <w:r>
        <w:rPr>
          <w:spacing w:val="18"/>
          <w:sz w:val="18"/>
        </w:rPr>
        <w:t> </w:t>
      </w:r>
      <w:r>
        <w:rPr>
          <w:sz w:val="18"/>
        </w:rPr>
        <w:t>tendencias).</w:t>
      </w:r>
    </w:p>
    <w:p>
      <w:pPr>
        <w:pStyle w:val="ListParagraph"/>
        <w:numPr>
          <w:ilvl w:val="1"/>
          <w:numId w:val="3"/>
        </w:numPr>
        <w:tabs>
          <w:tab w:pos="1069" w:val="left" w:leader="none"/>
          <w:tab w:pos="1070" w:val="left" w:leader="none"/>
        </w:tabs>
        <w:spacing w:line="240" w:lineRule="auto" w:before="16" w:after="0"/>
        <w:ind w:left="1070" w:right="0" w:hanging="405"/>
        <w:jc w:val="left"/>
        <w:rPr>
          <w:sz w:val="18"/>
        </w:rPr>
      </w:pPr>
      <w:r>
        <w:rPr>
          <w:sz w:val="18"/>
        </w:rPr>
        <w:t>Estructura de la tenencia de la </w:t>
      </w:r>
      <w:r>
        <w:rPr>
          <w:spacing w:val="22"/>
          <w:sz w:val="18"/>
        </w:rPr>
        <w:t> </w:t>
      </w:r>
      <w:r>
        <w:rPr>
          <w:spacing w:val="3"/>
          <w:sz w:val="18"/>
        </w:rPr>
        <w:t>tierra.</w:t>
      </w:r>
    </w:p>
    <w:p>
      <w:pPr>
        <w:pStyle w:val="ListParagraph"/>
        <w:numPr>
          <w:ilvl w:val="1"/>
          <w:numId w:val="3"/>
        </w:numPr>
        <w:tabs>
          <w:tab w:pos="1069" w:val="left" w:leader="none"/>
          <w:tab w:pos="1070" w:val="left" w:leader="none"/>
        </w:tabs>
        <w:spacing w:line="242" w:lineRule="auto" w:before="3" w:after="0"/>
        <w:ind w:left="665" w:right="533" w:firstLine="0"/>
        <w:jc w:val="left"/>
        <w:rPr>
          <w:sz w:val="18"/>
        </w:rPr>
      </w:pPr>
      <w:r>
        <w:rPr>
          <w:sz w:val="18"/>
        </w:rPr>
        <w:t>Estructura económica del territorio: procesos de localización y patrones de </w:t>
      </w:r>
      <w:r>
        <w:rPr>
          <w:spacing w:val="2"/>
          <w:sz w:val="18"/>
        </w:rPr>
        <w:t>distribución   </w:t>
      </w:r>
      <w:r>
        <w:rPr>
          <w:sz w:val="18"/>
        </w:rPr>
        <w:t>de las actividades económicas y competitividad del   </w:t>
      </w:r>
      <w:r>
        <w:rPr>
          <w:spacing w:val="35"/>
          <w:sz w:val="18"/>
        </w:rPr>
        <w:t> </w:t>
      </w:r>
      <w:r>
        <w:rPr>
          <w:sz w:val="18"/>
        </w:rPr>
        <w:t>territorio.</w:t>
      </w:r>
    </w:p>
    <w:p>
      <w:pPr>
        <w:pStyle w:val="ListParagraph"/>
        <w:numPr>
          <w:ilvl w:val="1"/>
          <w:numId w:val="3"/>
        </w:numPr>
        <w:tabs>
          <w:tab w:pos="1069" w:val="left" w:leader="none"/>
          <w:tab w:pos="1070" w:val="left" w:leader="none"/>
        </w:tabs>
        <w:spacing w:line="240" w:lineRule="auto" w:before="16" w:after="0"/>
        <w:ind w:left="1070" w:right="0" w:hanging="405"/>
        <w:jc w:val="left"/>
        <w:rPr>
          <w:sz w:val="18"/>
        </w:rPr>
      </w:pPr>
      <w:r>
        <w:rPr>
          <w:spacing w:val="2"/>
          <w:sz w:val="18"/>
        </w:rPr>
        <w:t>Flujos económicos </w:t>
      </w:r>
      <w:r>
        <w:rPr>
          <w:sz w:val="18"/>
        </w:rPr>
        <w:t>del </w:t>
      </w:r>
      <w:r>
        <w:rPr>
          <w:spacing w:val="2"/>
          <w:sz w:val="18"/>
        </w:rPr>
        <w:t>territorio: estructura </w:t>
      </w:r>
      <w:r>
        <w:rPr>
          <w:sz w:val="18"/>
        </w:rPr>
        <w:t>de </w:t>
      </w:r>
      <w:r>
        <w:rPr>
          <w:spacing w:val="2"/>
          <w:sz w:val="18"/>
        </w:rPr>
        <w:t>transporte </w:t>
      </w:r>
      <w:r>
        <w:rPr>
          <w:sz w:val="18"/>
        </w:rPr>
        <w:t>y red de  </w:t>
      </w:r>
      <w:r>
        <w:rPr>
          <w:spacing w:val="35"/>
          <w:sz w:val="18"/>
        </w:rPr>
        <w:t> </w:t>
      </w:r>
      <w:r>
        <w:rPr>
          <w:spacing w:val="3"/>
          <w:sz w:val="18"/>
        </w:rPr>
        <w:t>mercados</w:t>
      </w:r>
    </w:p>
    <w:p>
      <w:pPr>
        <w:pStyle w:val="ListParagraph"/>
        <w:numPr>
          <w:ilvl w:val="1"/>
          <w:numId w:val="3"/>
        </w:numPr>
        <w:tabs>
          <w:tab w:pos="1069" w:val="left" w:leader="none"/>
          <w:tab w:pos="1070" w:val="left" w:leader="none"/>
        </w:tabs>
        <w:spacing w:line="240" w:lineRule="auto" w:before="3" w:after="0"/>
        <w:ind w:left="1070" w:right="0" w:hanging="405"/>
        <w:jc w:val="left"/>
        <w:rPr>
          <w:sz w:val="18"/>
        </w:rPr>
      </w:pPr>
      <w:r>
        <w:rPr>
          <w:sz w:val="18"/>
        </w:rPr>
        <w:t>Procesos y grados de </w:t>
      </w:r>
      <w:r>
        <w:rPr>
          <w:spacing w:val="2"/>
          <w:sz w:val="18"/>
        </w:rPr>
        <w:t>integración económica </w:t>
      </w:r>
      <w:r>
        <w:rPr>
          <w:sz w:val="18"/>
        </w:rPr>
        <w:t>del  </w:t>
      </w:r>
      <w:r>
        <w:rPr>
          <w:spacing w:val="2"/>
          <w:sz w:val="18"/>
        </w:rPr>
        <w:t> </w:t>
      </w:r>
      <w:r>
        <w:rPr>
          <w:spacing w:val="3"/>
          <w:sz w:val="18"/>
        </w:rPr>
        <w:t>territorio.</w:t>
      </w:r>
    </w:p>
    <w:p>
      <w:pPr>
        <w:pStyle w:val="ListParagraph"/>
        <w:numPr>
          <w:ilvl w:val="1"/>
          <w:numId w:val="3"/>
        </w:numPr>
        <w:tabs>
          <w:tab w:pos="1069" w:val="left" w:leader="none"/>
          <w:tab w:pos="1070" w:val="left" w:leader="none"/>
        </w:tabs>
        <w:spacing w:line="240" w:lineRule="auto" w:before="3" w:after="0"/>
        <w:ind w:left="1070" w:right="0" w:hanging="405"/>
        <w:jc w:val="left"/>
        <w:rPr>
          <w:sz w:val="18"/>
        </w:rPr>
      </w:pPr>
      <w:r>
        <w:rPr>
          <w:sz w:val="18"/>
        </w:rPr>
        <w:t>Sostenibilidad de las actividades </w:t>
      </w:r>
      <w:r>
        <w:rPr>
          <w:spacing w:val="42"/>
          <w:sz w:val="18"/>
        </w:rPr>
        <w:t> </w:t>
      </w:r>
      <w:r>
        <w:rPr>
          <w:spacing w:val="2"/>
          <w:sz w:val="18"/>
        </w:rPr>
        <w:t>productivas.</w:t>
      </w:r>
    </w:p>
    <w:p>
      <w:pPr>
        <w:pStyle w:val="BodyText"/>
        <w:spacing w:before="9"/>
        <w:rPr>
          <w:sz w:val="19"/>
        </w:rPr>
      </w:pPr>
    </w:p>
    <w:p>
      <w:pPr>
        <w:pStyle w:val="BodyText"/>
        <w:spacing w:line="242" w:lineRule="auto"/>
        <w:ind w:left="395" w:right="464"/>
      </w:pPr>
      <w:r>
        <w:rPr/>
        <w:t>Entre los indicadores para caracterizar al medio económico se han definido preliminarmente los  siguientes  (ejemplos):</w:t>
      </w:r>
    </w:p>
    <w:p>
      <w:pPr>
        <w:pStyle w:val="BodyText"/>
        <w:spacing w:before="7"/>
        <w:rPr>
          <w:sz w:val="19"/>
        </w:rPr>
      </w:pPr>
    </w:p>
    <w:p>
      <w:pPr>
        <w:pStyle w:val="ListParagraph"/>
        <w:numPr>
          <w:ilvl w:val="0"/>
          <w:numId w:val="9"/>
        </w:numPr>
        <w:tabs>
          <w:tab w:pos="614" w:val="left" w:leader="none"/>
        </w:tabs>
        <w:spacing w:line="252" w:lineRule="auto" w:before="0" w:after="0"/>
        <w:ind w:left="800" w:right="1308" w:hanging="350"/>
        <w:jc w:val="left"/>
        <w:rPr>
          <w:sz w:val="18"/>
        </w:rPr>
      </w:pPr>
      <w:r>
        <w:rPr>
          <w:b/>
          <w:sz w:val="18"/>
        </w:rPr>
        <w:t>Indicadores estadísticos de intensidad de ocupación </w:t>
      </w:r>
      <w:r>
        <w:rPr>
          <w:b/>
          <w:spacing w:val="2"/>
          <w:sz w:val="18"/>
        </w:rPr>
        <w:t>económica </w:t>
      </w:r>
      <w:r>
        <w:rPr>
          <w:b/>
          <w:sz w:val="18"/>
        </w:rPr>
        <w:t>del </w:t>
      </w:r>
      <w:r>
        <w:rPr>
          <w:b/>
          <w:spacing w:val="3"/>
          <w:sz w:val="18"/>
        </w:rPr>
        <w:t>territorio </w:t>
      </w:r>
      <w:r>
        <w:rPr>
          <w:sz w:val="18"/>
        </w:rPr>
        <w:t>1.Complejidad territorial de la administración agropecuaria y forestal (CTAAF) 2.Intensidad de utilización agropecuaria del territorio   </w:t>
      </w:r>
      <w:r>
        <w:rPr>
          <w:spacing w:val="18"/>
          <w:sz w:val="18"/>
        </w:rPr>
        <w:t> </w:t>
      </w:r>
      <w:r>
        <w:rPr>
          <w:spacing w:val="2"/>
          <w:sz w:val="18"/>
        </w:rPr>
        <w:t>(IUAT)</w:t>
      </w:r>
    </w:p>
    <w:p>
      <w:pPr>
        <w:pStyle w:val="ListParagraph"/>
        <w:numPr>
          <w:ilvl w:val="2"/>
          <w:numId w:val="3"/>
        </w:numPr>
        <w:tabs>
          <w:tab w:pos="957" w:val="left" w:leader="none"/>
        </w:tabs>
        <w:spacing w:line="200" w:lineRule="exact" w:before="0" w:after="0"/>
        <w:ind w:left="956" w:right="0" w:hanging="156"/>
        <w:jc w:val="left"/>
        <w:rPr>
          <w:sz w:val="18"/>
        </w:rPr>
      </w:pPr>
      <w:r>
        <w:rPr>
          <w:sz w:val="18"/>
        </w:rPr>
        <w:t>Concentración territorial de la producción agropecuaria   </w:t>
      </w:r>
      <w:r>
        <w:rPr>
          <w:spacing w:val="4"/>
          <w:sz w:val="18"/>
        </w:rPr>
        <w:t> </w:t>
      </w:r>
      <w:r>
        <w:rPr>
          <w:spacing w:val="2"/>
          <w:sz w:val="18"/>
        </w:rPr>
        <w:t>(CTAA)</w:t>
      </w:r>
    </w:p>
    <w:p>
      <w:pPr>
        <w:pStyle w:val="ListParagraph"/>
        <w:numPr>
          <w:ilvl w:val="2"/>
          <w:numId w:val="3"/>
        </w:numPr>
        <w:tabs>
          <w:tab w:pos="1010" w:val="left" w:leader="none"/>
        </w:tabs>
        <w:spacing w:line="240" w:lineRule="auto" w:before="18" w:after="0"/>
        <w:ind w:left="1009" w:right="0" w:hanging="209"/>
        <w:jc w:val="left"/>
        <w:rPr>
          <w:sz w:val="18"/>
        </w:rPr>
      </w:pPr>
      <w:r>
        <w:rPr>
          <w:sz w:val="18"/>
        </w:rPr>
        <w:t>Concentración territorial de la actividad forestal  </w:t>
      </w:r>
      <w:r>
        <w:rPr>
          <w:spacing w:val="44"/>
          <w:sz w:val="18"/>
        </w:rPr>
        <w:t> </w:t>
      </w:r>
      <w:r>
        <w:rPr>
          <w:spacing w:val="2"/>
          <w:sz w:val="18"/>
        </w:rPr>
        <w:t>(CTAF)</w:t>
      </w:r>
    </w:p>
    <w:p>
      <w:pPr>
        <w:pStyle w:val="ListParagraph"/>
        <w:numPr>
          <w:ilvl w:val="2"/>
          <w:numId w:val="3"/>
        </w:numPr>
        <w:tabs>
          <w:tab w:pos="1062" w:val="left" w:leader="none"/>
        </w:tabs>
        <w:spacing w:line="240" w:lineRule="auto" w:before="18" w:after="0"/>
        <w:ind w:left="1061" w:right="0" w:hanging="261"/>
        <w:jc w:val="left"/>
        <w:rPr>
          <w:sz w:val="18"/>
        </w:rPr>
      </w:pPr>
      <w:r>
        <w:rPr>
          <w:spacing w:val="2"/>
          <w:sz w:val="18"/>
        </w:rPr>
        <w:t>Concentración municipal </w:t>
      </w:r>
      <w:r>
        <w:rPr>
          <w:sz w:val="18"/>
        </w:rPr>
        <w:t>de la </w:t>
      </w:r>
      <w:r>
        <w:rPr>
          <w:spacing w:val="2"/>
          <w:sz w:val="18"/>
        </w:rPr>
        <w:t>pesca </w:t>
      </w:r>
      <w:r>
        <w:rPr>
          <w:spacing w:val="37"/>
          <w:sz w:val="18"/>
        </w:rPr>
        <w:t> </w:t>
      </w:r>
      <w:r>
        <w:rPr>
          <w:spacing w:val="3"/>
          <w:sz w:val="18"/>
        </w:rPr>
        <w:t>(CMP)</w:t>
      </w:r>
    </w:p>
    <w:p>
      <w:pPr>
        <w:pStyle w:val="ListParagraph"/>
        <w:numPr>
          <w:ilvl w:val="2"/>
          <w:numId w:val="3"/>
        </w:numPr>
        <w:tabs>
          <w:tab w:pos="1008" w:val="left" w:leader="none"/>
        </w:tabs>
        <w:spacing w:line="240" w:lineRule="auto" w:before="3" w:after="0"/>
        <w:ind w:left="1007" w:right="0" w:hanging="207"/>
        <w:jc w:val="left"/>
        <w:rPr>
          <w:sz w:val="18"/>
        </w:rPr>
      </w:pPr>
      <w:r>
        <w:rPr>
          <w:sz w:val="18"/>
        </w:rPr>
        <w:t>Intensidad del uso minero del territorio  </w:t>
      </w:r>
      <w:r>
        <w:rPr>
          <w:spacing w:val="4"/>
          <w:sz w:val="18"/>
        </w:rPr>
        <w:t> </w:t>
      </w:r>
      <w:r>
        <w:rPr>
          <w:sz w:val="18"/>
        </w:rPr>
        <w:t>(IUMT)</w:t>
      </w:r>
    </w:p>
    <w:p>
      <w:pPr>
        <w:pStyle w:val="ListParagraph"/>
        <w:numPr>
          <w:ilvl w:val="2"/>
          <w:numId w:val="3"/>
        </w:numPr>
        <w:tabs>
          <w:tab w:pos="1007" w:val="left" w:leader="none"/>
        </w:tabs>
        <w:spacing w:line="240" w:lineRule="auto" w:before="3" w:after="0"/>
        <w:ind w:left="1006" w:right="0" w:hanging="206"/>
        <w:jc w:val="left"/>
        <w:rPr>
          <w:sz w:val="18"/>
        </w:rPr>
      </w:pPr>
      <w:r>
        <w:rPr>
          <w:sz w:val="18"/>
        </w:rPr>
        <w:t>Concentración territorial de actividades extractivas   </w:t>
      </w:r>
      <w:r>
        <w:rPr>
          <w:spacing w:val="14"/>
          <w:sz w:val="18"/>
        </w:rPr>
        <w:t> </w:t>
      </w:r>
      <w:r>
        <w:rPr>
          <w:spacing w:val="2"/>
          <w:sz w:val="18"/>
        </w:rPr>
        <w:t>(CTAE)</w:t>
      </w:r>
    </w:p>
    <w:p>
      <w:pPr>
        <w:pStyle w:val="ListParagraph"/>
        <w:numPr>
          <w:ilvl w:val="2"/>
          <w:numId w:val="3"/>
        </w:numPr>
        <w:tabs>
          <w:tab w:pos="1003" w:val="left" w:leader="none"/>
        </w:tabs>
        <w:spacing w:line="240" w:lineRule="auto" w:before="18" w:after="0"/>
        <w:ind w:left="1002" w:right="0" w:hanging="202"/>
        <w:jc w:val="left"/>
        <w:rPr>
          <w:sz w:val="18"/>
        </w:rPr>
      </w:pPr>
      <w:r>
        <w:rPr>
          <w:sz w:val="18"/>
        </w:rPr>
        <w:t>Concentración territorial de la industria  </w:t>
      </w:r>
      <w:r>
        <w:rPr>
          <w:spacing w:val="9"/>
          <w:sz w:val="18"/>
        </w:rPr>
        <w:t> </w:t>
      </w:r>
      <w:r>
        <w:rPr>
          <w:sz w:val="18"/>
        </w:rPr>
        <w:t>(CTI)</w:t>
      </w:r>
    </w:p>
    <w:p>
      <w:pPr>
        <w:pStyle w:val="ListParagraph"/>
        <w:numPr>
          <w:ilvl w:val="2"/>
          <w:numId w:val="3"/>
        </w:numPr>
        <w:tabs>
          <w:tab w:pos="990" w:val="left" w:leader="none"/>
        </w:tabs>
        <w:spacing w:line="240" w:lineRule="auto" w:before="3" w:after="0"/>
        <w:ind w:left="989" w:right="0" w:hanging="189"/>
        <w:jc w:val="left"/>
        <w:rPr>
          <w:sz w:val="18"/>
        </w:rPr>
      </w:pPr>
      <w:r>
        <w:rPr>
          <w:spacing w:val="2"/>
          <w:sz w:val="18"/>
        </w:rPr>
        <w:t>Concentración territorial </w:t>
      </w:r>
      <w:r>
        <w:rPr>
          <w:sz w:val="18"/>
        </w:rPr>
        <w:t>del </w:t>
      </w:r>
      <w:r>
        <w:rPr>
          <w:spacing w:val="2"/>
          <w:sz w:val="18"/>
        </w:rPr>
        <w:t>transporte </w:t>
      </w:r>
      <w:r>
        <w:rPr>
          <w:sz w:val="18"/>
        </w:rPr>
        <w:t>y las </w:t>
      </w:r>
      <w:r>
        <w:rPr>
          <w:spacing w:val="2"/>
          <w:sz w:val="18"/>
        </w:rPr>
        <w:t>comunicaciones   </w:t>
      </w:r>
      <w:r>
        <w:rPr>
          <w:spacing w:val="3"/>
          <w:sz w:val="18"/>
        </w:rPr>
        <w:t>(CTTC)</w:t>
      </w:r>
    </w:p>
    <w:p>
      <w:pPr>
        <w:pStyle w:val="ListParagraph"/>
        <w:numPr>
          <w:ilvl w:val="2"/>
          <w:numId w:val="3"/>
        </w:numPr>
        <w:tabs>
          <w:tab w:pos="1145" w:val="left" w:leader="none"/>
        </w:tabs>
        <w:spacing w:line="240" w:lineRule="auto" w:before="3" w:after="0"/>
        <w:ind w:left="1145" w:right="0" w:hanging="345"/>
        <w:jc w:val="left"/>
        <w:rPr>
          <w:sz w:val="18"/>
        </w:rPr>
      </w:pPr>
      <w:r>
        <w:rPr>
          <w:sz w:val="18"/>
        </w:rPr>
        <w:t>Concentración  territorial del comercio </w:t>
      </w:r>
      <w:r>
        <w:rPr>
          <w:spacing w:val="41"/>
          <w:sz w:val="18"/>
        </w:rPr>
        <w:t> </w:t>
      </w:r>
      <w:r>
        <w:rPr>
          <w:sz w:val="18"/>
        </w:rPr>
        <w:t>(CTC)</w:t>
      </w:r>
    </w:p>
    <w:p>
      <w:pPr>
        <w:pStyle w:val="ListParagraph"/>
        <w:numPr>
          <w:ilvl w:val="2"/>
          <w:numId w:val="3"/>
        </w:numPr>
        <w:tabs>
          <w:tab w:pos="1107" w:val="left" w:leader="none"/>
        </w:tabs>
        <w:spacing w:line="240" w:lineRule="auto" w:before="18" w:after="0"/>
        <w:ind w:left="1107" w:right="0" w:hanging="307"/>
        <w:jc w:val="left"/>
        <w:rPr>
          <w:sz w:val="18"/>
        </w:rPr>
      </w:pPr>
      <w:r>
        <w:rPr>
          <w:sz w:val="18"/>
        </w:rPr>
        <w:t>Concentración territorial de los servicios  </w:t>
      </w:r>
      <w:r>
        <w:rPr>
          <w:spacing w:val="14"/>
          <w:sz w:val="18"/>
        </w:rPr>
        <w:t> </w:t>
      </w:r>
      <w:r>
        <w:rPr>
          <w:sz w:val="18"/>
        </w:rPr>
        <w:t>(CTS)</w:t>
      </w:r>
    </w:p>
    <w:p>
      <w:pPr>
        <w:pStyle w:val="ListParagraph"/>
        <w:numPr>
          <w:ilvl w:val="2"/>
          <w:numId w:val="3"/>
        </w:numPr>
        <w:tabs>
          <w:tab w:pos="1107" w:val="left" w:leader="none"/>
        </w:tabs>
        <w:spacing w:line="240" w:lineRule="auto" w:before="3" w:after="0"/>
        <w:ind w:left="1106" w:right="0" w:hanging="306"/>
        <w:jc w:val="left"/>
        <w:rPr>
          <w:sz w:val="18"/>
        </w:rPr>
      </w:pPr>
      <w:r>
        <w:rPr>
          <w:sz w:val="18"/>
        </w:rPr>
        <w:t>Densidad vial</w:t>
      </w:r>
      <w:r>
        <w:rPr>
          <w:spacing w:val="43"/>
          <w:sz w:val="18"/>
        </w:rPr>
        <w:t> </w:t>
      </w:r>
      <w:r>
        <w:rPr>
          <w:sz w:val="18"/>
        </w:rPr>
        <w:t>(DV)</w:t>
      </w:r>
    </w:p>
    <w:p>
      <w:pPr>
        <w:pStyle w:val="BodyText"/>
        <w:spacing w:before="9"/>
        <w:rPr>
          <w:sz w:val="19"/>
        </w:rPr>
      </w:pPr>
    </w:p>
    <w:p>
      <w:pPr>
        <w:pStyle w:val="Heading1"/>
        <w:numPr>
          <w:ilvl w:val="0"/>
          <w:numId w:val="9"/>
        </w:numPr>
        <w:tabs>
          <w:tab w:pos="606" w:val="left" w:leader="none"/>
        </w:tabs>
        <w:spacing w:line="240" w:lineRule="auto" w:before="0" w:after="0"/>
        <w:ind w:left="605" w:right="0" w:hanging="210"/>
        <w:jc w:val="left"/>
      </w:pPr>
      <w:r>
        <w:rPr/>
        <w:t>Indicadores estadísticos de nivel de desarrollo económ  </w:t>
      </w:r>
      <w:r>
        <w:rPr>
          <w:spacing w:val="19"/>
        </w:rPr>
        <w:t> </w:t>
      </w:r>
      <w:r>
        <w:rPr>
          <w:spacing w:val="6"/>
        </w:rPr>
        <w:t>ico</w:t>
      </w:r>
    </w:p>
    <w:p>
      <w:pPr>
        <w:pStyle w:val="ListParagraph"/>
        <w:numPr>
          <w:ilvl w:val="2"/>
          <w:numId w:val="3"/>
        </w:numPr>
        <w:tabs>
          <w:tab w:pos="1109" w:val="left" w:leader="none"/>
        </w:tabs>
        <w:spacing w:line="240" w:lineRule="auto" w:before="3" w:after="0"/>
        <w:ind w:left="1108" w:right="0" w:hanging="308"/>
        <w:jc w:val="left"/>
        <w:rPr>
          <w:sz w:val="18"/>
        </w:rPr>
      </w:pPr>
      <w:r>
        <w:rPr>
          <w:sz w:val="18"/>
        </w:rPr>
        <w:t>Concentración territorial de la economía  </w:t>
      </w:r>
      <w:r>
        <w:rPr>
          <w:spacing w:val="20"/>
          <w:sz w:val="18"/>
        </w:rPr>
        <w:t> </w:t>
      </w:r>
      <w:r>
        <w:rPr>
          <w:sz w:val="18"/>
        </w:rPr>
        <w:t>(CTE)</w:t>
      </w:r>
    </w:p>
    <w:p>
      <w:pPr>
        <w:pStyle w:val="ListParagraph"/>
        <w:numPr>
          <w:ilvl w:val="2"/>
          <w:numId w:val="3"/>
        </w:numPr>
        <w:tabs>
          <w:tab w:pos="1112" w:val="left" w:leader="none"/>
        </w:tabs>
        <w:spacing w:line="240" w:lineRule="auto" w:before="3" w:after="0"/>
        <w:ind w:left="1111" w:right="0" w:hanging="311"/>
        <w:jc w:val="left"/>
        <w:rPr>
          <w:sz w:val="18"/>
        </w:rPr>
      </w:pPr>
      <w:r>
        <w:rPr>
          <w:spacing w:val="2"/>
          <w:sz w:val="18"/>
        </w:rPr>
        <w:t>Concentración </w:t>
      </w:r>
      <w:r>
        <w:rPr>
          <w:sz w:val="18"/>
        </w:rPr>
        <w:t>per </w:t>
      </w:r>
      <w:r>
        <w:rPr>
          <w:spacing w:val="2"/>
          <w:sz w:val="18"/>
        </w:rPr>
        <w:t>capita </w:t>
      </w:r>
      <w:r>
        <w:rPr>
          <w:sz w:val="18"/>
        </w:rPr>
        <w:t>de la </w:t>
      </w:r>
      <w:r>
        <w:rPr>
          <w:spacing w:val="2"/>
          <w:sz w:val="18"/>
        </w:rPr>
        <w:t>economía </w:t>
      </w:r>
      <w:r>
        <w:rPr>
          <w:spacing w:val="28"/>
          <w:sz w:val="18"/>
        </w:rPr>
        <w:t> </w:t>
      </w:r>
      <w:r>
        <w:rPr>
          <w:spacing w:val="3"/>
          <w:sz w:val="18"/>
        </w:rPr>
        <w:t>(CCE)</w:t>
      </w:r>
    </w:p>
    <w:p>
      <w:pPr>
        <w:pStyle w:val="ListParagraph"/>
        <w:numPr>
          <w:ilvl w:val="2"/>
          <w:numId w:val="3"/>
        </w:numPr>
        <w:tabs>
          <w:tab w:pos="1112" w:val="left" w:leader="none"/>
        </w:tabs>
        <w:spacing w:line="240" w:lineRule="auto" w:before="18" w:after="0"/>
        <w:ind w:left="1111" w:right="0" w:hanging="311"/>
        <w:jc w:val="left"/>
        <w:rPr>
          <w:sz w:val="18"/>
        </w:rPr>
      </w:pPr>
      <w:r>
        <w:rPr>
          <w:spacing w:val="2"/>
          <w:sz w:val="18"/>
        </w:rPr>
        <w:t>Tasa </w:t>
      </w:r>
      <w:r>
        <w:rPr>
          <w:sz w:val="18"/>
        </w:rPr>
        <w:t>de </w:t>
      </w:r>
      <w:r>
        <w:rPr>
          <w:spacing w:val="2"/>
          <w:sz w:val="18"/>
        </w:rPr>
        <w:t>población subocupada </w:t>
      </w:r>
      <w:r>
        <w:rPr>
          <w:spacing w:val="8"/>
          <w:sz w:val="18"/>
        </w:rPr>
        <w:t> </w:t>
      </w:r>
      <w:r>
        <w:rPr>
          <w:spacing w:val="3"/>
          <w:sz w:val="18"/>
        </w:rPr>
        <w:t>(TPS)</w:t>
      </w:r>
    </w:p>
    <w:p>
      <w:pPr>
        <w:pStyle w:val="ListParagraph"/>
        <w:numPr>
          <w:ilvl w:val="2"/>
          <w:numId w:val="3"/>
        </w:numPr>
        <w:tabs>
          <w:tab w:pos="1108" w:val="left" w:leader="none"/>
        </w:tabs>
        <w:spacing w:line="240" w:lineRule="auto" w:before="3" w:after="0"/>
        <w:ind w:left="1107" w:right="0" w:hanging="307"/>
        <w:jc w:val="left"/>
        <w:rPr>
          <w:sz w:val="18"/>
        </w:rPr>
      </w:pPr>
      <w:r>
        <w:rPr>
          <w:spacing w:val="2"/>
          <w:sz w:val="18"/>
        </w:rPr>
        <w:t>Grado </w:t>
      </w:r>
      <w:r>
        <w:rPr>
          <w:sz w:val="18"/>
        </w:rPr>
        <w:t>de </w:t>
      </w:r>
      <w:r>
        <w:rPr>
          <w:spacing w:val="2"/>
          <w:sz w:val="18"/>
        </w:rPr>
        <w:t>calificación </w:t>
      </w:r>
      <w:r>
        <w:rPr>
          <w:sz w:val="18"/>
        </w:rPr>
        <w:t>de la </w:t>
      </w:r>
      <w:r>
        <w:rPr>
          <w:spacing w:val="2"/>
          <w:sz w:val="18"/>
        </w:rPr>
        <w:t>población</w:t>
      </w:r>
      <w:r>
        <w:rPr>
          <w:spacing w:val="47"/>
          <w:sz w:val="18"/>
        </w:rPr>
        <w:t> </w:t>
      </w:r>
      <w:r>
        <w:rPr>
          <w:spacing w:val="3"/>
          <w:sz w:val="18"/>
        </w:rPr>
        <w:t>(GCP)</w:t>
      </w:r>
    </w:p>
    <w:p>
      <w:pPr>
        <w:pStyle w:val="ListParagraph"/>
        <w:numPr>
          <w:ilvl w:val="2"/>
          <w:numId w:val="3"/>
        </w:numPr>
        <w:tabs>
          <w:tab w:pos="1109" w:val="left" w:leader="none"/>
        </w:tabs>
        <w:spacing w:line="240" w:lineRule="auto" w:before="3" w:after="0"/>
        <w:ind w:left="1108" w:right="0" w:hanging="308"/>
        <w:jc w:val="left"/>
        <w:rPr>
          <w:sz w:val="18"/>
        </w:rPr>
      </w:pPr>
      <w:r>
        <w:rPr>
          <w:spacing w:val="3"/>
          <w:sz w:val="18"/>
        </w:rPr>
        <w:t>Grado </w:t>
      </w:r>
      <w:r>
        <w:rPr>
          <w:sz w:val="18"/>
        </w:rPr>
        <w:t>de </w:t>
      </w:r>
      <w:r>
        <w:rPr>
          <w:spacing w:val="3"/>
          <w:sz w:val="18"/>
        </w:rPr>
        <w:t>accesibilidad </w:t>
      </w:r>
      <w:r>
        <w:rPr>
          <w:sz w:val="18"/>
        </w:rPr>
        <w:t>a </w:t>
      </w:r>
      <w:r>
        <w:rPr>
          <w:spacing w:val="3"/>
          <w:sz w:val="18"/>
        </w:rPr>
        <w:t>carretera pavimentada</w:t>
      </w:r>
      <w:r>
        <w:rPr>
          <w:spacing w:val="51"/>
          <w:sz w:val="18"/>
        </w:rPr>
        <w:t> </w:t>
      </w:r>
      <w:r>
        <w:rPr>
          <w:spacing w:val="4"/>
          <w:sz w:val="18"/>
        </w:rPr>
        <w:t>(GACP)</w:t>
      </w:r>
    </w:p>
    <w:p>
      <w:pPr>
        <w:pStyle w:val="BodyText"/>
        <w:spacing w:before="9"/>
        <w:rPr>
          <w:sz w:val="19"/>
        </w:rPr>
      </w:pPr>
    </w:p>
    <w:p>
      <w:pPr>
        <w:pStyle w:val="Heading1"/>
        <w:numPr>
          <w:ilvl w:val="0"/>
          <w:numId w:val="9"/>
        </w:numPr>
        <w:tabs>
          <w:tab w:pos="650" w:val="left" w:leader="none"/>
        </w:tabs>
        <w:spacing w:line="240" w:lineRule="auto" w:before="0" w:after="0"/>
        <w:ind w:left="650" w:right="0" w:hanging="255"/>
        <w:jc w:val="left"/>
      </w:pPr>
      <w:r>
        <w:rPr/>
        <w:t>Indicadores  estadísticos  de  proporciones</w:t>
      </w:r>
      <w:r>
        <w:rPr>
          <w:spacing w:val="-4"/>
        </w:rPr>
        <w:t> </w:t>
      </w:r>
      <w:r>
        <w:rPr/>
        <w:t>económicas</w:t>
      </w:r>
    </w:p>
    <w:p>
      <w:pPr>
        <w:pStyle w:val="ListParagraph"/>
        <w:numPr>
          <w:ilvl w:val="2"/>
          <w:numId w:val="3"/>
        </w:numPr>
        <w:tabs>
          <w:tab w:pos="970" w:val="left" w:leader="none"/>
        </w:tabs>
        <w:spacing w:line="240" w:lineRule="auto" w:before="3" w:after="0"/>
        <w:ind w:left="969" w:right="0" w:hanging="304"/>
        <w:jc w:val="left"/>
        <w:rPr>
          <w:sz w:val="18"/>
        </w:rPr>
      </w:pPr>
      <w:r>
        <w:rPr>
          <w:spacing w:val="3"/>
          <w:sz w:val="18"/>
        </w:rPr>
        <w:t>Concentración municipal </w:t>
      </w:r>
      <w:r>
        <w:rPr>
          <w:sz w:val="18"/>
        </w:rPr>
        <w:t>de </w:t>
      </w:r>
      <w:r>
        <w:rPr>
          <w:spacing w:val="3"/>
          <w:sz w:val="18"/>
        </w:rPr>
        <w:t>actividades primarias</w:t>
      </w:r>
      <w:r>
        <w:rPr>
          <w:spacing w:val="43"/>
          <w:sz w:val="18"/>
        </w:rPr>
        <w:t> </w:t>
      </w:r>
      <w:r>
        <w:rPr>
          <w:spacing w:val="4"/>
          <w:sz w:val="18"/>
        </w:rPr>
        <w:t>(CMAP)</w:t>
      </w:r>
    </w:p>
    <w:p>
      <w:pPr>
        <w:pStyle w:val="ListParagraph"/>
        <w:numPr>
          <w:ilvl w:val="2"/>
          <w:numId w:val="3"/>
        </w:numPr>
        <w:tabs>
          <w:tab w:pos="976" w:val="left" w:leader="none"/>
        </w:tabs>
        <w:spacing w:line="240" w:lineRule="auto" w:before="18" w:after="0"/>
        <w:ind w:left="975" w:right="0" w:hanging="310"/>
        <w:jc w:val="left"/>
        <w:rPr>
          <w:sz w:val="18"/>
        </w:rPr>
      </w:pPr>
      <w:r>
        <w:rPr>
          <w:spacing w:val="2"/>
          <w:sz w:val="18"/>
        </w:rPr>
        <w:t>Concentración municipal   </w:t>
      </w:r>
      <w:r>
        <w:rPr>
          <w:sz w:val="18"/>
        </w:rPr>
        <w:t>de </w:t>
      </w:r>
      <w:r>
        <w:rPr>
          <w:spacing w:val="2"/>
          <w:sz w:val="18"/>
        </w:rPr>
        <w:t>actividades secundarias</w:t>
      </w:r>
      <w:r>
        <w:rPr>
          <w:spacing w:val="42"/>
          <w:sz w:val="18"/>
        </w:rPr>
        <w:t> </w:t>
      </w:r>
      <w:r>
        <w:rPr>
          <w:spacing w:val="3"/>
          <w:sz w:val="18"/>
        </w:rPr>
        <w:t>(CMAS)</w:t>
      </w:r>
    </w:p>
    <w:p>
      <w:pPr>
        <w:pStyle w:val="ListParagraph"/>
        <w:numPr>
          <w:ilvl w:val="2"/>
          <w:numId w:val="3"/>
        </w:numPr>
        <w:tabs>
          <w:tab w:pos="971" w:val="left" w:leader="none"/>
        </w:tabs>
        <w:spacing w:line="240" w:lineRule="auto" w:before="3" w:after="0"/>
        <w:ind w:left="970" w:right="0" w:hanging="305"/>
        <w:jc w:val="left"/>
        <w:rPr>
          <w:sz w:val="18"/>
        </w:rPr>
      </w:pPr>
      <w:r>
        <w:rPr>
          <w:spacing w:val="2"/>
          <w:sz w:val="18"/>
        </w:rPr>
        <w:t>Concentración municipal </w:t>
      </w:r>
      <w:r>
        <w:rPr>
          <w:sz w:val="18"/>
        </w:rPr>
        <w:t>de </w:t>
      </w:r>
      <w:r>
        <w:rPr>
          <w:spacing w:val="2"/>
          <w:sz w:val="18"/>
        </w:rPr>
        <w:t>actividades terciarias </w:t>
      </w:r>
      <w:r>
        <w:rPr>
          <w:spacing w:val="8"/>
          <w:sz w:val="18"/>
        </w:rPr>
        <w:t> </w:t>
      </w:r>
      <w:r>
        <w:rPr>
          <w:spacing w:val="3"/>
          <w:sz w:val="18"/>
        </w:rPr>
        <w:t>(CMAT)</w:t>
      </w:r>
    </w:p>
    <w:p>
      <w:pPr>
        <w:spacing w:after="0" w:line="240" w:lineRule="auto"/>
        <w:jc w:val="left"/>
        <w:rPr>
          <w:sz w:val="18"/>
        </w:rPr>
        <w:sectPr>
          <w:pgSz w:w="12240" w:h="15840"/>
          <w:pgMar w:header="0" w:footer="706" w:top="1280" w:bottom="900" w:left="1720" w:right="1720"/>
        </w:sectPr>
      </w:pPr>
    </w:p>
    <w:p>
      <w:pPr>
        <w:pStyle w:val="BodyText"/>
        <w:rPr>
          <w:sz w:val="20"/>
        </w:rPr>
      </w:pPr>
    </w:p>
    <w:p>
      <w:pPr>
        <w:pStyle w:val="BodyText"/>
        <w:rPr>
          <w:sz w:val="20"/>
        </w:rPr>
      </w:pPr>
    </w:p>
    <w:p>
      <w:pPr>
        <w:pStyle w:val="BodyText"/>
        <w:spacing w:before="3"/>
        <w:rPr>
          <w:sz w:val="22"/>
        </w:rPr>
      </w:pPr>
    </w:p>
    <w:p>
      <w:pPr>
        <w:pStyle w:val="Heading1"/>
        <w:ind w:right="464"/>
      </w:pPr>
      <w:r>
        <w:rPr/>
        <w:t>Referencias  bibliográficas</w:t>
      </w:r>
    </w:p>
    <w:p>
      <w:pPr>
        <w:pStyle w:val="BodyText"/>
        <w:spacing w:before="6"/>
        <w:rPr>
          <w:b/>
        </w:rPr>
      </w:pPr>
    </w:p>
    <w:p>
      <w:pPr>
        <w:pStyle w:val="BodyText"/>
        <w:spacing w:line="261" w:lineRule="auto"/>
        <w:ind w:left="1205" w:right="431" w:hanging="810"/>
        <w:jc w:val="both"/>
      </w:pPr>
      <w:r>
        <w:rPr/>
        <w:t>CCFM (1997) “Criteria and indicators of sustainable forest management in Canada”. Canadian Council of Forest Ministers,   137 p.</w:t>
      </w:r>
    </w:p>
    <w:p>
      <w:pPr>
        <w:pStyle w:val="BodyText"/>
        <w:spacing w:before="10"/>
        <w:rPr>
          <w:sz w:val="16"/>
        </w:rPr>
      </w:pPr>
    </w:p>
    <w:p>
      <w:pPr>
        <w:pStyle w:val="BodyText"/>
        <w:spacing w:line="252" w:lineRule="auto" w:before="1"/>
        <w:ind w:left="1205" w:right="422" w:hanging="810"/>
        <w:jc w:val="both"/>
      </w:pPr>
      <w:r>
        <w:rPr/>
        <w:t>CÉSPEDES (2001)  “Índice  de  Sustentabilidad  Ambiental;  Sustentabilidad  Ambiental  Comparada en las Entidades Federati vas de México”. Centro de Estudios del Sector </w:t>
      </w:r>
      <w:r>
        <w:rPr>
          <w:spacing w:val="2"/>
        </w:rPr>
        <w:t>Privado para </w:t>
      </w:r>
      <w:r>
        <w:rPr/>
        <w:t>el </w:t>
      </w:r>
      <w:r>
        <w:rPr>
          <w:spacing w:val="2"/>
        </w:rPr>
        <w:t>Desarrollo Sustentable, </w:t>
      </w:r>
      <w:r>
        <w:rPr/>
        <w:t>220 </w:t>
      </w:r>
      <w:r>
        <w:rPr>
          <w:spacing w:val="23"/>
        </w:rPr>
        <w:t> </w:t>
      </w:r>
      <w:r>
        <w:rPr>
          <w:spacing w:val="3"/>
        </w:rPr>
        <w:t>p.</w:t>
      </w:r>
    </w:p>
    <w:p>
      <w:pPr>
        <w:pStyle w:val="BodyText"/>
        <w:spacing w:before="11"/>
      </w:pPr>
    </w:p>
    <w:p>
      <w:pPr>
        <w:pStyle w:val="BodyText"/>
        <w:spacing w:line="242" w:lineRule="auto"/>
        <w:ind w:left="1205" w:right="464" w:hanging="810"/>
      </w:pPr>
      <w:r>
        <w:rPr/>
        <w:t>CIFOR (1999)” Guidelines for Developing, Testing and Selecting Criteria and Indicators for Sustainable Management.   Center for International Forestry Research.   186   p.</w:t>
      </w:r>
    </w:p>
    <w:p>
      <w:pPr>
        <w:pStyle w:val="BodyText"/>
        <w:spacing w:before="11"/>
        <w:rPr>
          <w:sz w:val="20"/>
        </w:rPr>
      </w:pPr>
    </w:p>
    <w:p>
      <w:pPr>
        <w:spacing w:line="242" w:lineRule="auto" w:before="0"/>
        <w:ind w:left="1205" w:right="418" w:hanging="810"/>
        <w:jc w:val="both"/>
        <w:rPr>
          <w:sz w:val="18"/>
        </w:rPr>
      </w:pPr>
      <w:r>
        <w:rPr>
          <w:sz w:val="18"/>
        </w:rPr>
        <w:t>Comisión de Desarrollo y Medio Ambiente de América Latina y el Caribe (1991), </w:t>
      </w:r>
      <w:r>
        <w:rPr>
          <w:i/>
          <w:sz w:val="18"/>
        </w:rPr>
        <w:t>Nuestra propia </w:t>
      </w:r>
      <w:r>
        <w:rPr>
          <w:i/>
          <w:sz w:val="18"/>
        </w:rPr>
        <w:t>agenda sobre desarrollo y medio ambiente</w:t>
      </w:r>
      <w:r>
        <w:rPr>
          <w:sz w:val="18"/>
        </w:rPr>
        <w:t>, BID/PNUD, Fondo de Cultura Económica. México.</w:t>
      </w:r>
    </w:p>
    <w:p>
      <w:pPr>
        <w:pStyle w:val="BodyText"/>
        <w:spacing w:before="7"/>
        <w:rPr>
          <w:sz w:val="19"/>
        </w:rPr>
      </w:pPr>
    </w:p>
    <w:p>
      <w:pPr>
        <w:pStyle w:val="BodyText"/>
        <w:spacing w:line="242" w:lineRule="auto"/>
        <w:ind w:left="1205" w:right="423" w:hanging="810"/>
        <w:jc w:val="both"/>
      </w:pPr>
      <w:r>
        <w:rPr/>
        <w:t>CONAPO (2000) “Indices de marginación”, Comisión Nacional de Población, </w:t>
      </w:r>
      <w:hyperlink r:id="rId7">
        <w:r>
          <w:rPr>
            <w:u w:val="single"/>
          </w:rPr>
          <w:t>http://www.conapo.gob.mx/publicaciones/indice2000.htm </w:t>
        </w:r>
      </w:hyperlink>
      <w:r>
        <w:rPr/>
        <w:t>. México.</w:t>
      </w:r>
    </w:p>
    <w:p>
      <w:pPr>
        <w:pStyle w:val="BodyText"/>
        <w:spacing w:before="7"/>
        <w:rPr>
          <w:sz w:val="19"/>
        </w:rPr>
      </w:pPr>
    </w:p>
    <w:p>
      <w:pPr>
        <w:spacing w:line="242" w:lineRule="auto" w:before="0"/>
        <w:ind w:left="1205" w:right="423" w:hanging="810"/>
        <w:jc w:val="both"/>
        <w:rPr>
          <w:sz w:val="18"/>
        </w:rPr>
      </w:pPr>
      <w:r>
        <w:rPr>
          <w:sz w:val="18"/>
        </w:rPr>
        <w:t>Consejo de Europa (1993). </w:t>
      </w:r>
      <w:r>
        <w:rPr>
          <w:i/>
          <w:sz w:val="18"/>
        </w:rPr>
        <w:t>Carta Europea de la ordenación del territorio</w:t>
      </w:r>
      <w:r>
        <w:rPr>
          <w:b/>
          <w:sz w:val="18"/>
        </w:rPr>
        <w:t>. </w:t>
      </w:r>
      <w:r>
        <w:rPr>
          <w:sz w:val="18"/>
        </w:rPr>
        <w:t>Conferencia Europea de Ministros Responsables de  OT –CEMAT.</w:t>
      </w:r>
    </w:p>
    <w:p>
      <w:pPr>
        <w:pStyle w:val="BodyText"/>
        <w:spacing w:before="7"/>
        <w:rPr>
          <w:sz w:val="19"/>
        </w:rPr>
      </w:pPr>
    </w:p>
    <w:p>
      <w:pPr>
        <w:pStyle w:val="BodyText"/>
        <w:spacing w:line="242" w:lineRule="auto"/>
        <w:ind w:left="1205" w:right="426" w:hanging="810"/>
        <w:jc w:val="both"/>
      </w:pPr>
      <w:r>
        <w:rPr/>
        <w:t>FAO (1996) FAO, 1996 Forest resources assessment 1990. Survey of tropical forest cover and study of change processes. Number 130, 152 pp. Rome,   Italy.</w:t>
      </w:r>
    </w:p>
    <w:p>
      <w:pPr>
        <w:pStyle w:val="BodyText"/>
        <w:spacing w:before="7"/>
        <w:rPr>
          <w:sz w:val="19"/>
        </w:rPr>
      </w:pPr>
    </w:p>
    <w:p>
      <w:pPr>
        <w:pStyle w:val="BodyText"/>
        <w:ind w:left="395" w:right="464"/>
      </w:pPr>
      <w:r>
        <w:rPr/>
        <w:t>Gobierno del Estado de Jalisco (2001). “Indicadores Municipales de Sustentabilidad”.</w:t>
      </w:r>
    </w:p>
    <w:p>
      <w:pPr>
        <w:pStyle w:val="BodyText"/>
        <w:spacing w:before="9"/>
        <w:rPr>
          <w:sz w:val="19"/>
        </w:rPr>
      </w:pPr>
    </w:p>
    <w:p>
      <w:pPr>
        <w:pStyle w:val="BodyText"/>
        <w:spacing w:line="242" w:lineRule="auto"/>
        <w:ind w:left="1205" w:right="423" w:hanging="810"/>
        <w:jc w:val="both"/>
      </w:pPr>
      <w:r>
        <w:rPr/>
        <w:t>Gobierno del Estado de Querétaro (2002). “Sistema de Indicadores Ambientales y de Sustentabilidad”.</w:t>
      </w:r>
    </w:p>
    <w:p>
      <w:pPr>
        <w:pStyle w:val="BodyText"/>
        <w:spacing w:before="7"/>
        <w:rPr>
          <w:sz w:val="19"/>
        </w:rPr>
      </w:pPr>
    </w:p>
    <w:p>
      <w:pPr>
        <w:spacing w:line="242" w:lineRule="auto" w:before="0"/>
        <w:ind w:left="1205" w:right="439" w:hanging="810"/>
        <w:jc w:val="both"/>
        <w:rPr>
          <w:sz w:val="18"/>
        </w:rPr>
      </w:pPr>
      <w:r>
        <w:rPr>
          <w:spacing w:val="2"/>
          <w:sz w:val="18"/>
        </w:rPr>
        <w:t>Gómez Orea, Domingo (1994), </w:t>
      </w:r>
      <w:r>
        <w:rPr>
          <w:i/>
          <w:sz w:val="18"/>
        </w:rPr>
        <w:t>Ordenación del Territorio: una  aproximación  desde  el  medio  </w:t>
      </w:r>
      <w:r>
        <w:rPr>
          <w:i/>
          <w:spacing w:val="-4"/>
          <w:sz w:val="18"/>
        </w:rPr>
        <w:t>físico </w:t>
      </w:r>
      <w:r>
        <w:rPr>
          <w:sz w:val="18"/>
        </w:rPr>
        <w:t>, Madrid, Instituto Tecnológico Minero de España,  Editorial  Agrícola  Española, S.A.</w:t>
      </w:r>
    </w:p>
    <w:p>
      <w:pPr>
        <w:pStyle w:val="BodyText"/>
        <w:spacing w:before="7"/>
        <w:rPr>
          <w:sz w:val="19"/>
        </w:rPr>
      </w:pPr>
    </w:p>
    <w:p>
      <w:pPr>
        <w:spacing w:line="261" w:lineRule="auto" w:before="0"/>
        <w:ind w:left="1205" w:right="423" w:hanging="810"/>
        <w:jc w:val="both"/>
        <w:rPr>
          <w:sz w:val="18"/>
        </w:rPr>
      </w:pPr>
      <w:r>
        <w:rPr>
          <w:sz w:val="18"/>
        </w:rPr>
        <w:t>Gómez Orea, Domingo (2001). </w:t>
      </w:r>
      <w:r>
        <w:rPr>
          <w:i/>
          <w:sz w:val="18"/>
        </w:rPr>
        <w:t>Ordenación territorial, </w:t>
      </w:r>
      <w:r>
        <w:rPr>
          <w:sz w:val="18"/>
        </w:rPr>
        <w:t>Madrid. Ediciones Mundi-Prensa/Editorial Agrícola  Española.</w:t>
      </w:r>
    </w:p>
    <w:p>
      <w:pPr>
        <w:pStyle w:val="BodyText"/>
        <w:spacing w:before="2"/>
      </w:pPr>
    </w:p>
    <w:p>
      <w:pPr>
        <w:spacing w:line="252" w:lineRule="auto" w:before="1"/>
        <w:ind w:left="1205" w:right="432" w:hanging="810"/>
        <w:jc w:val="both"/>
        <w:rPr>
          <w:sz w:val="18"/>
        </w:rPr>
      </w:pPr>
      <w:r>
        <w:rPr>
          <w:sz w:val="18"/>
        </w:rPr>
        <w:t>IGAC (1996), </w:t>
      </w:r>
      <w:r>
        <w:rPr>
          <w:i/>
          <w:sz w:val="18"/>
        </w:rPr>
        <w:t>Guía Metodológica para la formulación del plan de ordenamiento territorial urbano, </w:t>
      </w:r>
      <w:r>
        <w:rPr>
          <w:i/>
          <w:sz w:val="18"/>
        </w:rPr>
        <w:t>aplicable a ciudades</w:t>
      </w:r>
      <w:r>
        <w:rPr>
          <w:b/>
          <w:sz w:val="18"/>
        </w:rPr>
        <w:t>, </w:t>
      </w:r>
      <w:r>
        <w:rPr>
          <w:sz w:val="18"/>
        </w:rPr>
        <w:t>Instituto Geográfico Agustín Codazzi, Subdirección de Geografía.: Editorial Linotipia Bolívar, Bogotá, Colombia.</w:t>
      </w:r>
    </w:p>
    <w:p>
      <w:pPr>
        <w:pStyle w:val="BodyText"/>
        <w:spacing w:before="7"/>
        <w:rPr>
          <w:sz w:val="17"/>
        </w:rPr>
      </w:pPr>
    </w:p>
    <w:p>
      <w:pPr>
        <w:spacing w:line="252" w:lineRule="auto" w:before="0"/>
        <w:ind w:left="1205" w:right="449" w:hanging="810"/>
        <w:jc w:val="both"/>
        <w:rPr>
          <w:sz w:val="18"/>
        </w:rPr>
      </w:pPr>
      <w:r>
        <w:rPr>
          <w:sz w:val="18"/>
        </w:rPr>
        <w:t>IGAC (1997a), </w:t>
      </w:r>
      <w:r>
        <w:rPr>
          <w:i/>
          <w:sz w:val="18"/>
        </w:rPr>
        <w:t>Guía Metodológica para la formulación del plan de ordenamiento territorial  </w:t>
      </w:r>
      <w:r>
        <w:rPr>
          <w:i/>
          <w:sz w:val="18"/>
        </w:rPr>
        <w:t>municipal</w:t>
      </w:r>
      <w:r>
        <w:rPr>
          <w:sz w:val="18"/>
        </w:rPr>
        <w:t>, Instituto Geográfico Agustín Codazzi, </w:t>
      </w:r>
      <w:r>
        <w:rPr>
          <w:spacing w:val="-3"/>
          <w:sz w:val="18"/>
        </w:rPr>
        <w:t>Subdirección </w:t>
      </w:r>
      <w:r>
        <w:rPr>
          <w:sz w:val="18"/>
        </w:rPr>
        <w:t>de Geografía, Bogotá, Colombia.</w:t>
      </w:r>
    </w:p>
    <w:p>
      <w:pPr>
        <w:pStyle w:val="BodyText"/>
        <w:spacing w:before="11"/>
      </w:pPr>
    </w:p>
    <w:p>
      <w:pPr>
        <w:spacing w:line="242" w:lineRule="auto" w:before="0"/>
        <w:ind w:left="1205" w:right="422" w:hanging="810"/>
        <w:jc w:val="both"/>
        <w:rPr>
          <w:sz w:val="18"/>
        </w:rPr>
      </w:pPr>
      <w:r>
        <w:rPr>
          <w:sz w:val="18"/>
        </w:rPr>
        <w:t>IGAC (1997b), </w:t>
      </w:r>
      <w:r>
        <w:rPr>
          <w:i/>
          <w:sz w:val="18"/>
        </w:rPr>
        <w:t>Bases conceptuales y guía metodológica para la formulación del plan de </w:t>
      </w:r>
      <w:r>
        <w:rPr>
          <w:i/>
          <w:sz w:val="18"/>
        </w:rPr>
        <w:t>ordenamiento territorial departamental</w:t>
      </w:r>
      <w:r>
        <w:rPr>
          <w:sz w:val="18"/>
        </w:rPr>
        <w:t>. Instituto Geográfico Agustín Codazzi, Subdirección de Geografía. </w:t>
      </w:r>
      <w:r>
        <w:rPr>
          <w:spacing w:val="2"/>
          <w:sz w:val="18"/>
        </w:rPr>
        <w:t>Editorial Linotipia </w:t>
      </w:r>
      <w:r>
        <w:rPr>
          <w:sz w:val="18"/>
        </w:rPr>
        <w:t>Bolívar. Bogotá, </w:t>
      </w:r>
      <w:r>
        <w:rPr>
          <w:spacing w:val="9"/>
          <w:sz w:val="18"/>
        </w:rPr>
        <w:t> </w:t>
      </w:r>
      <w:r>
        <w:rPr>
          <w:sz w:val="18"/>
        </w:rPr>
        <w:t>Colombia.</w:t>
      </w:r>
    </w:p>
    <w:p>
      <w:pPr>
        <w:pStyle w:val="BodyText"/>
        <w:spacing w:before="7"/>
        <w:rPr>
          <w:sz w:val="19"/>
        </w:rPr>
      </w:pPr>
    </w:p>
    <w:p>
      <w:pPr>
        <w:pStyle w:val="BodyText"/>
        <w:ind w:left="395" w:right="464"/>
      </w:pPr>
      <w:r>
        <w:rPr/>
        <w:t>INE-INEGI (2000) “Sustainable development indicators of México”, INE-INEGI, México, 175  p.</w:t>
      </w:r>
    </w:p>
    <w:p>
      <w:pPr>
        <w:pStyle w:val="BodyText"/>
        <w:spacing w:before="9"/>
        <w:rPr>
          <w:sz w:val="19"/>
        </w:rPr>
      </w:pPr>
    </w:p>
    <w:p>
      <w:pPr>
        <w:pStyle w:val="BodyText"/>
        <w:spacing w:line="242" w:lineRule="auto"/>
        <w:ind w:left="1205" w:right="436" w:hanging="810"/>
        <w:jc w:val="both"/>
      </w:pPr>
      <w:r>
        <w:rPr/>
        <w:t>INE-SEMARNAT “Cartografía en Línea del Atlas del Ordenamiento Ecológico General del Territorio”,  </w:t>
      </w:r>
      <w:hyperlink r:id="rId8">
        <w:r>
          <w:rPr>
            <w:u w:val="single"/>
          </w:rPr>
          <w:t>http://mapas.ine.gob.mx/website/atlas/index.htm</w:t>
        </w:r>
        <w:r>
          <w:rPr/>
          <w:t>l</w:t>
        </w:r>
      </w:hyperlink>
    </w:p>
    <w:p>
      <w:pPr>
        <w:pStyle w:val="BodyText"/>
        <w:spacing w:before="8"/>
        <w:rPr>
          <w:sz w:val="12"/>
        </w:rPr>
      </w:pPr>
    </w:p>
    <w:p>
      <w:pPr>
        <w:pStyle w:val="BodyText"/>
        <w:spacing w:line="242" w:lineRule="auto" w:before="80"/>
        <w:ind w:left="1205" w:right="649" w:hanging="810"/>
      </w:pPr>
      <w:r>
        <w:rPr/>
        <w:t>Massera, O, M. Astier y S. López (1999) “Sustentabilidad y manejo de recursos naturales. El   marco de evaluación MESMIS”, GIRA-Instituto de Ecología, UNAM, 109</w:t>
      </w:r>
      <w:r>
        <w:rPr>
          <w:spacing w:val="37"/>
        </w:rPr>
        <w:t> </w:t>
      </w:r>
      <w:r>
        <w:rPr/>
        <w:t>p.</w:t>
      </w:r>
    </w:p>
    <w:p>
      <w:pPr>
        <w:spacing w:after="0" w:line="242" w:lineRule="auto"/>
        <w:sectPr>
          <w:pgSz w:w="12240" w:h="15840"/>
          <w:pgMar w:header="0" w:footer="706" w:top="1500" w:bottom="900" w:left="1720" w:right="1720"/>
        </w:sectPr>
      </w:pPr>
    </w:p>
    <w:p>
      <w:pPr>
        <w:pStyle w:val="BodyText"/>
        <w:spacing w:line="242" w:lineRule="auto" w:before="71"/>
        <w:ind w:left="1205" w:right="424" w:hanging="810"/>
        <w:jc w:val="both"/>
      </w:pPr>
      <w:r>
        <w:rPr/>
        <w:t>Massiris, Angel (1991), “Reflexión sobre una política de ordenación territorial en los países latinoamericanos en ACOGE, </w:t>
      </w:r>
      <w:r>
        <w:rPr>
          <w:i/>
        </w:rPr>
        <w:t>Trimestre Geográfico</w:t>
      </w:r>
      <w:r>
        <w:rPr/>
        <w:t>, Asociación Colombiana de Geógrafos, No. 15, junio, Bogotá, Colombia, pp. 3-23.</w:t>
      </w:r>
    </w:p>
    <w:p>
      <w:pPr>
        <w:pStyle w:val="BodyText"/>
        <w:spacing w:before="7"/>
        <w:rPr>
          <w:sz w:val="19"/>
        </w:rPr>
      </w:pPr>
    </w:p>
    <w:p>
      <w:pPr>
        <w:pStyle w:val="BodyText"/>
        <w:spacing w:line="249" w:lineRule="auto"/>
        <w:ind w:left="1205" w:right="423" w:hanging="810"/>
        <w:jc w:val="both"/>
      </w:pPr>
      <w:r>
        <w:rPr/>
        <w:t>Massiris, Angel (1993)  "Bases  Teórico-metodológicas para estudios de ordenamiento territorial", en </w:t>
      </w:r>
      <w:r>
        <w:rPr>
          <w:spacing w:val="-3"/>
        </w:rPr>
        <w:t>IDCAP, </w:t>
      </w:r>
      <w:r>
        <w:rPr>
          <w:i/>
        </w:rPr>
        <w:t>Misión Local, </w:t>
      </w:r>
      <w:r>
        <w:rPr/>
        <w:t>Instituto de Desarrollo del Distrito Capital y la Participación Ciudadana y Comunitaria IDCAP, año 2, No. 2, enero/marzo, Universidad Distrital, Santa Fe de Bogotá, pp.</w:t>
      </w:r>
      <w:r>
        <w:rPr>
          <w:spacing w:val="22"/>
        </w:rPr>
        <w:t> </w:t>
      </w:r>
      <w:r>
        <w:rPr>
          <w:spacing w:val="-5"/>
        </w:rPr>
        <w:t>43-87.</w:t>
      </w:r>
    </w:p>
    <w:p>
      <w:pPr>
        <w:pStyle w:val="BodyText"/>
        <w:spacing w:before="1"/>
        <w:rPr>
          <w:sz w:val="19"/>
        </w:rPr>
      </w:pPr>
    </w:p>
    <w:p>
      <w:pPr>
        <w:pStyle w:val="BodyText"/>
        <w:spacing w:line="247" w:lineRule="auto"/>
        <w:ind w:left="1205" w:right="421" w:hanging="810"/>
        <w:jc w:val="both"/>
      </w:pPr>
      <w:r>
        <w:rPr/>
        <w:t>Massiris, Angel (1997) “Ordenamiento territorial, región y procesos de construcción regional”, en EPG, </w:t>
      </w:r>
      <w:r>
        <w:rPr>
          <w:i/>
        </w:rPr>
        <w:t>Perspectiva Geográfica, </w:t>
      </w:r>
      <w:r>
        <w:rPr/>
        <w:t>Programa de Estudios de Postgrado en Geografía, convenio Universidad Pedagógica y Tecnológica de Colombia  </w:t>
      </w:r>
      <w:r>
        <w:rPr>
          <w:spacing w:val="-3"/>
        </w:rPr>
        <w:t>(UPTC)-Instituto  </w:t>
      </w:r>
      <w:r>
        <w:rPr>
          <w:spacing w:val="-5"/>
        </w:rPr>
        <w:t>Geográfico </w:t>
      </w:r>
      <w:r>
        <w:rPr>
          <w:spacing w:val="-3"/>
        </w:rPr>
        <w:t>Ag </w:t>
      </w:r>
      <w:r>
        <w:rPr/>
        <w:t>ustín Codazzi (IGAC). Editorial UPTC, Vol. 1, No. 1 Tunja, Colombia, pp. </w:t>
      </w:r>
      <w:r>
        <w:rPr>
          <w:spacing w:val="-3"/>
        </w:rPr>
        <w:t>7-87.</w:t>
      </w:r>
    </w:p>
    <w:p>
      <w:pPr>
        <w:pStyle w:val="BodyText"/>
        <w:spacing w:before="7"/>
        <w:rPr>
          <w:sz w:val="20"/>
        </w:rPr>
      </w:pPr>
    </w:p>
    <w:p>
      <w:pPr>
        <w:pStyle w:val="BodyText"/>
        <w:ind w:left="395" w:right="464"/>
      </w:pPr>
      <w:r>
        <w:rPr/>
        <w:t>OECD (2001) “Key environmental indicators”.  OECD, 36  p.</w:t>
      </w:r>
    </w:p>
    <w:p>
      <w:pPr>
        <w:pStyle w:val="BodyText"/>
        <w:spacing w:before="6"/>
      </w:pPr>
    </w:p>
    <w:p>
      <w:pPr>
        <w:pStyle w:val="BodyText"/>
        <w:spacing w:line="261" w:lineRule="auto"/>
        <w:ind w:left="1205" w:right="424" w:hanging="810"/>
        <w:jc w:val="both"/>
      </w:pPr>
      <w:r>
        <w:rPr/>
        <w:t>ONU (2000) “Indicators  of  sustainable  development:  Guidelines  and  methodologies”.  Reporte del programa de trabajo de CSD. Commission on Sustainable Development,     303 p.</w:t>
      </w:r>
    </w:p>
    <w:p>
      <w:pPr>
        <w:pStyle w:val="BodyText"/>
        <w:spacing w:before="10"/>
        <w:rPr>
          <w:sz w:val="16"/>
        </w:rPr>
      </w:pPr>
    </w:p>
    <w:p>
      <w:pPr>
        <w:pStyle w:val="BodyText"/>
        <w:spacing w:line="252" w:lineRule="auto" w:before="1"/>
        <w:ind w:left="1205" w:right="424" w:hanging="810"/>
        <w:jc w:val="both"/>
      </w:pPr>
      <w:r>
        <w:rPr/>
        <w:t>Proceso de Montreal (1995) “Criterios e  indicdores  para  la  conservación  y  el  manejo sustentable de los bosques templados y boreales”, </w:t>
      </w:r>
      <w:hyperlink r:id="rId9">
        <w:r>
          <w:rPr>
            <w:u w:val="single"/>
          </w:rPr>
          <w:t>www.mpci.org/rep-</w:t>
        </w:r>
      </w:hyperlink>
      <w:r>
        <w:rPr>
          <w:u w:val="single"/>
        </w:rPr>
        <w:t> pub/1995/santiago_s.htm</w:t>
      </w:r>
      <w:r>
        <w:rPr/>
        <w:t>.l</w:t>
      </w:r>
    </w:p>
    <w:p>
      <w:pPr>
        <w:pStyle w:val="BodyText"/>
        <w:rPr>
          <w:sz w:val="12"/>
        </w:rPr>
      </w:pPr>
    </w:p>
    <w:p>
      <w:pPr>
        <w:pStyle w:val="BodyText"/>
        <w:spacing w:line="242" w:lineRule="auto" w:before="80"/>
        <w:ind w:left="1205" w:right="464" w:hanging="810"/>
      </w:pPr>
      <w:r>
        <w:rPr/>
        <w:t>Reygadas, D. (2003) “Aspectos conceptuales de la sustentabilidad en el manejo de recursos: el paradigma político y académico”,  inédito</w:t>
      </w:r>
    </w:p>
    <w:p>
      <w:pPr>
        <w:pStyle w:val="BodyText"/>
        <w:spacing w:before="7"/>
        <w:rPr>
          <w:sz w:val="19"/>
        </w:rPr>
      </w:pPr>
    </w:p>
    <w:p>
      <w:pPr>
        <w:pStyle w:val="BodyText"/>
        <w:spacing w:line="242" w:lineRule="auto"/>
        <w:ind w:left="1205" w:right="544" w:hanging="810"/>
        <w:jc w:val="both"/>
      </w:pPr>
      <w:r>
        <w:rPr/>
        <w:t>USDA (2002) “Monitoring for Forest Management Unit Scale Indicators; the Local Unit Criteria and Indicators Development (LUCID) Test”, U.S. Department of Agricuture, Inventory and Monitoring Institute Report 5. 42  p.</w:t>
      </w:r>
    </w:p>
    <w:sectPr>
      <w:pgSz w:w="12240" w:h="15840"/>
      <w:pgMar w:header="0" w:footer="706" w:top="1500" w:bottom="90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pt;margin-top:745.703674pt;width:9.9pt;height:12.55pt;mso-position-horizontal-relative:page;mso-position-vertical-relative:page;z-index:-9088" type="#_x0000_t202" filled="false" stroked="false">
          <v:textbox inset="0,0,0,0">
            <w:txbxContent>
              <w:p>
                <w:pPr>
                  <w:spacing w:line="235" w:lineRule="exact" w:before="0"/>
                  <w:ind w:left="40" w:right="0" w:firstLine="0"/>
                  <w:jc w:val="left"/>
                  <w:rPr>
                    <w:sz w:val="21"/>
                  </w:rPr>
                </w:pPr>
                <w:r>
                  <w:rPr/>
                  <w:fldChar w:fldCharType="begin"/>
                </w:r>
                <w:r>
                  <w:rPr>
                    <w:w w:val="100"/>
                    <w:sz w:val="21"/>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upperRoman"/>
      <w:lvlText w:val="%1."/>
      <w:lvlJc w:val="left"/>
      <w:pPr>
        <w:ind w:left="800" w:hanging="163"/>
        <w:jc w:val="left"/>
      </w:pPr>
      <w:rPr>
        <w:rFonts w:hint="default" w:ascii="Arial" w:hAnsi="Arial" w:eastAsia="Arial" w:cs="Arial"/>
        <w:b/>
        <w:bCs/>
        <w:spacing w:val="0"/>
        <w:w w:val="101"/>
        <w:sz w:val="18"/>
        <w:szCs w:val="18"/>
      </w:rPr>
    </w:lvl>
    <w:lvl w:ilvl="1">
      <w:start w:val="1"/>
      <w:numFmt w:val="bullet"/>
      <w:lvlText w:val="•"/>
      <w:lvlJc w:val="left"/>
      <w:pPr>
        <w:ind w:left="1600" w:hanging="163"/>
      </w:pPr>
      <w:rPr>
        <w:rFonts w:hint="default"/>
      </w:rPr>
    </w:lvl>
    <w:lvl w:ilvl="2">
      <w:start w:val="1"/>
      <w:numFmt w:val="bullet"/>
      <w:lvlText w:val="•"/>
      <w:lvlJc w:val="left"/>
      <w:pPr>
        <w:ind w:left="2400" w:hanging="163"/>
      </w:pPr>
      <w:rPr>
        <w:rFonts w:hint="default"/>
      </w:rPr>
    </w:lvl>
    <w:lvl w:ilvl="3">
      <w:start w:val="1"/>
      <w:numFmt w:val="bullet"/>
      <w:lvlText w:val="•"/>
      <w:lvlJc w:val="left"/>
      <w:pPr>
        <w:ind w:left="3200" w:hanging="163"/>
      </w:pPr>
      <w:rPr>
        <w:rFonts w:hint="default"/>
      </w:rPr>
    </w:lvl>
    <w:lvl w:ilvl="4">
      <w:start w:val="1"/>
      <w:numFmt w:val="bullet"/>
      <w:lvlText w:val="•"/>
      <w:lvlJc w:val="left"/>
      <w:pPr>
        <w:ind w:left="4000" w:hanging="163"/>
      </w:pPr>
      <w:rPr>
        <w:rFonts w:hint="default"/>
      </w:rPr>
    </w:lvl>
    <w:lvl w:ilvl="5">
      <w:start w:val="1"/>
      <w:numFmt w:val="bullet"/>
      <w:lvlText w:val="•"/>
      <w:lvlJc w:val="left"/>
      <w:pPr>
        <w:ind w:left="4800" w:hanging="163"/>
      </w:pPr>
      <w:rPr>
        <w:rFonts w:hint="default"/>
      </w:rPr>
    </w:lvl>
    <w:lvl w:ilvl="6">
      <w:start w:val="1"/>
      <w:numFmt w:val="bullet"/>
      <w:lvlText w:val="•"/>
      <w:lvlJc w:val="left"/>
      <w:pPr>
        <w:ind w:left="5600" w:hanging="163"/>
      </w:pPr>
      <w:rPr>
        <w:rFonts w:hint="default"/>
      </w:rPr>
    </w:lvl>
    <w:lvl w:ilvl="7">
      <w:start w:val="1"/>
      <w:numFmt w:val="bullet"/>
      <w:lvlText w:val="•"/>
      <w:lvlJc w:val="left"/>
      <w:pPr>
        <w:ind w:left="6400" w:hanging="163"/>
      </w:pPr>
      <w:rPr>
        <w:rFonts w:hint="default"/>
      </w:rPr>
    </w:lvl>
    <w:lvl w:ilvl="8">
      <w:start w:val="1"/>
      <w:numFmt w:val="bullet"/>
      <w:lvlText w:val="•"/>
      <w:lvlJc w:val="left"/>
      <w:pPr>
        <w:ind w:left="7200" w:hanging="163"/>
      </w:pPr>
      <w:rPr>
        <w:rFonts w:hint="default"/>
      </w:rPr>
    </w:lvl>
  </w:abstractNum>
  <w:abstractNum w:abstractNumId="7">
    <w:multiLevelType w:val="hybridMultilevel"/>
    <w:lvl w:ilvl="0">
      <w:start w:val="1"/>
      <w:numFmt w:val="lowerLetter"/>
      <w:lvlText w:val="%1)"/>
      <w:lvlJc w:val="left"/>
      <w:pPr>
        <w:ind w:left="1070" w:hanging="510"/>
        <w:jc w:val="left"/>
      </w:pPr>
      <w:rPr>
        <w:rFonts w:hint="default" w:ascii="Arial" w:hAnsi="Arial" w:eastAsia="Arial" w:cs="Arial"/>
        <w:spacing w:val="-14"/>
        <w:w w:val="101"/>
        <w:sz w:val="18"/>
        <w:szCs w:val="18"/>
      </w:rPr>
    </w:lvl>
    <w:lvl w:ilvl="1">
      <w:start w:val="1"/>
      <w:numFmt w:val="bullet"/>
      <w:lvlText w:val="•"/>
      <w:lvlJc w:val="left"/>
      <w:pPr>
        <w:ind w:left="1852" w:hanging="510"/>
      </w:pPr>
      <w:rPr>
        <w:rFonts w:hint="default"/>
      </w:rPr>
    </w:lvl>
    <w:lvl w:ilvl="2">
      <w:start w:val="1"/>
      <w:numFmt w:val="bullet"/>
      <w:lvlText w:val="•"/>
      <w:lvlJc w:val="left"/>
      <w:pPr>
        <w:ind w:left="2624" w:hanging="510"/>
      </w:pPr>
      <w:rPr>
        <w:rFonts w:hint="default"/>
      </w:rPr>
    </w:lvl>
    <w:lvl w:ilvl="3">
      <w:start w:val="1"/>
      <w:numFmt w:val="bullet"/>
      <w:lvlText w:val="•"/>
      <w:lvlJc w:val="left"/>
      <w:pPr>
        <w:ind w:left="3396" w:hanging="510"/>
      </w:pPr>
      <w:rPr>
        <w:rFonts w:hint="default"/>
      </w:rPr>
    </w:lvl>
    <w:lvl w:ilvl="4">
      <w:start w:val="1"/>
      <w:numFmt w:val="bullet"/>
      <w:lvlText w:val="•"/>
      <w:lvlJc w:val="left"/>
      <w:pPr>
        <w:ind w:left="4168" w:hanging="510"/>
      </w:pPr>
      <w:rPr>
        <w:rFonts w:hint="default"/>
      </w:rPr>
    </w:lvl>
    <w:lvl w:ilvl="5">
      <w:start w:val="1"/>
      <w:numFmt w:val="bullet"/>
      <w:lvlText w:val="•"/>
      <w:lvlJc w:val="left"/>
      <w:pPr>
        <w:ind w:left="4940" w:hanging="510"/>
      </w:pPr>
      <w:rPr>
        <w:rFonts w:hint="default"/>
      </w:rPr>
    </w:lvl>
    <w:lvl w:ilvl="6">
      <w:start w:val="1"/>
      <w:numFmt w:val="bullet"/>
      <w:lvlText w:val="•"/>
      <w:lvlJc w:val="left"/>
      <w:pPr>
        <w:ind w:left="5712" w:hanging="510"/>
      </w:pPr>
      <w:rPr>
        <w:rFonts w:hint="default"/>
      </w:rPr>
    </w:lvl>
    <w:lvl w:ilvl="7">
      <w:start w:val="1"/>
      <w:numFmt w:val="bullet"/>
      <w:lvlText w:val="•"/>
      <w:lvlJc w:val="left"/>
      <w:pPr>
        <w:ind w:left="6484" w:hanging="510"/>
      </w:pPr>
      <w:rPr>
        <w:rFonts w:hint="default"/>
      </w:rPr>
    </w:lvl>
    <w:lvl w:ilvl="8">
      <w:start w:val="1"/>
      <w:numFmt w:val="bullet"/>
      <w:lvlText w:val="•"/>
      <w:lvlJc w:val="left"/>
      <w:pPr>
        <w:ind w:left="7256" w:hanging="510"/>
      </w:pPr>
      <w:rPr>
        <w:rFonts w:hint="default"/>
      </w:rPr>
    </w:lvl>
  </w:abstractNum>
  <w:abstractNum w:abstractNumId="6">
    <w:multiLevelType w:val="hybridMultilevel"/>
    <w:lvl w:ilvl="0">
      <w:start w:val="1"/>
      <w:numFmt w:val="decimal"/>
      <w:lvlText w:val="%1."/>
      <w:lvlJc w:val="left"/>
      <w:pPr>
        <w:ind w:left="1005" w:hanging="205"/>
        <w:jc w:val="left"/>
      </w:pPr>
      <w:rPr>
        <w:rFonts w:hint="default" w:ascii="Arial" w:hAnsi="Arial" w:eastAsia="Arial" w:cs="Arial"/>
        <w:spacing w:val="0"/>
        <w:w w:val="101"/>
        <w:sz w:val="18"/>
        <w:szCs w:val="18"/>
      </w:rPr>
    </w:lvl>
    <w:lvl w:ilvl="1">
      <w:start w:val="1"/>
      <w:numFmt w:val="bullet"/>
      <w:lvlText w:val="•"/>
      <w:lvlJc w:val="left"/>
      <w:pPr>
        <w:ind w:left="1780" w:hanging="205"/>
      </w:pPr>
      <w:rPr>
        <w:rFonts w:hint="default"/>
      </w:rPr>
    </w:lvl>
    <w:lvl w:ilvl="2">
      <w:start w:val="1"/>
      <w:numFmt w:val="bullet"/>
      <w:lvlText w:val="•"/>
      <w:lvlJc w:val="left"/>
      <w:pPr>
        <w:ind w:left="2560" w:hanging="205"/>
      </w:pPr>
      <w:rPr>
        <w:rFonts w:hint="default"/>
      </w:rPr>
    </w:lvl>
    <w:lvl w:ilvl="3">
      <w:start w:val="1"/>
      <w:numFmt w:val="bullet"/>
      <w:lvlText w:val="•"/>
      <w:lvlJc w:val="left"/>
      <w:pPr>
        <w:ind w:left="3340" w:hanging="205"/>
      </w:pPr>
      <w:rPr>
        <w:rFonts w:hint="default"/>
      </w:rPr>
    </w:lvl>
    <w:lvl w:ilvl="4">
      <w:start w:val="1"/>
      <w:numFmt w:val="bullet"/>
      <w:lvlText w:val="•"/>
      <w:lvlJc w:val="left"/>
      <w:pPr>
        <w:ind w:left="4120" w:hanging="205"/>
      </w:pPr>
      <w:rPr>
        <w:rFonts w:hint="default"/>
      </w:rPr>
    </w:lvl>
    <w:lvl w:ilvl="5">
      <w:start w:val="1"/>
      <w:numFmt w:val="bullet"/>
      <w:lvlText w:val="•"/>
      <w:lvlJc w:val="left"/>
      <w:pPr>
        <w:ind w:left="4900" w:hanging="205"/>
      </w:pPr>
      <w:rPr>
        <w:rFonts w:hint="default"/>
      </w:rPr>
    </w:lvl>
    <w:lvl w:ilvl="6">
      <w:start w:val="1"/>
      <w:numFmt w:val="bullet"/>
      <w:lvlText w:val="•"/>
      <w:lvlJc w:val="left"/>
      <w:pPr>
        <w:ind w:left="5680" w:hanging="205"/>
      </w:pPr>
      <w:rPr>
        <w:rFonts w:hint="default"/>
      </w:rPr>
    </w:lvl>
    <w:lvl w:ilvl="7">
      <w:start w:val="1"/>
      <w:numFmt w:val="bullet"/>
      <w:lvlText w:val="•"/>
      <w:lvlJc w:val="left"/>
      <w:pPr>
        <w:ind w:left="6460" w:hanging="205"/>
      </w:pPr>
      <w:rPr>
        <w:rFonts w:hint="default"/>
      </w:rPr>
    </w:lvl>
    <w:lvl w:ilvl="8">
      <w:start w:val="1"/>
      <w:numFmt w:val="bullet"/>
      <w:lvlText w:val="•"/>
      <w:lvlJc w:val="left"/>
      <w:pPr>
        <w:ind w:left="7240" w:hanging="205"/>
      </w:pPr>
      <w:rPr>
        <w:rFonts w:hint="default"/>
      </w:rPr>
    </w:lvl>
  </w:abstractNum>
  <w:abstractNum w:abstractNumId="5">
    <w:multiLevelType w:val="hybridMultilevel"/>
    <w:lvl w:ilvl="0">
      <w:start w:val="1"/>
      <w:numFmt w:val="lowerLetter"/>
      <w:lvlText w:val="%1)"/>
      <w:lvlJc w:val="left"/>
      <w:pPr>
        <w:ind w:left="1325" w:hanging="405"/>
        <w:jc w:val="left"/>
      </w:pPr>
      <w:rPr>
        <w:rFonts w:hint="default" w:ascii="Arial" w:hAnsi="Arial" w:eastAsia="Arial" w:cs="Arial"/>
        <w:spacing w:val="0"/>
        <w:w w:val="101"/>
        <w:sz w:val="18"/>
        <w:szCs w:val="18"/>
      </w:rPr>
    </w:lvl>
    <w:lvl w:ilvl="1">
      <w:start w:val="1"/>
      <w:numFmt w:val="bullet"/>
      <w:lvlText w:val="•"/>
      <w:lvlJc w:val="left"/>
      <w:pPr>
        <w:ind w:left="2068" w:hanging="405"/>
      </w:pPr>
      <w:rPr>
        <w:rFonts w:hint="default"/>
      </w:rPr>
    </w:lvl>
    <w:lvl w:ilvl="2">
      <w:start w:val="1"/>
      <w:numFmt w:val="bullet"/>
      <w:lvlText w:val="•"/>
      <w:lvlJc w:val="left"/>
      <w:pPr>
        <w:ind w:left="2816" w:hanging="405"/>
      </w:pPr>
      <w:rPr>
        <w:rFonts w:hint="default"/>
      </w:rPr>
    </w:lvl>
    <w:lvl w:ilvl="3">
      <w:start w:val="1"/>
      <w:numFmt w:val="bullet"/>
      <w:lvlText w:val="•"/>
      <w:lvlJc w:val="left"/>
      <w:pPr>
        <w:ind w:left="3564" w:hanging="405"/>
      </w:pPr>
      <w:rPr>
        <w:rFonts w:hint="default"/>
      </w:rPr>
    </w:lvl>
    <w:lvl w:ilvl="4">
      <w:start w:val="1"/>
      <w:numFmt w:val="bullet"/>
      <w:lvlText w:val="•"/>
      <w:lvlJc w:val="left"/>
      <w:pPr>
        <w:ind w:left="4312" w:hanging="405"/>
      </w:pPr>
      <w:rPr>
        <w:rFonts w:hint="default"/>
      </w:rPr>
    </w:lvl>
    <w:lvl w:ilvl="5">
      <w:start w:val="1"/>
      <w:numFmt w:val="bullet"/>
      <w:lvlText w:val="•"/>
      <w:lvlJc w:val="left"/>
      <w:pPr>
        <w:ind w:left="5060" w:hanging="405"/>
      </w:pPr>
      <w:rPr>
        <w:rFonts w:hint="default"/>
      </w:rPr>
    </w:lvl>
    <w:lvl w:ilvl="6">
      <w:start w:val="1"/>
      <w:numFmt w:val="bullet"/>
      <w:lvlText w:val="•"/>
      <w:lvlJc w:val="left"/>
      <w:pPr>
        <w:ind w:left="5808" w:hanging="405"/>
      </w:pPr>
      <w:rPr>
        <w:rFonts w:hint="default"/>
      </w:rPr>
    </w:lvl>
    <w:lvl w:ilvl="7">
      <w:start w:val="1"/>
      <w:numFmt w:val="bullet"/>
      <w:lvlText w:val="•"/>
      <w:lvlJc w:val="left"/>
      <w:pPr>
        <w:ind w:left="6556" w:hanging="405"/>
      </w:pPr>
      <w:rPr>
        <w:rFonts w:hint="default"/>
      </w:rPr>
    </w:lvl>
    <w:lvl w:ilvl="8">
      <w:start w:val="1"/>
      <w:numFmt w:val="bullet"/>
      <w:lvlText w:val="•"/>
      <w:lvlJc w:val="left"/>
      <w:pPr>
        <w:ind w:left="7304" w:hanging="405"/>
      </w:pPr>
      <w:rPr>
        <w:rFonts w:hint="default"/>
      </w:rPr>
    </w:lvl>
  </w:abstractNum>
  <w:abstractNum w:abstractNumId="4">
    <w:multiLevelType w:val="hybridMultilevel"/>
    <w:lvl w:ilvl="0">
      <w:start w:val="1"/>
      <w:numFmt w:val="lowerLetter"/>
      <w:lvlText w:val="%1)"/>
      <w:lvlJc w:val="left"/>
      <w:pPr>
        <w:ind w:left="608" w:hanging="214"/>
        <w:jc w:val="left"/>
      </w:pPr>
      <w:rPr>
        <w:rFonts w:hint="default" w:ascii="Arial" w:hAnsi="Arial" w:eastAsia="Arial" w:cs="Arial"/>
        <w:spacing w:val="0"/>
        <w:w w:val="101"/>
        <w:sz w:val="18"/>
        <w:szCs w:val="18"/>
      </w:rPr>
    </w:lvl>
    <w:lvl w:ilvl="1">
      <w:start w:val="1"/>
      <w:numFmt w:val="bullet"/>
      <w:lvlText w:val="•"/>
      <w:lvlJc w:val="left"/>
      <w:pPr>
        <w:ind w:left="1420" w:hanging="214"/>
      </w:pPr>
      <w:rPr>
        <w:rFonts w:hint="default"/>
      </w:rPr>
    </w:lvl>
    <w:lvl w:ilvl="2">
      <w:start w:val="1"/>
      <w:numFmt w:val="bullet"/>
      <w:lvlText w:val="•"/>
      <w:lvlJc w:val="left"/>
      <w:pPr>
        <w:ind w:left="2240" w:hanging="214"/>
      </w:pPr>
      <w:rPr>
        <w:rFonts w:hint="default"/>
      </w:rPr>
    </w:lvl>
    <w:lvl w:ilvl="3">
      <w:start w:val="1"/>
      <w:numFmt w:val="bullet"/>
      <w:lvlText w:val="•"/>
      <w:lvlJc w:val="left"/>
      <w:pPr>
        <w:ind w:left="3060" w:hanging="214"/>
      </w:pPr>
      <w:rPr>
        <w:rFonts w:hint="default"/>
      </w:rPr>
    </w:lvl>
    <w:lvl w:ilvl="4">
      <w:start w:val="1"/>
      <w:numFmt w:val="bullet"/>
      <w:lvlText w:val="•"/>
      <w:lvlJc w:val="left"/>
      <w:pPr>
        <w:ind w:left="3880" w:hanging="214"/>
      </w:pPr>
      <w:rPr>
        <w:rFonts w:hint="default"/>
      </w:rPr>
    </w:lvl>
    <w:lvl w:ilvl="5">
      <w:start w:val="1"/>
      <w:numFmt w:val="bullet"/>
      <w:lvlText w:val="•"/>
      <w:lvlJc w:val="left"/>
      <w:pPr>
        <w:ind w:left="4700" w:hanging="214"/>
      </w:pPr>
      <w:rPr>
        <w:rFonts w:hint="default"/>
      </w:rPr>
    </w:lvl>
    <w:lvl w:ilvl="6">
      <w:start w:val="1"/>
      <w:numFmt w:val="bullet"/>
      <w:lvlText w:val="•"/>
      <w:lvlJc w:val="left"/>
      <w:pPr>
        <w:ind w:left="5520" w:hanging="214"/>
      </w:pPr>
      <w:rPr>
        <w:rFonts w:hint="default"/>
      </w:rPr>
    </w:lvl>
    <w:lvl w:ilvl="7">
      <w:start w:val="1"/>
      <w:numFmt w:val="bullet"/>
      <w:lvlText w:val="•"/>
      <w:lvlJc w:val="left"/>
      <w:pPr>
        <w:ind w:left="6340" w:hanging="214"/>
      </w:pPr>
      <w:rPr>
        <w:rFonts w:hint="default"/>
      </w:rPr>
    </w:lvl>
    <w:lvl w:ilvl="8">
      <w:start w:val="1"/>
      <w:numFmt w:val="bullet"/>
      <w:lvlText w:val="•"/>
      <w:lvlJc w:val="left"/>
      <w:pPr>
        <w:ind w:left="7160" w:hanging="214"/>
      </w:pPr>
      <w:rPr>
        <w:rFonts w:hint="default"/>
      </w:rPr>
    </w:lvl>
  </w:abstractNum>
  <w:abstractNum w:abstractNumId="3">
    <w:multiLevelType w:val="hybridMultilevel"/>
    <w:lvl w:ilvl="0">
      <w:start w:val="1"/>
      <w:numFmt w:val="decimal"/>
      <w:lvlText w:val="%1."/>
      <w:lvlJc w:val="left"/>
      <w:pPr>
        <w:ind w:left="395" w:hanging="675"/>
        <w:jc w:val="left"/>
      </w:pPr>
      <w:rPr>
        <w:rFonts w:hint="default" w:ascii="Arial" w:hAnsi="Arial" w:eastAsia="Arial" w:cs="Arial"/>
        <w:i/>
        <w:spacing w:val="0"/>
        <w:w w:val="101"/>
        <w:sz w:val="18"/>
        <w:szCs w:val="18"/>
      </w:rPr>
    </w:lvl>
    <w:lvl w:ilvl="1">
      <w:start w:val="1"/>
      <w:numFmt w:val="lowerLetter"/>
      <w:lvlText w:val="%2)"/>
      <w:lvlJc w:val="left"/>
      <w:pPr>
        <w:ind w:left="1745" w:hanging="420"/>
        <w:jc w:val="left"/>
      </w:pPr>
      <w:rPr>
        <w:rFonts w:hint="default" w:ascii="Arial" w:hAnsi="Arial" w:eastAsia="Arial" w:cs="Arial"/>
        <w:spacing w:val="0"/>
        <w:w w:val="101"/>
        <w:sz w:val="18"/>
        <w:szCs w:val="18"/>
      </w:rPr>
    </w:lvl>
    <w:lvl w:ilvl="2">
      <w:start w:val="1"/>
      <w:numFmt w:val="bullet"/>
      <w:lvlText w:val="•"/>
      <w:lvlJc w:val="left"/>
      <w:pPr>
        <w:ind w:left="2524" w:hanging="420"/>
      </w:pPr>
      <w:rPr>
        <w:rFonts w:hint="default"/>
      </w:rPr>
    </w:lvl>
    <w:lvl w:ilvl="3">
      <w:start w:val="1"/>
      <w:numFmt w:val="bullet"/>
      <w:lvlText w:val="•"/>
      <w:lvlJc w:val="left"/>
      <w:pPr>
        <w:ind w:left="3308" w:hanging="420"/>
      </w:pPr>
      <w:rPr>
        <w:rFonts w:hint="default"/>
      </w:rPr>
    </w:lvl>
    <w:lvl w:ilvl="4">
      <w:start w:val="1"/>
      <w:numFmt w:val="bullet"/>
      <w:lvlText w:val="•"/>
      <w:lvlJc w:val="left"/>
      <w:pPr>
        <w:ind w:left="4093" w:hanging="420"/>
      </w:pPr>
      <w:rPr>
        <w:rFonts w:hint="default"/>
      </w:rPr>
    </w:lvl>
    <w:lvl w:ilvl="5">
      <w:start w:val="1"/>
      <w:numFmt w:val="bullet"/>
      <w:lvlText w:val="•"/>
      <w:lvlJc w:val="left"/>
      <w:pPr>
        <w:ind w:left="4877" w:hanging="420"/>
      </w:pPr>
      <w:rPr>
        <w:rFonts w:hint="default"/>
      </w:rPr>
    </w:lvl>
    <w:lvl w:ilvl="6">
      <w:start w:val="1"/>
      <w:numFmt w:val="bullet"/>
      <w:lvlText w:val="•"/>
      <w:lvlJc w:val="left"/>
      <w:pPr>
        <w:ind w:left="5662" w:hanging="420"/>
      </w:pPr>
      <w:rPr>
        <w:rFonts w:hint="default"/>
      </w:rPr>
    </w:lvl>
    <w:lvl w:ilvl="7">
      <w:start w:val="1"/>
      <w:numFmt w:val="bullet"/>
      <w:lvlText w:val="•"/>
      <w:lvlJc w:val="left"/>
      <w:pPr>
        <w:ind w:left="6446" w:hanging="420"/>
      </w:pPr>
      <w:rPr>
        <w:rFonts w:hint="default"/>
      </w:rPr>
    </w:lvl>
    <w:lvl w:ilvl="8">
      <w:start w:val="1"/>
      <w:numFmt w:val="bullet"/>
      <w:lvlText w:val="•"/>
      <w:lvlJc w:val="left"/>
      <w:pPr>
        <w:ind w:left="7231" w:hanging="420"/>
      </w:pPr>
      <w:rPr>
        <w:rFonts w:hint="default"/>
      </w:rPr>
    </w:lvl>
  </w:abstractNum>
  <w:abstractNum w:abstractNumId="2">
    <w:multiLevelType w:val="hybridMultilevel"/>
    <w:lvl w:ilvl="0">
      <w:start w:val="1"/>
      <w:numFmt w:val="upperLetter"/>
      <w:lvlText w:val="%1."/>
      <w:lvlJc w:val="left"/>
      <w:pPr>
        <w:ind w:left="631" w:hanging="237"/>
        <w:jc w:val="left"/>
      </w:pPr>
      <w:rPr>
        <w:rFonts w:hint="default" w:ascii="Arial" w:hAnsi="Arial" w:eastAsia="Arial" w:cs="Arial"/>
        <w:b/>
        <w:bCs/>
        <w:spacing w:val="0"/>
        <w:w w:val="101"/>
        <w:sz w:val="18"/>
        <w:szCs w:val="18"/>
      </w:rPr>
    </w:lvl>
    <w:lvl w:ilvl="1">
      <w:start w:val="1"/>
      <w:numFmt w:val="decimal"/>
      <w:lvlText w:val="%2."/>
      <w:lvlJc w:val="left"/>
      <w:pPr>
        <w:ind w:left="1070" w:hanging="270"/>
        <w:jc w:val="left"/>
      </w:pPr>
      <w:rPr>
        <w:rFonts w:hint="default" w:ascii="Arial" w:hAnsi="Arial" w:eastAsia="Arial" w:cs="Arial"/>
        <w:spacing w:val="-9"/>
        <w:w w:val="101"/>
        <w:sz w:val="18"/>
        <w:szCs w:val="18"/>
      </w:rPr>
    </w:lvl>
    <w:lvl w:ilvl="2">
      <w:start w:val="3"/>
      <w:numFmt w:val="decimal"/>
      <w:lvlText w:val="%3."/>
      <w:lvlJc w:val="left"/>
      <w:pPr>
        <w:ind w:left="956" w:hanging="157"/>
        <w:jc w:val="right"/>
      </w:pPr>
      <w:rPr>
        <w:rFonts w:hint="default" w:ascii="Arial" w:hAnsi="Arial" w:eastAsia="Arial" w:cs="Arial"/>
        <w:spacing w:val="2"/>
        <w:w w:val="101"/>
        <w:sz w:val="18"/>
        <w:szCs w:val="18"/>
      </w:rPr>
    </w:lvl>
    <w:lvl w:ilvl="3">
      <w:start w:val="1"/>
      <w:numFmt w:val="bullet"/>
      <w:lvlText w:val="•"/>
      <w:lvlJc w:val="left"/>
      <w:pPr>
        <w:ind w:left="1080" w:hanging="157"/>
      </w:pPr>
      <w:rPr>
        <w:rFonts w:hint="default"/>
      </w:rPr>
    </w:lvl>
    <w:lvl w:ilvl="4">
      <w:start w:val="1"/>
      <w:numFmt w:val="bullet"/>
      <w:lvlText w:val="•"/>
      <w:lvlJc w:val="left"/>
      <w:pPr>
        <w:ind w:left="2182" w:hanging="157"/>
      </w:pPr>
      <w:rPr>
        <w:rFonts w:hint="default"/>
      </w:rPr>
    </w:lvl>
    <w:lvl w:ilvl="5">
      <w:start w:val="1"/>
      <w:numFmt w:val="bullet"/>
      <w:lvlText w:val="•"/>
      <w:lvlJc w:val="left"/>
      <w:pPr>
        <w:ind w:left="3285" w:hanging="157"/>
      </w:pPr>
      <w:rPr>
        <w:rFonts w:hint="default"/>
      </w:rPr>
    </w:lvl>
    <w:lvl w:ilvl="6">
      <w:start w:val="1"/>
      <w:numFmt w:val="bullet"/>
      <w:lvlText w:val="•"/>
      <w:lvlJc w:val="left"/>
      <w:pPr>
        <w:ind w:left="4388" w:hanging="157"/>
      </w:pPr>
      <w:rPr>
        <w:rFonts w:hint="default"/>
      </w:rPr>
    </w:lvl>
    <w:lvl w:ilvl="7">
      <w:start w:val="1"/>
      <w:numFmt w:val="bullet"/>
      <w:lvlText w:val="•"/>
      <w:lvlJc w:val="left"/>
      <w:pPr>
        <w:ind w:left="5491" w:hanging="157"/>
      </w:pPr>
      <w:rPr>
        <w:rFonts w:hint="default"/>
      </w:rPr>
    </w:lvl>
    <w:lvl w:ilvl="8">
      <w:start w:val="1"/>
      <w:numFmt w:val="bullet"/>
      <w:lvlText w:val="•"/>
      <w:lvlJc w:val="left"/>
      <w:pPr>
        <w:ind w:left="6594" w:hanging="157"/>
      </w:pPr>
      <w:rPr>
        <w:rFonts w:hint="default"/>
      </w:rPr>
    </w:lvl>
  </w:abstractNum>
  <w:abstractNum w:abstractNumId="1">
    <w:multiLevelType w:val="hybridMultilevel"/>
    <w:lvl w:ilvl="0">
      <w:start w:val="1"/>
      <w:numFmt w:val="decimal"/>
      <w:lvlText w:val="%1)"/>
      <w:lvlJc w:val="left"/>
      <w:pPr>
        <w:ind w:left="1280" w:hanging="345"/>
        <w:jc w:val="left"/>
      </w:pPr>
      <w:rPr>
        <w:rFonts w:hint="default" w:ascii="Arial" w:hAnsi="Arial" w:eastAsia="Arial" w:cs="Arial"/>
        <w:spacing w:val="0"/>
        <w:w w:val="101"/>
        <w:sz w:val="18"/>
        <w:szCs w:val="18"/>
      </w:rPr>
    </w:lvl>
    <w:lvl w:ilvl="1">
      <w:start w:val="1"/>
      <w:numFmt w:val="lowerLetter"/>
      <w:lvlText w:val="%2."/>
      <w:lvlJc w:val="left"/>
      <w:pPr>
        <w:ind w:left="1955" w:hanging="360"/>
        <w:jc w:val="left"/>
      </w:pPr>
      <w:rPr>
        <w:rFonts w:hint="default" w:ascii="Arial" w:hAnsi="Arial" w:eastAsia="Arial" w:cs="Arial"/>
        <w:spacing w:val="0"/>
        <w:w w:val="101"/>
        <w:sz w:val="18"/>
        <w:szCs w:val="18"/>
      </w:rPr>
    </w:lvl>
    <w:lvl w:ilvl="2">
      <w:start w:val="1"/>
      <w:numFmt w:val="bullet"/>
      <w:lvlText w:val="•"/>
      <w:lvlJc w:val="left"/>
      <w:pPr>
        <w:ind w:left="272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40"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760"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280" w:hanging="360"/>
      </w:pPr>
      <w:rPr>
        <w:rFonts w:hint="default"/>
      </w:rPr>
    </w:lvl>
  </w:abstractNum>
  <w:abstractNum w:abstractNumId="0">
    <w:multiLevelType w:val="hybridMultilevel"/>
    <w:lvl w:ilvl="0">
      <w:start w:val="1"/>
      <w:numFmt w:val="decimal"/>
      <w:lvlText w:val="%1)"/>
      <w:lvlJc w:val="left"/>
      <w:pPr>
        <w:ind w:left="1280" w:hanging="345"/>
        <w:jc w:val="left"/>
      </w:pPr>
      <w:rPr>
        <w:rFonts w:hint="default" w:ascii="Arial" w:hAnsi="Arial" w:eastAsia="Arial" w:cs="Arial"/>
        <w:spacing w:val="0"/>
        <w:w w:val="101"/>
        <w:sz w:val="18"/>
        <w:szCs w:val="18"/>
      </w:rPr>
    </w:lvl>
    <w:lvl w:ilvl="1">
      <w:start w:val="1"/>
      <w:numFmt w:val="bullet"/>
      <w:lvlText w:val="•"/>
      <w:lvlJc w:val="left"/>
      <w:pPr>
        <w:ind w:left="2032" w:hanging="345"/>
      </w:pPr>
      <w:rPr>
        <w:rFonts w:hint="default"/>
      </w:rPr>
    </w:lvl>
    <w:lvl w:ilvl="2">
      <w:start w:val="1"/>
      <w:numFmt w:val="bullet"/>
      <w:lvlText w:val="•"/>
      <w:lvlJc w:val="left"/>
      <w:pPr>
        <w:ind w:left="2784" w:hanging="345"/>
      </w:pPr>
      <w:rPr>
        <w:rFonts w:hint="default"/>
      </w:rPr>
    </w:lvl>
    <w:lvl w:ilvl="3">
      <w:start w:val="1"/>
      <w:numFmt w:val="bullet"/>
      <w:lvlText w:val="•"/>
      <w:lvlJc w:val="left"/>
      <w:pPr>
        <w:ind w:left="3536" w:hanging="345"/>
      </w:pPr>
      <w:rPr>
        <w:rFonts w:hint="default"/>
      </w:rPr>
    </w:lvl>
    <w:lvl w:ilvl="4">
      <w:start w:val="1"/>
      <w:numFmt w:val="bullet"/>
      <w:lvlText w:val="•"/>
      <w:lvlJc w:val="left"/>
      <w:pPr>
        <w:ind w:left="4288" w:hanging="345"/>
      </w:pPr>
      <w:rPr>
        <w:rFonts w:hint="default"/>
      </w:rPr>
    </w:lvl>
    <w:lvl w:ilvl="5">
      <w:start w:val="1"/>
      <w:numFmt w:val="bullet"/>
      <w:lvlText w:val="•"/>
      <w:lvlJc w:val="left"/>
      <w:pPr>
        <w:ind w:left="5040" w:hanging="345"/>
      </w:pPr>
      <w:rPr>
        <w:rFonts w:hint="default"/>
      </w:rPr>
    </w:lvl>
    <w:lvl w:ilvl="6">
      <w:start w:val="1"/>
      <w:numFmt w:val="bullet"/>
      <w:lvlText w:val="•"/>
      <w:lvlJc w:val="left"/>
      <w:pPr>
        <w:ind w:left="5792" w:hanging="345"/>
      </w:pPr>
      <w:rPr>
        <w:rFonts w:hint="default"/>
      </w:rPr>
    </w:lvl>
    <w:lvl w:ilvl="7">
      <w:start w:val="1"/>
      <w:numFmt w:val="bullet"/>
      <w:lvlText w:val="•"/>
      <w:lvlJc w:val="left"/>
      <w:pPr>
        <w:ind w:left="6544" w:hanging="345"/>
      </w:pPr>
      <w:rPr>
        <w:rFonts w:hint="default"/>
      </w:rPr>
    </w:lvl>
    <w:lvl w:ilvl="8">
      <w:start w:val="1"/>
      <w:numFmt w:val="bullet"/>
      <w:lvlText w:val="•"/>
      <w:lvlJc w:val="left"/>
      <w:pPr>
        <w:ind w:left="7296" w:hanging="345"/>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ind w:left="395"/>
      <w:outlineLvl w:val="1"/>
    </w:pPr>
    <w:rPr>
      <w:rFonts w:ascii="Arial" w:hAnsi="Arial" w:eastAsia="Arial" w:cs="Arial"/>
      <w:b/>
      <w:bCs/>
      <w:sz w:val="18"/>
      <w:szCs w:val="18"/>
    </w:rPr>
  </w:style>
  <w:style w:styleId="ListParagraph" w:type="paragraph">
    <w:name w:val="List Paragraph"/>
    <w:basedOn w:val="Normal"/>
    <w:uiPriority w:val="1"/>
    <w:qFormat/>
    <w:pPr>
      <w:spacing w:before="3"/>
      <w:ind w:left="107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mapas.ine.gob.mx/website/atlas/index.html)" TargetMode="External"/><Relationship Id="rId7" Type="http://schemas.openxmlformats.org/officeDocument/2006/relationships/hyperlink" Target="http://www.conapo.gob.mx/publicaciones/indice2000.htm" TargetMode="External"/><Relationship Id="rId8" Type="http://schemas.openxmlformats.org/officeDocument/2006/relationships/hyperlink" Target="http://mapas.ine.gob.mx/website/atlas/index.html" TargetMode="External"/><Relationship Id="rId9" Type="http://schemas.openxmlformats.org/officeDocument/2006/relationships/hyperlink" Target="http://www.mpci.org/rep-"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El diseño y uso de indicadores en la fases de caracterizac…</dc:title>
  <dcterms:created xsi:type="dcterms:W3CDTF">2017-06-07T19:15:28Z</dcterms:created>
  <dcterms:modified xsi:type="dcterms:W3CDTF">2017-06-07T19:15:28Z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El diseño y uso de indicadores en la fases de caracterización_&amp;_Palacio_Sánchez_Delgado_Propin_Casado - Microsoft Word</vt:lpwstr>
  </property>
  <property fmtid="{D5CDD505-2E9C-101B-9397-08002B2CF9AE}" pid="4" name="LastSaved">
    <vt:filetime>2017-06-07T00:00:00Z</vt:filetime>
  </property>
</Properties>
</file>