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7" w:lineRule="auto" w:before="54"/>
        <w:ind w:left="395" w:right="771" w:firstLine="0"/>
        <w:jc w:val="left"/>
        <w:rPr>
          <w:b/>
          <w:sz w:val="29"/>
        </w:rPr>
      </w:pPr>
      <w:r>
        <w:rPr>
          <w:b/>
          <w:sz w:val="29"/>
        </w:rPr>
        <w:t>ORDENACIÓN DEL TERRITORIO: CONCEPTUALIZACIÓN Y DINÁMICA RECIENTE EN EL ÁMBITO DE LA UNIÓN EUROPEA  (UE)</w:t>
      </w:r>
    </w:p>
    <w:p>
      <w:pPr>
        <w:spacing w:before="256"/>
        <w:ind w:left="5985" w:right="437" w:firstLine="750"/>
        <w:jc w:val="right"/>
        <w:rPr>
          <w:sz w:val="21"/>
        </w:rPr>
      </w:pPr>
      <w:r>
        <w:rPr>
          <w:sz w:val="21"/>
        </w:rPr>
        <w:t>Alfonso M. Doctor</w:t>
      </w:r>
      <w:r>
        <w:rPr>
          <w:w w:val="100"/>
          <w:sz w:val="21"/>
        </w:rPr>
        <w:t> </w:t>
      </w:r>
      <w:r>
        <w:rPr>
          <w:sz w:val="21"/>
        </w:rPr>
        <w:t>Área de Geografía Humana</w:t>
      </w:r>
      <w:r>
        <w:rPr>
          <w:w w:val="100"/>
          <w:sz w:val="21"/>
        </w:rPr>
        <w:t> </w:t>
      </w:r>
      <w:r>
        <w:rPr>
          <w:sz w:val="21"/>
        </w:rPr>
        <w:t>Departamento de Historia II</w:t>
      </w:r>
      <w:r>
        <w:rPr>
          <w:w w:val="100"/>
          <w:sz w:val="21"/>
        </w:rPr>
        <w:t> </w:t>
      </w:r>
      <w:r>
        <w:rPr>
          <w:sz w:val="21"/>
        </w:rPr>
        <w:t>Universidad de Huelva</w:t>
      </w:r>
      <w:r>
        <w:rPr>
          <w:w w:val="100"/>
          <w:sz w:val="21"/>
        </w:rPr>
        <w:t> </w:t>
      </w:r>
      <w:r>
        <w:rPr>
          <w:sz w:val="21"/>
        </w:rPr>
        <w:t>Campus El Carmen</w:t>
      </w:r>
    </w:p>
    <w:p>
      <w:pPr>
        <w:spacing w:before="0"/>
        <w:ind w:left="6369" w:right="438" w:hanging="195"/>
        <w:jc w:val="right"/>
        <w:rPr>
          <w:sz w:val="21"/>
        </w:rPr>
      </w:pPr>
      <w:r>
        <w:rPr>
          <w:sz w:val="21"/>
        </w:rPr>
        <w:t>Av. Fuerzas Armadas, s/n</w:t>
      </w:r>
      <w:r>
        <w:rPr>
          <w:w w:val="100"/>
          <w:sz w:val="21"/>
        </w:rPr>
        <w:t> </w:t>
      </w:r>
      <w:r>
        <w:rPr>
          <w:sz w:val="21"/>
        </w:rPr>
        <w:t>21071 Huelva (España)</w:t>
      </w:r>
    </w:p>
    <w:p>
      <w:pPr>
        <w:spacing w:line="240" w:lineRule="exact" w:before="0"/>
        <w:ind w:left="0" w:right="452" w:firstLine="0"/>
        <w:jc w:val="right"/>
        <w:rPr>
          <w:sz w:val="21"/>
        </w:rPr>
      </w:pPr>
      <w:hyperlink r:id="rId5">
        <w:r>
          <w:rPr>
            <w:color w:val="0000FF"/>
            <w:sz w:val="21"/>
          </w:rPr>
          <w:t>adoctor@uhu.es</w:t>
        </w:r>
      </w:hyperlink>
    </w:p>
    <w:p>
      <w:pPr>
        <w:pStyle w:val="BodyText"/>
        <w:rPr>
          <w:sz w:val="20"/>
        </w:rPr>
      </w:pPr>
    </w:p>
    <w:p>
      <w:pPr>
        <w:pStyle w:val="BodyText"/>
        <w:spacing w:before="4"/>
        <w:rPr>
          <w:sz w:val="23"/>
        </w:rPr>
      </w:pPr>
    </w:p>
    <w:p>
      <w:pPr>
        <w:pStyle w:val="Heading1"/>
        <w:numPr>
          <w:ilvl w:val="0"/>
          <w:numId w:val="1"/>
        </w:numPr>
        <w:tabs>
          <w:tab w:pos="1070" w:val="left" w:leader="none"/>
        </w:tabs>
        <w:spacing w:line="240" w:lineRule="auto" w:before="0" w:after="0"/>
        <w:ind w:left="1070" w:right="0" w:hanging="330"/>
        <w:jc w:val="left"/>
      </w:pPr>
      <w:r>
        <w:rPr/>
        <w:t>EL CONCEPTO DE ORDENACIÓN DEL </w:t>
      </w:r>
      <w:r>
        <w:rPr>
          <w:spacing w:val="47"/>
        </w:rPr>
        <w:t> </w:t>
      </w:r>
      <w:r>
        <w:rPr/>
        <w:t>TERRITORIO</w:t>
      </w:r>
    </w:p>
    <w:p>
      <w:pPr>
        <w:pStyle w:val="BodyText"/>
        <w:spacing w:before="7"/>
        <w:rPr>
          <w:b/>
          <w:sz w:val="23"/>
        </w:rPr>
      </w:pPr>
    </w:p>
    <w:p>
      <w:pPr>
        <w:pStyle w:val="BodyText"/>
        <w:spacing w:line="244" w:lineRule="auto"/>
        <w:ind w:left="395" w:right="421"/>
        <w:jc w:val="both"/>
      </w:pPr>
      <w:r>
        <w:rPr/>
        <w:t>Si bien es cierto que, como realidad práctica, las comunidades humanas  han  </w:t>
      </w:r>
      <w:r>
        <w:rPr>
          <w:spacing w:val="-2"/>
        </w:rPr>
        <w:t>ido</w:t>
      </w:r>
      <w:r>
        <w:rPr>
          <w:spacing w:val="51"/>
        </w:rPr>
        <w:t> </w:t>
      </w:r>
      <w:r>
        <w:rPr/>
        <w:t>actuando sobre el territorio desde su mismo asentamiento en él, de manera consciente -    y, en ocasiones, preconcebida o planeada, por lo que puede decirse que han </w:t>
      </w:r>
      <w:r>
        <w:rPr>
          <w:spacing w:val="-2"/>
        </w:rPr>
        <w:t>ido </w:t>
      </w:r>
      <w:r>
        <w:rPr>
          <w:spacing w:val="-3"/>
        </w:rPr>
        <w:t>ordenándolo </w:t>
      </w:r>
      <w:r>
        <w:rPr/>
        <w:t>-, como disciplina científica propiamente dicha la Ordenación del Territorio  es aún joven. Dicha juventud hace que, a la hora de definirla, sus </w:t>
      </w:r>
      <w:r>
        <w:rPr>
          <w:spacing w:val="-3"/>
        </w:rPr>
        <w:t>contenidos </w:t>
      </w:r>
      <w:r>
        <w:rPr/>
        <w:t>no estén todavía completamente delimitados (Pujadas y Font, 1998, 11), lo que da lugar a </w:t>
      </w:r>
      <w:r>
        <w:rPr>
          <w:spacing w:val="-2"/>
        </w:rPr>
        <w:t>que     </w:t>
      </w:r>
      <w:r>
        <w:rPr/>
        <w:t>sus definiciones o nociones sean múltiples y relativamente diversas, dando lugar a cierta inconcreción conceptual (Zoido, </w:t>
      </w:r>
      <w:r>
        <w:rPr>
          <w:spacing w:val="19"/>
        </w:rPr>
        <w:t> </w:t>
      </w:r>
      <w:r>
        <w:rPr/>
        <w:t>1998).</w:t>
      </w:r>
    </w:p>
    <w:p>
      <w:pPr>
        <w:pStyle w:val="BodyText"/>
        <w:spacing w:before="2"/>
        <w:rPr>
          <w:sz w:val="23"/>
        </w:rPr>
      </w:pPr>
    </w:p>
    <w:p>
      <w:pPr>
        <w:pStyle w:val="BodyText"/>
        <w:spacing w:line="244" w:lineRule="auto"/>
        <w:ind w:left="395" w:right="412"/>
        <w:jc w:val="both"/>
      </w:pPr>
      <w:r>
        <w:rPr/>
        <w:t>A tal multiplicidad contribuye también la variedad de formas que pueden revestir </w:t>
      </w:r>
      <w:r>
        <w:rPr>
          <w:spacing w:val="-2"/>
        </w:rPr>
        <w:t>las </w:t>
      </w:r>
      <w:r>
        <w:rPr/>
        <w:t>acciones sobre el territorio, o, dicho de otra manera, la diversidad de actuaciones ejecutadas por la Administración que tienen incidencia sobre el mismo. Efectivamente,     la actividad ordenadora es </w:t>
      </w:r>
      <w:r>
        <w:rPr>
          <w:spacing w:val="-4"/>
        </w:rPr>
        <w:t>desempeñada, </w:t>
      </w:r>
      <w:r>
        <w:rPr/>
        <w:t>de una u otra forma, por casi la totalidad de </w:t>
      </w:r>
      <w:r>
        <w:rPr>
          <w:spacing w:val="-2"/>
        </w:rPr>
        <w:t>los </w:t>
      </w:r>
      <w:r>
        <w:rPr/>
        <w:t>ámbitos de las Administraciones públicas, pues muchas de sus decisiones sectoriales tienen exidente incidencia sobre el </w:t>
      </w:r>
      <w:r>
        <w:rPr>
          <w:spacing w:val="11"/>
        </w:rPr>
        <w:t> </w:t>
      </w:r>
      <w:r>
        <w:rPr/>
        <w:t>territorio.</w:t>
      </w:r>
    </w:p>
    <w:p>
      <w:pPr>
        <w:pStyle w:val="BodyText"/>
        <w:spacing w:before="10"/>
        <w:rPr>
          <w:sz w:val="21"/>
        </w:rPr>
      </w:pPr>
    </w:p>
    <w:p>
      <w:pPr>
        <w:pStyle w:val="BodyText"/>
        <w:spacing w:line="242" w:lineRule="auto"/>
        <w:ind w:left="395" w:right="425"/>
        <w:jc w:val="both"/>
      </w:pPr>
      <w:r>
        <w:rPr/>
        <w:t>De entre la diversidad de acepciones antes citada, tres resultan  definitorias de lo que es   la</w:t>
      </w:r>
      <w:r>
        <w:rPr>
          <w:spacing w:val="46"/>
        </w:rPr>
        <w:t> </w:t>
      </w:r>
      <w:r>
        <w:rPr/>
        <w:t>Ordenación:</w:t>
      </w:r>
    </w:p>
    <w:p>
      <w:pPr>
        <w:pStyle w:val="BodyText"/>
        <w:spacing w:before="5"/>
        <w:rPr>
          <w:sz w:val="23"/>
        </w:rPr>
      </w:pPr>
    </w:p>
    <w:p>
      <w:pPr>
        <w:pStyle w:val="ListParagraph"/>
        <w:numPr>
          <w:ilvl w:val="0"/>
          <w:numId w:val="2"/>
        </w:numPr>
        <w:tabs>
          <w:tab w:pos="1400" w:val="left" w:leader="none"/>
        </w:tabs>
        <w:spacing w:line="244" w:lineRule="auto" w:before="0" w:after="0"/>
        <w:ind w:left="1400" w:right="423" w:hanging="330"/>
        <w:jc w:val="both"/>
        <w:rPr>
          <w:sz w:val="22"/>
        </w:rPr>
      </w:pPr>
      <w:r>
        <w:rPr>
          <w:sz w:val="22"/>
        </w:rPr>
        <w:t>Asignación de usos específicos a cada porción del territorio (Directrices Regionales de Cantabria, 1990: </w:t>
      </w:r>
      <w:r>
        <w:rPr>
          <w:i/>
          <w:sz w:val="22"/>
        </w:rPr>
        <w:t>“distribución racional de las actividades de </w:t>
      </w:r>
      <w:r>
        <w:rPr>
          <w:i/>
          <w:sz w:val="22"/>
        </w:rPr>
        <w:t>acuerdo con las reales capacidades potenciales y con las vocaciones específicas del territorio”</w:t>
      </w:r>
      <w:r>
        <w:rPr>
          <w:sz w:val="22"/>
        </w:rPr>
        <w:t>), resultado de una elección entre alternativas diversas,</w:t>
      </w:r>
    </w:p>
    <w:p>
      <w:pPr>
        <w:pStyle w:val="BodyText"/>
        <w:spacing w:before="10"/>
        <w:rPr>
          <w:sz w:val="21"/>
        </w:rPr>
      </w:pPr>
    </w:p>
    <w:p>
      <w:pPr>
        <w:pStyle w:val="ListParagraph"/>
        <w:numPr>
          <w:ilvl w:val="0"/>
          <w:numId w:val="2"/>
        </w:numPr>
        <w:tabs>
          <w:tab w:pos="1400" w:val="left" w:leader="none"/>
        </w:tabs>
        <w:spacing w:line="242" w:lineRule="auto" w:before="0" w:after="0"/>
        <w:ind w:left="1400" w:right="423" w:hanging="330"/>
        <w:jc w:val="both"/>
        <w:rPr>
          <w:sz w:val="22"/>
        </w:rPr>
      </w:pPr>
      <w:r>
        <w:rPr>
          <w:sz w:val="22"/>
        </w:rPr>
        <w:t>Asignación de unos recursos escasos a unos  objetivos  determinados  (Serrano, 1981),</w:t>
      </w:r>
      <w:r>
        <w:rPr>
          <w:spacing w:val="28"/>
          <w:sz w:val="22"/>
        </w:rPr>
        <w:t> </w:t>
      </w:r>
      <w:r>
        <w:rPr>
          <w:sz w:val="22"/>
        </w:rPr>
        <w:t>y</w:t>
      </w:r>
    </w:p>
    <w:p>
      <w:pPr>
        <w:pStyle w:val="BodyText"/>
        <w:spacing w:before="5"/>
        <w:rPr>
          <w:sz w:val="23"/>
        </w:rPr>
      </w:pPr>
    </w:p>
    <w:p>
      <w:pPr>
        <w:pStyle w:val="ListParagraph"/>
        <w:numPr>
          <w:ilvl w:val="0"/>
          <w:numId w:val="2"/>
        </w:numPr>
        <w:tabs>
          <w:tab w:pos="1464" w:val="left" w:leader="none"/>
        </w:tabs>
        <w:spacing w:line="256" w:lineRule="auto" w:before="0" w:after="0"/>
        <w:ind w:left="1400" w:right="426" w:hanging="330"/>
        <w:jc w:val="both"/>
        <w:rPr>
          <w:sz w:val="22"/>
        </w:rPr>
      </w:pPr>
      <w:r>
        <w:rPr>
          <w:sz w:val="22"/>
        </w:rPr>
        <w:t>Establecimiento de los derechos y limitaciones a imponer a la propiedad </w:t>
      </w:r>
      <w:r>
        <w:rPr>
          <w:spacing w:val="-2"/>
          <w:sz w:val="22"/>
        </w:rPr>
        <w:t>del </w:t>
      </w:r>
      <w:r>
        <w:rPr>
          <w:sz w:val="22"/>
        </w:rPr>
        <w:t>suelo.</w:t>
      </w:r>
    </w:p>
    <w:p>
      <w:pPr>
        <w:pStyle w:val="BodyText"/>
        <w:spacing w:before="6"/>
        <w:rPr>
          <w:sz w:val="19"/>
        </w:rPr>
      </w:pPr>
    </w:p>
    <w:p>
      <w:pPr>
        <w:pStyle w:val="BodyText"/>
        <w:spacing w:line="249" w:lineRule="auto"/>
        <w:ind w:left="395" w:right="411"/>
        <w:jc w:val="both"/>
      </w:pPr>
      <w:r>
        <w:rPr/>
        <w:t>Es necesario, no obstante, incorporar otros elementos secundarios para acotar adecuadamente el concepto de Ordenación del Territorio. Uno de ellos es el finalista, es decir, la determinación del objeto último de las actuaciones ordenadoras, que no es otro</w:t>
      </w:r>
    </w:p>
    <w:p>
      <w:pPr>
        <w:spacing w:after="0" w:line="249" w:lineRule="auto"/>
        <w:jc w:val="both"/>
        <w:sectPr>
          <w:type w:val="continuous"/>
          <w:pgSz w:w="12240" w:h="15840"/>
          <w:pgMar w:top="1280" w:bottom="280" w:left="1720" w:right="1720"/>
        </w:sectPr>
      </w:pPr>
    </w:p>
    <w:p>
      <w:pPr>
        <w:pStyle w:val="BodyText"/>
        <w:spacing w:line="247" w:lineRule="auto" w:before="59"/>
        <w:ind w:left="395" w:right="424"/>
        <w:jc w:val="both"/>
      </w:pPr>
      <w:r>
        <w:rPr/>
        <w:t>que la adecuada resolución o satisfacción de las necesidades de los seres humanos, mediante </w:t>
      </w:r>
      <w:r>
        <w:rPr>
          <w:i/>
        </w:rPr>
        <w:t>“la mejora de las condiciones que tiene el territorio para las  funciones  </w:t>
      </w:r>
      <w:r>
        <w:rPr>
          <w:i/>
        </w:rPr>
        <w:t>sociales y económicas” </w:t>
      </w:r>
      <w:r>
        <w:rPr/>
        <w:t>(Acosta y Burraco, 1998, 73).  Resulta  importante,  en  este  punto, advertir del riesgo de adoptar un enfoque puramente desarrollista -según el que la Ordenación del Territorio consistiría sólo en la transformación óptima del espacio regional, desde un punto de vista estrictamente económico- que no </w:t>
      </w:r>
      <w:r>
        <w:rPr>
          <w:spacing w:val="-3"/>
        </w:rPr>
        <w:t>contemple la </w:t>
      </w:r>
      <w:r>
        <w:rPr/>
        <w:t>sostenibilidad como elemento  clave.</w:t>
      </w:r>
    </w:p>
    <w:p>
      <w:pPr>
        <w:pStyle w:val="BodyText"/>
        <w:rPr>
          <w:sz w:val="23"/>
        </w:rPr>
      </w:pPr>
    </w:p>
    <w:p>
      <w:pPr>
        <w:pStyle w:val="BodyText"/>
        <w:ind w:left="395" w:right="416"/>
        <w:jc w:val="both"/>
      </w:pPr>
      <w:r>
        <w:rPr/>
        <w:t>Esta negación de que la organización del espacio se subordine por completo a objetivos económicos a corto plazo, sin contar con los elementos  sociales,  culturales  y ambientales, es patente en la definición más aceptada </w:t>
      </w:r>
      <w:r>
        <w:rPr>
          <w:position w:val="9"/>
          <w:sz w:val="15"/>
        </w:rPr>
        <w:t>1  </w:t>
      </w:r>
      <w:r>
        <w:rPr/>
        <w:t>de Ordenación, que sigue </w:t>
      </w:r>
      <w:r>
        <w:rPr>
          <w:spacing w:val="-2"/>
        </w:rPr>
        <w:t>siendo   </w:t>
      </w:r>
      <w:r>
        <w:rPr/>
        <w:t>la recogida, en 1983, en la Carta Europea (CEMAT, 1983), según la que la Ordenación  del Territorio es la </w:t>
      </w:r>
      <w:r>
        <w:rPr>
          <w:i/>
        </w:rPr>
        <w:t>“expresión espacial de la política económica, social, cultural y </w:t>
      </w:r>
      <w:r>
        <w:rPr>
          <w:i/>
        </w:rPr>
        <w:t>ecológica de toda la sociedad”</w:t>
      </w:r>
      <w:r>
        <w:rPr/>
        <w:t>, globalmente integradas. La  Carta  completa  su  definición con dos nociones-marco a las que otorga capital importancia: el principio democrático que ha de impregnar la actividad ordenadora – cuya plasmación es el principio de participación ciudadana - y su carácter prospectivo, es decir, la necesidad de considerar las tendencias y escenarios a largo </w:t>
      </w:r>
      <w:r>
        <w:rPr>
          <w:spacing w:val="23"/>
        </w:rPr>
        <w:t> </w:t>
      </w:r>
      <w:r>
        <w:rPr>
          <w:spacing w:val="-2"/>
        </w:rPr>
        <w:t>plazo.</w:t>
      </w:r>
    </w:p>
    <w:p>
      <w:pPr>
        <w:pStyle w:val="BodyText"/>
        <w:spacing w:before="7"/>
        <w:rPr>
          <w:sz w:val="23"/>
        </w:rPr>
      </w:pPr>
    </w:p>
    <w:p>
      <w:pPr>
        <w:pStyle w:val="BodyText"/>
        <w:spacing w:line="244" w:lineRule="auto"/>
        <w:ind w:left="395" w:right="423"/>
        <w:jc w:val="both"/>
      </w:pPr>
      <w:r>
        <w:rPr/>
        <w:t>El objetivo de la Ordenación, la organización física del espacio, viene determinado, en     la Carta Europea, por tres principios rectores, que han marcado la política territorial europea durante los dos últimos decenios: la organización espacial de las actividades según criterios de eficiencia, el equilibrio interregional y </w:t>
      </w:r>
      <w:r>
        <w:rPr>
          <w:spacing w:val="-3"/>
        </w:rPr>
        <w:t>–el </w:t>
      </w:r>
      <w:r>
        <w:rPr/>
        <w:t>más relevantes desde el  punto de vista </w:t>
      </w:r>
      <w:r>
        <w:rPr>
          <w:spacing w:val="-5"/>
        </w:rPr>
        <w:t>ambiental- </w:t>
      </w:r>
      <w:r>
        <w:rPr/>
        <w:t>la conservación de la biodiversidad y de  los  procesos  ecológicos esenciales, según criterios de sostenibilidad. Atendiendo a este último, la Ordenación del Territorio no debe, simplemente, situar los elementos propios del desarrollo, sino determinar el grado de dicho desarrollo según  las  características  del medio  </w:t>
      </w:r>
      <w:r>
        <w:rPr>
          <w:spacing w:val="-5"/>
        </w:rPr>
        <w:t>físico </w:t>
      </w:r>
      <w:r>
        <w:rPr/>
        <w:t>(De Mesones, 1999,</w:t>
      </w:r>
      <w:r>
        <w:rPr>
          <w:spacing w:val="43"/>
        </w:rPr>
        <w:t> </w:t>
      </w:r>
      <w:r>
        <w:rPr/>
        <w:t>27).</w:t>
      </w:r>
    </w:p>
    <w:p>
      <w:pPr>
        <w:pStyle w:val="BodyText"/>
        <w:spacing w:before="10"/>
        <w:rPr>
          <w:sz w:val="21"/>
        </w:rPr>
      </w:pPr>
    </w:p>
    <w:p>
      <w:pPr>
        <w:pStyle w:val="BodyText"/>
        <w:spacing w:line="247" w:lineRule="auto"/>
        <w:ind w:left="395" w:right="409"/>
        <w:jc w:val="both"/>
      </w:pPr>
      <w:r>
        <w:rPr/>
        <w:t>Estos principios rectores han informado los objetivos fundamentales atribuidos a la Ordenación del Territorio en las diferentes legislaciones regionales españolas, habiendo incorporado además el de la preservación del patrimonio cultural, entendido en sentido territorial –paisajes rurales y asentamientos urbanos tradicionales-, en parte por sus ventajas ambientales inherentes, y en una evolución seguida también por las Directrices comunitarias, plasmada finalmente en el documento de Estrategia Territorial Europea (ETE).</w:t>
      </w:r>
    </w:p>
    <w:p>
      <w:pPr>
        <w:pStyle w:val="BodyText"/>
        <w:spacing w:before="8"/>
        <w:rPr>
          <w:sz w:val="21"/>
        </w:rPr>
      </w:pPr>
    </w:p>
    <w:p>
      <w:pPr>
        <w:pStyle w:val="BodyText"/>
        <w:spacing w:line="247" w:lineRule="auto"/>
        <w:ind w:left="395" w:right="421"/>
        <w:jc w:val="both"/>
        <w:rPr>
          <w:i/>
        </w:rPr>
      </w:pPr>
      <w:r>
        <w:rPr/>
        <w:t>Como acertadamente recuerdan Acosta y Burraco (1998, 89), no debe confundirse Ordenación del Territorio con organización del territorio. Los autores citados otorgan a esta última un componente meramente </w:t>
      </w:r>
      <w:r>
        <w:rPr>
          <w:spacing w:val="-3"/>
        </w:rPr>
        <w:t>administrativo, </w:t>
      </w:r>
      <w:r>
        <w:rPr/>
        <w:t>con lo que se </w:t>
      </w:r>
      <w:r>
        <w:rPr>
          <w:spacing w:val="-3"/>
        </w:rPr>
        <w:t>estaría hablando, en </w:t>
      </w:r>
      <w:r>
        <w:rPr/>
        <w:t>sentido estricto, de la organización administrativa del territorio. Tampoco deben confundirse los términos organización del territorio y estructura territorial, incorporando </w:t>
      </w:r>
      <w:r>
        <w:rPr>
          <w:spacing w:val="-3"/>
        </w:rPr>
        <w:t>este </w:t>
      </w:r>
      <w:r>
        <w:rPr>
          <w:spacing w:val="-4"/>
        </w:rPr>
        <w:t>último </w:t>
      </w:r>
      <w:r>
        <w:rPr/>
        <w:t>un </w:t>
      </w:r>
      <w:r>
        <w:rPr>
          <w:spacing w:val="-4"/>
        </w:rPr>
        <w:t>matiz físico </w:t>
      </w:r>
      <w:r>
        <w:rPr>
          <w:spacing w:val="-3"/>
        </w:rPr>
        <w:t>con </w:t>
      </w:r>
      <w:r>
        <w:rPr/>
        <w:t>el </w:t>
      </w:r>
      <w:r>
        <w:rPr>
          <w:spacing w:val="-3"/>
        </w:rPr>
        <w:t>que </w:t>
      </w:r>
      <w:r>
        <w:rPr/>
        <w:t>no cuenta el primero. Ha de distinguirse también, finalmente, entre Ordenación del Territorio y planificación, siendo la primera,  en  realidad, subconjunto de la segunda. La planificación es una actividad desarrollada tanto por organismos privados como públic os. Desde el punto de vista de estos últimos, la planificación  es  una  </w:t>
      </w:r>
      <w:r>
        <w:rPr>
          <w:i/>
        </w:rPr>
        <w:t>“forma   </w:t>
      </w:r>
      <w:r>
        <w:rPr>
          <w:spacing w:val="-4"/>
        </w:rPr>
        <w:t>(…)  </w:t>
      </w:r>
      <w:r>
        <w:rPr>
          <w:i/>
        </w:rPr>
        <w:t>de  actuación  que  pretende  </w:t>
      </w:r>
      <w:r>
        <w:rPr/>
        <w:t>(…)  </w:t>
      </w:r>
      <w:r>
        <w:rPr>
          <w:i/>
        </w:rPr>
        <w:t>dirigir procesos</w:t>
      </w:r>
      <w:r>
        <w:rPr>
          <w:i/>
          <w:spacing w:val="44"/>
        </w:rPr>
        <w:t> </w:t>
      </w:r>
      <w:r>
        <w:rPr>
          <w:i/>
        </w:rPr>
        <w:t>y</w:t>
      </w:r>
    </w:p>
    <w:p>
      <w:pPr>
        <w:pStyle w:val="BodyText"/>
        <w:rPr>
          <w:i/>
          <w:sz w:val="20"/>
        </w:rPr>
      </w:pPr>
    </w:p>
    <w:p>
      <w:pPr>
        <w:pStyle w:val="BodyText"/>
        <w:rPr>
          <w:i/>
          <w:sz w:val="20"/>
        </w:rPr>
      </w:pPr>
    </w:p>
    <w:p>
      <w:pPr>
        <w:pStyle w:val="BodyText"/>
        <w:spacing w:before="9"/>
        <w:rPr>
          <w:i/>
          <w:sz w:val="11"/>
        </w:rPr>
      </w:pPr>
      <w:r>
        <w:rPr/>
        <w:pict>
          <v:line style="position:absolute;mso-position-horizontal-relative:page;mso-position-vertical-relative:paragraph;z-index:0;mso-wrap-distance-left:0;mso-wrap-distance-right:0" from="105.75pt,9.132110pt" to="240.75pt,9.132110pt" stroked="true" strokeweight=".75pt" strokecolor="#000000">
            <w10:wrap type="topAndBottom"/>
          </v:line>
        </w:pict>
      </w:r>
    </w:p>
    <w:p>
      <w:pPr>
        <w:spacing w:before="59"/>
        <w:ind w:left="1070" w:right="771" w:firstLine="0"/>
        <w:jc w:val="left"/>
        <w:rPr>
          <w:sz w:val="18"/>
        </w:rPr>
      </w:pPr>
      <w:r>
        <w:rPr>
          <w:position w:val="7"/>
          <w:sz w:val="12"/>
        </w:rPr>
        <w:t>1 </w:t>
      </w:r>
      <w:r>
        <w:rPr>
          <w:sz w:val="18"/>
        </w:rPr>
        <w:t>Acosta y Burraco (1998,  73).</w:t>
      </w:r>
    </w:p>
    <w:p>
      <w:pPr>
        <w:spacing w:after="0"/>
        <w:jc w:val="left"/>
        <w:rPr>
          <w:sz w:val="18"/>
        </w:rPr>
        <w:sectPr>
          <w:pgSz w:w="12240" w:h="15840"/>
          <w:pgMar w:top="1280" w:bottom="280" w:left="1720" w:right="1720"/>
        </w:sectPr>
      </w:pPr>
    </w:p>
    <w:p>
      <w:pPr>
        <w:spacing w:line="256" w:lineRule="auto" w:before="59"/>
        <w:ind w:left="395" w:right="423" w:firstLine="0"/>
        <w:jc w:val="both"/>
        <w:rPr>
          <w:sz w:val="22"/>
        </w:rPr>
      </w:pPr>
      <w:r>
        <w:rPr>
          <w:i/>
          <w:sz w:val="22"/>
        </w:rPr>
        <w:t>toma de decisiones mediante la incidencia en la libertad de decisión  de  los </w:t>
      </w:r>
      <w:r>
        <w:rPr>
          <w:i/>
          <w:sz w:val="22"/>
        </w:rPr>
        <w:t>destinatarios”  </w:t>
      </w:r>
      <w:r>
        <w:rPr>
          <w:sz w:val="22"/>
        </w:rPr>
        <w:t>(Acosta y Burraco, 1998, 81) (figura</w:t>
      </w:r>
      <w:r>
        <w:rPr>
          <w:spacing w:val="46"/>
          <w:sz w:val="22"/>
        </w:rPr>
        <w:t> </w:t>
      </w:r>
      <w:r>
        <w:rPr>
          <w:spacing w:val="-3"/>
          <w:sz w:val="22"/>
        </w:rPr>
        <w:t>1).</w:t>
      </w:r>
    </w:p>
    <w:p>
      <w:pPr>
        <w:pStyle w:val="BodyText"/>
        <w:spacing w:before="10"/>
        <w:rPr>
          <w:sz w:val="20"/>
        </w:rPr>
      </w:pPr>
    </w:p>
    <w:p>
      <w:pPr>
        <w:pStyle w:val="BodyText"/>
        <w:spacing w:line="244" w:lineRule="auto"/>
        <w:ind w:left="395" w:right="423"/>
        <w:jc w:val="both"/>
      </w:pPr>
      <w:r>
        <w:rPr/>
        <w:t>Establecido el concepto de Ordenación del Territorio, conviene definir si se trata de una disciplina científica pura (Sáenz de Buruaga, 1982), de una técnica administrativa, de    una actividad política, o bien de una combinación de ellas. En  esta  lín ea,  algunos autores distinguen entre Ordenación como praxis política y las disciplinas científicas    que,</w:t>
      </w:r>
      <w:r>
        <w:rPr>
          <w:spacing w:val="13"/>
        </w:rPr>
        <w:t> </w:t>
      </w:r>
      <w:r>
        <w:rPr/>
        <w:t>teniendo</w:t>
      </w:r>
      <w:r>
        <w:rPr>
          <w:spacing w:val="13"/>
        </w:rPr>
        <w:t> </w:t>
      </w:r>
      <w:r>
        <w:rPr/>
        <w:t>el</w:t>
      </w:r>
      <w:r>
        <w:rPr>
          <w:spacing w:val="13"/>
        </w:rPr>
        <w:t> </w:t>
      </w:r>
      <w:r>
        <w:rPr/>
        <w:t>territorio</w:t>
      </w:r>
      <w:r>
        <w:rPr>
          <w:spacing w:val="13"/>
        </w:rPr>
        <w:t> </w:t>
      </w:r>
      <w:r>
        <w:rPr/>
        <w:t>como</w:t>
      </w:r>
      <w:r>
        <w:rPr>
          <w:spacing w:val="13"/>
        </w:rPr>
        <w:t> </w:t>
      </w:r>
      <w:r>
        <w:rPr/>
        <w:t>ámbito</w:t>
      </w:r>
      <w:r>
        <w:rPr>
          <w:spacing w:val="13"/>
        </w:rPr>
        <w:t> </w:t>
      </w:r>
      <w:r>
        <w:rPr/>
        <w:t>de</w:t>
      </w:r>
      <w:r>
        <w:rPr>
          <w:spacing w:val="13"/>
        </w:rPr>
        <w:t> </w:t>
      </w:r>
      <w:r>
        <w:rPr/>
        <w:t>estudio,</w:t>
      </w:r>
      <w:r>
        <w:rPr>
          <w:spacing w:val="13"/>
        </w:rPr>
        <w:t> </w:t>
      </w:r>
      <w:r>
        <w:rPr/>
        <w:t>le</w:t>
      </w:r>
      <w:r>
        <w:rPr>
          <w:spacing w:val="13"/>
        </w:rPr>
        <w:t> </w:t>
      </w:r>
      <w:r>
        <w:rPr/>
        <w:t>aportan</w:t>
      </w:r>
      <w:r>
        <w:rPr>
          <w:spacing w:val="13"/>
        </w:rPr>
        <w:t> </w:t>
      </w:r>
      <w:r>
        <w:rPr/>
        <w:t>puntos</w:t>
      </w:r>
      <w:r>
        <w:rPr>
          <w:spacing w:val="13"/>
        </w:rPr>
        <w:t> </w:t>
      </w:r>
      <w:r>
        <w:rPr/>
        <w:t>de</w:t>
      </w:r>
      <w:r>
        <w:rPr>
          <w:spacing w:val="13"/>
        </w:rPr>
        <w:t> </w:t>
      </w:r>
      <w:r>
        <w:rPr/>
        <w:t>vista</w:t>
      </w:r>
      <w:r>
        <w:rPr>
          <w:spacing w:val="13"/>
        </w:rPr>
        <w:t> </w:t>
      </w:r>
      <w:r>
        <w:rPr/>
        <w:t>objetivos</w:t>
      </w:r>
      <w:r>
        <w:rPr>
          <w:spacing w:val="13"/>
        </w:rPr>
        <w:t> </w:t>
      </w:r>
      <w:r>
        <w:rPr/>
        <w:t>–</w:t>
      </w:r>
    </w:p>
    <w:p>
      <w:pPr>
        <w:pStyle w:val="BodyText"/>
        <w:spacing w:line="223" w:lineRule="auto" w:before="26"/>
        <w:ind w:left="395" w:right="413"/>
        <w:jc w:val="both"/>
      </w:pPr>
      <w:r>
        <w:rPr/>
        <w:t>dicho esto sin que presuponga la aceptación de un marco teórico eminentemente positivista, adecuadamente criticado por diversos autores</w:t>
      </w:r>
      <w:r>
        <w:rPr>
          <w:position w:val="9"/>
          <w:sz w:val="15"/>
        </w:rPr>
        <w:t>2</w:t>
      </w:r>
      <w:r>
        <w:rPr/>
        <w:t>, y poco apropiado para el desarrollo de los procesos de ordenación- a tener en cuenta durante el proceso de toma</w:t>
      </w:r>
    </w:p>
    <w:p>
      <w:pPr>
        <w:pStyle w:val="BodyText"/>
        <w:spacing w:line="249" w:lineRule="auto" w:before="20"/>
        <w:ind w:left="395" w:right="413"/>
        <w:jc w:val="both"/>
      </w:pPr>
      <w:r>
        <w:rPr/>
        <w:t>de decisiones. En desacuerdo con tal contraposición, la Carta Europea refunde estas dos acepciones con la labor puramente administrativa, integrando los tres elementos antes citados.</w:t>
      </w:r>
    </w:p>
    <w:p>
      <w:pPr>
        <w:pStyle w:val="BodyText"/>
        <w:spacing w:before="5"/>
        <w:rPr>
          <w:sz w:val="21"/>
        </w:rPr>
      </w:pPr>
    </w:p>
    <w:p>
      <w:pPr>
        <w:pStyle w:val="BodyText"/>
        <w:spacing w:line="244" w:lineRule="auto"/>
        <w:ind w:left="395" w:right="420"/>
        <w:jc w:val="both"/>
      </w:pPr>
      <w:r>
        <w:rPr/>
        <w:pict>
          <v:group style="position:absolute;margin-left:121.125pt;margin-top:228.894531pt;width:303pt;height:48pt;mso-position-horizontal-relative:page;mso-position-vertical-relative:paragraph;z-index:-15280" coordorigin="2423,4578" coordsize="6060,960">
            <v:shape style="position:absolute;left:2430;top:4585;width:6045;height:945" coordorigin="2430,4585" coordsize="6045,945" path="m4530,4900l4530,5230,5700,5230,5700,4900,4530,4900xm2430,4795l2430,5335,4185,5335,4185,4795,2430,4795xm4185,5065l4530,5065m6090,4585l6090,5530,7965,5530,7965,4585,6090,4585xm5700,5065l6090,5065m7965,5050l8475,5035e" filled="false" stroked="true" strokeweight=".75pt" strokecolor="#000000">
              <v:path arrowok="t"/>
            </v:shape>
            <v:shapetype id="_x0000_t202" o:spt="202" coordsize="21600,21600" path="m,l,21600r21600,l21600,xe">
              <v:stroke joinstyle="miter"/>
              <v:path gradientshapeok="t" o:connecttype="rect"/>
            </v:shapetype>
            <v:shape style="position:absolute;left:6090;top:4585;width:1875;height:945" type="#_x0000_t202" filled="false" stroked="false">
              <v:textbox inset="0,0,0,0">
                <w:txbxContent>
                  <w:p>
                    <w:pPr>
                      <w:spacing w:line="264" w:lineRule="auto" w:before="75"/>
                      <w:ind w:left="120" w:right="727" w:firstLine="0"/>
                      <w:jc w:val="left"/>
                      <w:rPr>
                        <w:sz w:val="16"/>
                      </w:rPr>
                    </w:pPr>
                    <w:r>
                      <w:rPr>
                        <w:w w:val="105"/>
                        <w:sz w:val="16"/>
                      </w:rPr>
                      <w:t>ACCIONES Y MEDIDAS COORDINAD</w:t>
                    </w:r>
                  </w:p>
                  <w:p>
                    <w:pPr>
                      <w:spacing w:line="177" w:lineRule="exact" w:before="0"/>
                      <w:ind w:left="120" w:right="0" w:firstLine="0"/>
                      <w:jc w:val="left"/>
                      <w:rPr>
                        <w:sz w:val="16"/>
                      </w:rPr>
                    </w:pPr>
                    <w:r>
                      <w:rPr>
                        <w:w w:val="105"/>
                        <w:sz w:val="16"/>
                      </w:rPr>
                      <w:t>(intención prop</w:t>
                    </w:r>
                  </w:p>
                </w:txbxContent>
              </v:textbox>
              <w10:wrap type="none"/>
            </v:shape>
            <v:shape style="position:absolute;left:2430;top:4795;width:1755;height:540" type="#_x0000_t202" filled="false" stroked="false">
              <v:textbox inset="0,0,0,0">
                <w:txbxContent>
                  <w:p>
                    <w:pPr>
                      <w:spacing w:before="75"/>
                      <w:ind w:left="150" w:right="0" w:firstLine="0"/>
                      <w:jc w:val="left"/>
                      <w:rPr>
                        <w:sz w:val="16"/>
                      </w:rPr>
                    </w:pPr>
                    <w:r>
                      <w:rPr>
                        <w:w w:val="105"/>
                        <w:sz w:val="16"/>
                      </w:rPr>
                      <w:t>ADMINISTRACIÓN</w:t>
                    </w:r>
                  </w:p>
                  <w:p>
                    <w:pPr>
                      <w:spacing w:before="11"/>
                      <w:ind w:left="914" w:right="0" w:firstLine="0"/>
                      <w:jc w:val="left"/>
                      <w:rPr>
                        <w:sz w:val="16"/>
                      </w:rPr>
                    </w:pPr>
                    <w:r>
                      <w:rPr>
                        <w:w w:val="105"/>
                        <w:sz w:val="16"/>
                      </w:rPr>
                      <w:t>PÚBLICA</w:t>
                    </w:r>
                  </w:p>
                </w:txbxContent>
              </v:textbox>
              <w10:wrap type="none"/>
            </v:shape>
            <v:shape style="position:absolute;left:4530;top:4900;width:1170;height:330" type="#_x0000_t202" filled="false" stroked="false">
              <v:textbox inset="0,0,0,0">
                <w:txbxContent>
                  <w:p>
                    <w:pPr>
                      <w:spacing w:before="60"/>
                      <w:ind w:left="135" w:right="0" w:firstLine="0"/>
                      <w:jc w:val="left"/>
                      <w:rPr>
                        <w:sz w:val="16"/>
                      </w:rPr>
                    </w:pPr>
                    <w:r>
                      <w:rPr>
                        <w:w w:val="105"/>
                        <w:sz w:val="16"/>
                      </w:rPr>
                      <w:t>OBJETIVOS</w:t>
                    </w:r>
                  </w:p>
                </w:txbxContent>
              </v:textbox>
              <w10:wrap type="none"/>
            </v:shape>
            <w10:wrap type="none"/>
          </v:group>
        </w:pict>
      </w:r>
      <w:r>
        <w:rPr/>
        <w:pict>
          <v:group style="position:absolute;margin-left:106.5pt;margin-top:166.644531pt;width:397.15pt;height:182.25pt;mso-position-horizontal-relative:page;mso-position-vertical-relative:paragraph;z-index:-15232" coordorigin="2130,3333" coordsize="7943,3645">
            <v:shape style="position:absolute;left:2138;top:3340;width:7928;height:3630" coordorigin="2138,3340" coordsize="7928,3630" path="m2145,3348l10035,3348m2138,3340l2138,6955m10058,3355l10058,6970m10043,3340l10043,6955m2145,6963l10035,6963m10035,6963l10065,6963e" filled="false" stroked="true" strokeweight=".75pt" strokecolor="#000000">
              <v:path arrowok="t"/>
            </v:shape>
            <v:shape style="position:absolute;left:3075;top:6671;width:6001;height:168" type="#_x0000_t202" filled="false" stroked="false">
              <v:textbox inset="0,0,0,0">
                <w:txbxContent>
                  <w:p>
                    <w:pPr>
                      <w:spacing w:line="167" w:lineRule="exact" w:before="0"/>
                      <w:ind w:left="0" w:right="-10" w:firstLine="0"/>
                      <w:jc w:val="left"/>
                      <w:rPr>
                        <w:sz w:val="16"/>
                      </w:rPr>
                    </w:pPr>
                    <w:r>
                      <w:rPr>
                        <w:color w:val="3333CC"/>
                        <w:w w:val="105"/>
                        <w:sz w:val="16"/>
                      </w:rPr>
                      <w:t>Figura </w:t>
                    </w:r>
                    <w:r>
                      <w:rPr>
                        <w:color w:val="3333CC"/>
                        <w:spacing w:val="-6"/>
                        <w:w w:val="105"/>
                        <w:sz w:val="16"/>
                      </w:rPr>
                      <w:t>1.  </w:t>
                    </w:r>
                    <w:r>
                      <w:rPr>
                        <w:color w:val="3333CC"/>
                        <w:w w:val="105"/>
                        <w:sz w:val="16"/>
                      </w:rPr>
                      <w:t>LA PLANIFICACIÓN COMO ACTIVIDAD DE LOS PODERES</w:t>
                    </w:r>
                    <w:r>
                      <w:rPr>
                        <w:color w:val="3333CC"/>
                        <w:spacing w:val="-20"/>
                        <w:w w:val="105"/>
                        <w:sz w:val="16"/>
                      </w:rPr>
                      <w:t> </w:t>
                    </w:r>
                    <w:r>
                      <w:rPr>
                        <w:color w:val="3333CC"/>
                        <w:w w:val="105"/>
                        <w:sz w:val="16"/>
                      </w:rPr>
                      <w:t>PÚBLICOS</w:t>
                    </w:r>
                  </w:p>
                </w:txbxContent>
              </v:textbox>
              <w10:wrap type="none"/>
            </v:shape>
            <w10:wrap type="none"/>
          </v:group>
        </w:pict>
      </w:r>
      <w:r>
        <w:rPr/>
        <w:t>A partir de la Carta Europea de Ordenación del Territorio, las diferentes conceptualizaciones han seguido haciendo hincapié en  el  componente  </w:t>
      </w:r>
      <w:r>
        <w:rPr>
          <w:spacing w:val="-3"/>
        </w:rPr>
        <w:t>político.  </w:t>
      </w:r>
      <w:r>
        <w:rPr/>
        <w:t>Es  el caso de la definición realizada por Gómez Orea (1994) como </w:t>
      </w:r>
      <w:r>
        <w:rPr>
          <w:i/>
        </w:rPr>
        <w:t>“expresión física de un  </w:t>
      </w:r>
      <w:r>
        <w:rPr>
          <w:i/>
        </w:rPr>
        <w:t>estilo de desarrollo”</w:t>
      </w:r>
      <w:r>
        <w:rPr/>
        <w:t>, muy similar a la de la Carta Europea, así como de otras muchas (Pardo, 1996, 1; Grupo Aduar, 2000), especialmente en lo referente a la cue stión capital de la identificación de los problemas territoriales a resolver mediante el proceso de ordenación. Así, la ideología política dominante determinaría el diseño y ejecución de     las actuaciones sobre el territorio (figura 2), que darían lugar a una determinada organización del mismo. Esta estructura territorial resultante debería ser analizada </w:t>
      </w:r>
      <w:r>
        <w:rPr>
          <w:spacing w:val="-2"/>
        </w:rPr>
        <w:t>por     </w:t>
      </w:r>
      <w:r>
        <w:rPr/>
        <w:t>las disciplinas científicas implicadas, informando los resultados de dicho análisis  el diseño de ulteriores planes de</w:t>
      </w:r>
      <w:r>
        <w:rPr>
          <w:spacing w:val="35"/>
        </w:rPr>
        <w:t> </w:t>
      </w:r>
      <w:r>
        <w:rPr/>
        <w:t>ordenación.</w:t>
      </w:r>
    </w:p>
    <w:p>
      <w:pPr>
        <w:pStyle w:val="BodyText"/>
        <w:rPr>
          <w:sz w:val="20"/>
        </w:rPr>
      </w:pPr>
    </w:p>
    <w:p>
      <w:pPr>
        <w:pStyle w:val="BodyText"/>
        <w:rPr>
          <w:sz w:val="20"/>
        </w:rPr>
      </w:pPr>
    </w:p>
    <w:p>
      <w:pPr>
        <w:pStyle w:val="BodyText"/>
        <w:spacing w:before="1"/>
        <w:rPr>
          <w:sz w:val="29"/>
        </w:rPr>
      </w:pPr>
    </w:p>
    <w:tbl>
      <w:tblPr>
        <w:tblW w:w="0" w:type="auto"/>
        <w:jc w:val="left"/>
        <w:tblInd w:w="56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0"/>
        <w:gridCol w:w="1155"/>
      </w:tblGrid>
      <w:tr>
        <w:trPr>
          <w:trHeight w:val="735" w:hRule="exact"/>
        </w:trPr>
        <w:tc>
          <w:tcPr>
            <w:tcW w:w="2295" w:type="dxa"/>
            <w:gridSpan w:val="2"/>
          </w:tcPr>
          <w:p>
            <w:pPr>
              <w:pStyle w:val="TableParagraph"/>
              <w:spacing w:line="254" w:lineRule="auto" w:before="68"/>
              <w:ind w:left="157" w:right="177" w:hanging="4"/>
              <w:jc w:val="center"/>
              <w:rPr>
                <w:sz w:val="16"/>
              </w:rPr>
            </w:pPr>
            <w:r>
              <w:rPr>
                <w:w w:val="105"/>
                <w:sz w:val="16"/>
              </w:rPr>
              <w:t>LIBRE DECISIÓN DE LOS AGENTES ECONÓMICOS Y SOCIALES</w:t>
            </w:r>
          </w:p>
        </w:tc>
      </w:tr>
      <w:tr>
        <w:trPr>
          <w:trHeight w:val="1350" w:hRule="exact"/>
        </w:trPr>
        <w:tc>
          <w:tcPr>
            <w:tcW w:w="1140" w:type="dxa"/>
            <w:tcBorders>
              <w:left w:val="nil"/>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131"/>
              <w:ind w:left="-112"/>
              <w:rPr>
                <w:sz w:val="16"/>
              </w:rPr>
            </w:pPr>
            <w:r>
              <w:rPr>
                <w:w w:val="105"/>
                <w:sz w:val="16"/>
              </w:rPr>
              <w:t>AS</w:t>
            </w:r>
          </w:p>
          <w:p>
            <w:pPr>
              <w:pStyle w:val="TableParagraph"/>
              <w:spacing w:before="11"/>
              <w:ind w:left="-85"/>
              <w:rPr>
                <w:sz w:val="16"/>
              </w:rPr>
            </w:pPr>
            <w:r>
              <w:rPr>
                <w:w w:val="105"/>
                <w:sz w:val="16"/>
              </w:rPr>
              <w:t>ositiva)</w:t>
            </w:r>
          </w:p>
        </w:tc>
        <w:tc>
          <w:tcPr>
            <w:tcW w:w="1155" w:type="dxa"/>
            <w:tcBorders>
              <w:right w:val="nil"/>
            </w:tcBorders>
          </w:tcPr>
          <w:p>
            <w:pPr/>
          </w:p>
        </w:tc>
      </w:tr>
      <w:tr>
        <w:trPr>
          <w:trHeight w:val="540" w:hRule="exact"/>
        </w:trPr>
        <w:tc>
          <w:tcPr>
            <w:tcW w:w="2295" w:type="dxa"/>
            <w:gridSpan w:val="2"/>
          </w:tcPr>
          <w:p>
            <w:pPr>
              <w:pStyle w:val="TableParagraph"/>
              <w:spacing w:line="254" w:lineRule="auto" w:before="68"/>
              <w:ind w:left="157" w:right="157" w:hanging="15"/>
              <w:rPr>
                <w:sz w:val="16"/>
              </w:rPr>
            </w:pPr>
            <w:r>
              <w:rPr>
                <w:w w:val="105"/>
                <w:sz w:val="16"/>
              </w:rPr>
              <w:t>CONDUCTAS, PROCESOS Y TOMA DE DECISIONES</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line="249" w:lineRule="auto" w:before="95"/>
        <w:ind w:left="395" w:right="424" w:firstLine="675"/>
        <w:jc w:val="both"/>
        <w:rPr>
          <w:sz w:val="18"/>
        </w:rPr>
      </w:pPr>
      <w:r>
        <w:rPr>
          <w:position w:val="7"/>
          <w:sz w:val="12"/>
        </w:rPr>
        <w:t>2 </w:t>
      </w:r>
      <w:r>
        <w:rPr>
          <w:sz w:val="18"/>
        </w:rPr>
        <w:t>Feyerabend (1986 y 1989), Lakatos (1993). Feyerabend va más allá de la  mera  crítica  del concepto de objetividad, reivindicando el papel del sujeto </w:t>
      </w:r>
      <w:r>
        <w:rPr>
          <w:spacing w:val="-4"/>
          <w:sz w:val="18"/>
        </w:rPr>
        <w:t>-de </w:t>
      </w:r>
      <w:r>
        <w:rPr>
          <w:spacing w:val="2"/>
          <w:sz w:val="18"/>
        </w:rPr>
        <w:t>lo </w:t>
      </w:r>
      <w:r>
        <w:rPr>
          <w:sz w:val="18"/>
        </w:rPr>
        <w:t>subjetivo-  en  la  ciencia.  En  el  otro  lado  de la colina, el mismo Popper (1982) minusvaloró implícitamente el </w:t>
      </w:r>
      <w:r>
        <w:rPr>
          <w:spacing w:val="-3"/>
          <w:sz w:val="18"/>
        </w:rPr>
        <w:t>concepto </w:t>
      </w:r>
      <w:r>
        <w:rPr>
          <w:sz w:val="18"/>
        </w:rPr>
        <w:t>de lo objetivo, que se corresponde más, en su teoría, con lo unánimemente aceptado por la comunidad  científica  que  con  lo absoluto e indiscutible. La puesta en cuestión del principio de objetividad es especialmente pertinente en       los procesos  actuales de ordenación</w:t>
      </w:r>
      <w:r>
        <w:rPr>
          <w:spacing w:val="43"/>
          <w:sz w:val="18"/>
        </w:rPr>
        <w:t> </w:t>
      </w:r>
      <w:r>
        <w:rPr>
          <w:sz w:val="18"/>
        </w:rPr>
        <w:t>territorial.</w:t>
      </w:r>
    </w:p>
    <w:p>
      <w:pPr>
        <w:spacing w:after="0" w:line="249" w:lineRule="auto"/>
        <w:jc w:val="both"/>
        <w:rPr>
          <w:sz w:val="18"/>
        </w:rPr>
        <w:sectPr>
          <w:pgSz w:w="12240" w:h="15840"/>
          <w:pgMar w:top="1280" w:bottom="280" w:left="1720" w:right="1720"/>
        </w:sectPr>
      </w:pPr>
    </w:p>
    <w:p>
      <w:pPr>
        <w:pStyle w:val="BodyText"/>
        <w:ind w:left="410"/>
        <w:rPr>
          <w:sz w:val="20"/>
        </w:rPr>
      </w:pPr>
      <w:r>
        <w:rPr>
          <w:sz w:val="20"/>
        </w:rPr>
        <w:pict>
          <v:group style="width:396.75pt;height:194.25pt;mso-position-horizontal-relative:char;mso-position-vertical-relative:line" coordorigin="0,0" coordsize="7935,3885">
            <v:line style="position:absolute" from="15,15" to="7905,15" stroked="true" strokeweight=".75pt" strokecolor="#000000"/>
            <v:line style="position:absolute" from="8,8" to="8,3878" stroked="true" strokeweight=".75pt" strokecolor="#000000"/>
            <v:line style="position:absolute" from="7928,23" to="7928,3878" stroked="true" strokeweight=".75pt" strokecolor="#000000"/>
            <v:line style="position:absolute" from="7913,8" to="7913,3878" stroked="true" strokeweight=".75pt" strokecolor="#000000"/>
            <v:line style="position:absolute" from="15,3870" to="7905,3870" stroked="true" strokeweight=".75pt" strokecolor="#000000"/>
            <v:shape style="position:absolute;left:480;top:3592;width:6945;height:168" type="#_x0000_t202" filled="false" stroked="false">
              <v:textbox inset="0,0,0,0">
                <w:txbxContent>
                  <w:p>
                    <w:pPr>
                      <w:spacing w:line="168" w:lineRule="exact" w:before="0"/>
                      <w:ind w:left="0" w:right="-5" w:firstLine="0"/>
                      <w:jc w:val="left"/>
                      <w:rPr>
                        <w:sz w:val="16"/>
                      </w:rPr>
                    </w:pPr>
                    <w:r>
                      <w:rPr>
                        <w:color w:val="3333CC"/>
                        <w:w w:val="105"/>
                        <w:sz w:val="16"/>
                      </w:rPr>
                      <w:t>Figura 2. COMPONENTES POLÍTICO Y CIENTÍFICO DE LA ORDENACIÓN DEL TERRITORIO</w:t>
                    </w:r>
                  </w:p>
                </w:txbxContent>
              </v:textbox>
              <w10:wrap type="none"/>
            </v:shape>
          </v:group>
        </w:pict>
      </w:r>
      <w:r>
        <w:rPr>
          <w:sz w:val="20"/>
        </w:rPr>
      </w:r>
    </w:p>
    <w:p>
      <w:pPr>
        <w:pStyle w:val="BodyText"/>
        <w:rPr>
          <w:sz w:val="20"/>
        </w:rPr>
      </w:pPr>
    </w:p>
    <w:p>
      <w:pPr>
        <w:pStyle w:val="BodyText"/>
        <w:spacing w:before="5"/>
        <w:rPr>
          <w:sz w:val="16"/>
        </w:rPr>
      </w:pPr>
    </w:p>
    <w:p>
      <w:pPr>
        <w:pStyle w:val="BodyText"/>
        <w:spacing w:line="244" w:lineRule="auto" w:before="75"/>
        <w:ind w:left="395" w:right="422"/>
        <w:jc w:val="both"/>
      </w:pPr>
      <w:r>
        <w:rPr/>
        <w:pict>
          <v:group style="position:absolute;margin-left:121.125pt;margin-top:-200.855469pt;width:369.75pt;height:148.5pt;mso-position-horizontal-relative:page;mso-position-vertical-relative:paragraph;z-index:-15040" coordorigin="2423,-4017" coordsize="7395,2970">
            <v:shape style="position:absolute;left:2430;top:-4010;width:7380;height:2955" coordorigin="2430,-4010" coordsize="7380,2955" path="m4860,-4010l4860,-3665,6075,-3665,6075,-4010,4860,-4010xm4350,-2915l4350,-2375,6675,-2375,6675,-2915,4350,-2915xm4350,-1595l4350,-1055,6675,-1055,6675,-1595,4350,-1595xm5520,-2375l5520,-1595m2430,-2915l2430,-2375,3855,-2375,3855,-2915,2430,-2915xm4350,-1325l3135,-1325,3135,-2375m3855,-2645l4350,-2645m6990,-2900l6990,-2360,9810,-2360,9810,-2900,6990,-2900xm6675,-1325l8400,-1325,8400,-2360m8400,-2900l8400,-3830,6075,-3830m5460,-3680l5460,-2915e" filled="false" stroked="true" strokeweight=".75pt" strokecolor="#000000">
              <v:path arrowok="t"/>
            </v:shape>
            <v:shape style="position:absolute;left:4995;top:-3890;width:915;height:168" type="#_x0000_t202" filled="false" stroked="false">
              <v:textbox inset="0,0,0,0">
                <w:txbxContent>
                  <w:p>
                    <w:pPr>
                      <w:spacing w:line="168" w:lineRule="exact" w:before="0"/>
                      <w:ind w:left="0" w:right="-11" w:firstLine="0"/>
                      <w:jc w:val="left"/>
                      <w:rPr>
                        <w:sz w:val="16"/>
                      </w:rPr>
                    </w:pPr>
                    <w:r>
                      <w:rPr>
                        <w:spacing w:val="-2"/>
                        <w:w w:val="105"/>
                        <w:sz w:val="16"/>
                      </w:rPr>
                      <w:t>IDEOLOGÍA</w:t>
                    </w:r>
                  </w:p>
                </w:txbxContent>
              </v:textbox>
              <w10:wrap type="none"/>
            </v:shape>
            <v:shape style="position:absolute;left:2565;top:-2810;width:1020;height:363" type="#_x0000_t202" filled="false" stroked="false">
              <v:textbox inset="0,0,0,0">
                <w:txbxContent>
                  <w:p>
                    <w:pPr>
                      <w:spacing w:line="170" w:lineRule="exact" w:before="0"/>
                      <w:ind w:left="0" w:right="-16" w:firstLine="0"/>
                      <w:jc w:val="left"/>
                      <w:rPr>
                        <w:sz w:val="16"/>
                      </w:rPr>
                    </w:pPr>
                    <w:r>
                      <w:rPr>
                        <w:spacing w:val="-1"/>
                        <w:w w:val="105"/>
                        <w:sz w:val="16"/>
                      </w:rPr>
                      <w:t>DISCIPLINAS</w:t>
                    </w:r>
                  </w:p>
                  <w:p>
                    <w:pPr>
                      <w:spacing w:line="182" w:lineRule="exact" w:before="11"/>
                      <w:ind w:left="0" w:right="-16" w:firstLine="0"/>
                      <w:jc w:val="left"/>
                      <w:rPr>
                        <w:sz w:val="16"/>
                      </w:rPr>
                    </w:pPr>
                    <w:r>
                      <w:rPr>
                        <w:spacing w:val="-1"/>
                        <w:w w:val="105"/>
                        <w:sz w:val="16"/>
                      </w:rPr>
                      <w:t>CIENTÍFICAS</w:t>
                    </w:r>
                  </w:p>
                </w:txbxContent>
              </v:textbox>
              <w10:wrap type="none"/>
            </v:shape>
            <v:shape style="position:absolute;left:4485;top:-2810;width:1939;height:363" type="#_x0000_t202" filled="false" stroked="false">
              <v:textbox inset="0,0,0,0">
                <w:txbxContent>
                  <w:p>
                    <w:pPr>
                      <w:spacing w:line="170" w:lineRule="exact" w:before="0"/>
                      <w:ind w:left="0" w:right="-18" w:firstLine="0"/>
                      <w:jc w:val="left"/>
                      <w:rPr>
                        <w:sz w:val="16"/>
                      </w:rPr>
                    </w:pPr>
                    <w:r>
                      <w:rPr>
                        <w:w w:val="105"/>
                        <w:sz w:val="16"/>
                      </w:rPr>
                      <w:t>DISEÑO Y EJECUCIÓN de</w:t>
                    </w:r>
                  </w:p>
                  <w:p>
                    <w:pPr>
                      <w:spacing w:line="182" w:lineRule="exact" w:before="11"/>
                      <w:ind w:left="0" w:right="-18" w:firstLine="0"/>
                      <w:jc w:val="left"/>
                      <w:rPr>
                        <w:sz w:val="16"/>
                      </w:rPr>
                    </w:pPr>
                    <w:r>
                      <w:rPr>
                        <w:w w:val="105"/>
                        <w:sz w:val="16"/>
                      </w:rPr>
                      <w:t>la Ordenación del Territorio</w:t>
                    </w:r>
                  </w:p>
                </w:txbxContent>
              </v:textbox>
              <w10:wrap type="none"/>
            </v:shape>
            <v:shape style="position:absolute;left:7110;top:-2795;width:2271;height:363" type="#_x0000_t202" filled="false" stroked="false">
              <v:textbox inset="0,0,0,0">
                <w:txbxContent>
                  <w:p>
                    <w:pPr>
                      <w:spacing w:line="170" w:lineRule="exact" w:before="0"/>
                      <w:ind w:left="0" w:right="-8" w:firstLine="0"/>
                      <w:jc w:val="left"/>
                      <w:rPr>
                        <w:sz w:val="16"/>
                      </w:rPr>
                    </w:pPr>
                    <w:r>
                      <w:rPr>
                        <w:w w:val="105"/>
                        <w:sz w:val="16"/>
                      </w:rPr>
                      <w:t>CAMBIOS EN LA ESCALA DE</w:t>
                    </w:r>
                  </w:p>
                  <w:p>
                    <w:pPr>
                      <w:spacing w:line="182" w:lineRule="exact" w:before="11"/>
                      <w:ind w:left="0" w:right="-8" w:firstLine="0"/>
                      <w:jc w:val="left"/>
                      <w:rPr>
                        <w:sz w:val="16"/>
                      </w:rPr>
                    </w:pPr>
                    <w:r>
                      <w:rPr>
                        <w:w w:val="105"/>
                        <w:sz w:val="16"/>
                      </w:rPr>
                      <w:t>VALORES sociales</w:t>
                    </w:r>
                  </w:p>
                </w:txbxContent>
              </v:textbox>
              <w10:wrap type="none"/>
            </v:shape>
            <v:shape style="position:absolute;left:4485;top:-1505;width:1800;height:363" type="#_x0000_t202" filled="false" stroked="false">
              <v:textbox inset="0,0,0,0">
                <w:txbxContent>
                  <w:p>
                    <w:pPr>
                      <w:spacing w:line="170" w:lineRule="exact" w:before="0"/>
                      <w:ind w:left="0" w:right="-17" w:firstLine="0"/>
                      <w:jc w:val="left"/>
                      <w:rPr>
                        <w:sz w:val="16"/>
                      </w:rPr>
                    </w:pPr>
                    <w:r>
                      <w:rPr>
                        <w:w w:val="105"/>
                        <w:sz w:val="16"/>
                      </w:rPr>
                      <w:t>ORGANIZACIÓN</w:t>
                    </w:r>
                  </w:p>
                  <w:p>
                    <w:pPr>
                      <w:spacing w:line="182" w:lineRule="exact" w:before="11"/>
                      <w:ind w:left="0" w:right="-17" w:firstLine="0"/>
                      <w:jc w:val="left"/>
                      <w:rPr>
                        <w:sz w:val="16"/>
                      </w:rPr>
                    </w:pPr>
                    <w:r>
                      <w:rPr>
                        <w:w w:val="105"/>
                        <w:sz w:val="16"/>
                      </w:rPr>
                      <w:t>TERRITORIAL resultante</w:t>
                    </w:r>
                  </w:p>
                </w:txbxContent>
              </v:textbox>
              <w10:wrap type="none"/>
            </v:shape>
            <w10:wrap type="none"/>
          </v:group>
        </w:pict>
      </w:r>
      <w:r>
        <w:rPr/>
        <w:t>Pero, asimismo, dicha estructura territorial, fruto del proceso ordenador, daría lugar también a determinados cambios en la escala de valores sociopolíticos, lo que transformaría los contenidos de la ideología política dominante, modificando, a  su  vez, los contenidos y determinaciones de ulteriores planes de ordenación. Un ejemplo de ello se encuentra en el énfasis en la adopción de políticas de desarrollo centradas en el crecimiento acelerado del sector </w:t>
      </w:r>
      <w:r>
        <w:rPr>
          <w:spacing w:val="-6"/>
        </w:rPr>
        <w:t>industrial, </w:t>
      </w:r>
      <w:r>
        <w:rPr/>
        <w:t>que genera  una  serie  de  impactos  ambientales que dan lugar, a su vez, a la expansión de posturas favorables  a  la  protección y mejora ambientales, que determinan, finalmente, la adopción de políticas </w:t>
      </w:r>
      <w:r>
        <w:rPr>
          <w:spacing w:val="-2"/>
        </w:rPr>
        <w:t>sostenibles.</w:t>
      </w:r>
    </w:p>
    <w:p>
      <w:pPr>
        <w:pStyle w:val="BodyText"/>
      </w:pPr>
    </w:p>
    <w:p>
      <w:pPr>
        <w:pStyle w:val="BodyText"/>
        <w:spacing w:before="4"/>
        <w:rPr>
          <w:sz w:val="23"/>
        </w:rPr>
      </w:pPr>
    </w:p>
    <w:p>
      <w:pPr>
        <w:pStyle w:val="Heading1"/>
        <w:numPr>
          <w:ilvl w:val="0"/>
          <w:numId w:val="1"/>
        </w:numPr>
        <w:tabs>
          <w:tab w:pos="1070" w:val="left" w:leader="none"/>
        </w:tabs>
        <w:spacing w:line="242" w:lineRule="auto" w:before="0" w:after="0"/>
        <w:ind w:left="1070" w:right="443" w:hanging="330"/>
        <w:jc w:val="left"/>
      </w:pPr>
      <w:r>
        <w:rPr/>
        <w:t>DINÁMICAS CONCEPTUALES Y METODOLÓGICAS RECIENTES DE LA  ORDENACIÓN  DEL</w:t>
      </w:r>
      <w:r>
        <w:rPr>
          <w:spacing w:val="-23"/>
        </w:rPr>
        <w:t> </w:t>
      </w:r>
      <w:r>
        <w:rPr/>
        <w:t>TERRITORIO</w:t>
      </w:r>
    </w:p>
    <w:p>
      <w:pPr>
        <w:pStyle w:val="BodyText"/>
        <w:spacing w:before="1"/>
        <w:rPr>
          <w:b/>
        </w:rPr>
      </w:pPr>
    </w:p>
    <w:p>
      <w:pPr>
        <w:pStyle w:val="ListParagraph"/>
        <w:numPr>
          <w:ilvl w:val="1"/>
          <w:numId w:val="3"/>
        </w:numPr>
        <w:tabs>
          <w:tab w:pos="792" w:val="left" w:leader="none"/>
        </w:tabs>
        <w:spacing w:line="240" w:lineRule="auto" w:before="0" w:after="0"/>
        <w:ind w:left="791" w:right="0" w:hanging="396"/>
        <w:jc w:val="both"/>
        <w:rPr>
          <w:b/>
          <w:sz w:val="22"/>
        </w:rPr>
      </w:pPr>
      <w:r>
        <w:rPr>
          <w:b/>
          <w:sz w:val="22"/>
        </w:rPr>
        <w:t>Nuevas demandas al </w:t>
      </w:r>
      <w:r>
        <w:rPr>
          <w:b/>
          <w:spacing w:val="1"/>
          <w:sz w:val="22"/>
        </w:rPr>
        <w:t> </w:t>
      </w:r>
      <w:r>
        <w:rPr>
          <w:b/>
          <w:sz w:val="22"/>
        </w:rPr>
        <w:t>planeamiento</w:t>
      </w:r>
    </w:p>
    <w:p>
      <w:pPr>
        <w:pStyle w:val="BodyText"/>
        <w:spacing w:before="7"/>
        <w:rPr>
          <w:b/>
          <w:sz w:val="23"/>
        </w:rPr>
      </w:pPr>
    </w:p>
    <w:p>
      <w:pPr>
        <w:pStyle w:val="BodyText"/>
        <w:spacing w:line="244" w:lineRule="auto"/>
        <w:ind w:left="395" w:right="422"/>
        <w:jc w:val="both"/>
      </w:pPr>
      <w:r>
        <w:rPr/>
        <w:t>De largo alcance temporal es uno de los factores que más ha determinado la evolución reciente del planeamiento: el protagonismo de la preservación  del  medio  ambiente. </w:t>
      </w:r>
      <w:r>
        <w:rPr>
          <w:spacing w:val="-8"/>
        </w:rPr>
        <w:t>Como </w:t>
      </w:r>
      <w:r>
        <w:rPr>
          <w:spacing w:val="-5"/>
        </w:rPr>
        <w:t>ya </w:t>
      </w:r>
      <w:r>
        <w:rPr/>
        <w:t>se ha dicho, la Carta Europea de Ordenación del Territorio incluyó entre sus principios rectores la conservación de la biodiversidad y de los procesos biológicos esenciales, según criterios de sostenibilidad, recogiendo así el sentido de una demanda </w:t>
      </w:r>
      <w:r>
        <w:rPr>
          <w:spacing w:val="-5"/>
        </w:rPr>
        <w:t>socia </w:t>
      </w:r>
      <w:r>
        <w:rPr/>
        <w:t>l creciente. Así, los contenidos ambientales han pasado de  la  ausencia  (Bifani, 1988) a una presencia e importancia progresivas en los instrumentos de ordenación, especialmente, dentro del ámbito de la Unión Europea (UE), en los estados de su zona central,  como Alemania, Austria o Suiza (Scheid, 1996). De hecho, en el caso alemán,    la toma de conciencia ambiental fue uno de los factores determinantes de la eclosión de   la Ordenación del Territorio durante los años </w:t>
      </w:r>
      <w:r>
        <w:rPr>
          <w:spacing w:val="3"/>
        </w:rPr>
        <w:t> </w:t>
      </w:r>
      <w:r>
        <w:rPr/>
        <w:t>noventa.</w:t>
      </w:r>
    </w:p>
    <w:p>
      <w:pPr>
        <w:pStyle w:val="BodyText"/>
        <w:spacing w:before="2"/>
        <w:rPr>
          <w:sz w:val="23"/>
        </w:rPr>
      </w:pPr>
    </w:p>
    <w:p>
      <w:pPr>
        <w:pStyle w:val="BodyText"/>
        <w:spacing w:line="244" w:lineRule="auto"/>
        <w:ind w:left="395" w:right="424"/>
        <w:jc w:val="both"/>
      </w:pPr>
      <w:r>
        <w:rPr/>
        <w:t>Aunque, inicialmente, la  protecciónambiental se plasmó en instrumentos de ordenación  de alcance espacial limitado -espacios naturales protegidos-, actualmente se trata de una noción que informa el conjunto del planeamiento territorial, desde los documentos de ámbito comunitario (ETE) hasta los planes urbanísticos, tal como se viene propugnando desde</w:t>
      </w:r>
      <w:r>
        <w:rPr>
          <w:spacing w:val="18"/>
        </w:rPr>
        <w:t> </w:t>
      </w:r>
      <w:r>
        <w:rPr/>
        <w:t>hace</w:t>
      </w:r>
      <w:r>
        <w:rPr>
          <w:spacing w:val="18"/>
        </w:rPr>
        <w:t> </w:t>
      </w:r>
      <w:r>
        <w:rPr/>
        <w:t>ya</w:t>
      </w:r>
      <w:r>
        <w:rPr>
          <w:spacing w:val="18"/>
        </w:rPr>
        <w:t> </w:t>
      </w:r>
      <w:r>
        <w:rPr/>
        <w:t>bastantes</w:t>
      </w:r>
      <w:r>
        <w:rPr>
          <w:spacing w:val="18"/>
        </w:rPr>
        <w:t> </w:t>
      </w:r>
      <w:r>
        <w:rPr/>
        <w:t>años</w:t>
      </w:r>
      <w:r>
        <w:rPr>
          <w:spacing w:val="18"/>
        </w:rPr>
        <w:t> </w:t>
      </w:r>
      <w:r>
        <w:rPr/>
        <w:t>(CEMAT,</w:t>
      </w:r>
      <w:r>
        <w:rPr>
          <w:spacing w:val="18"/>
        </w:rPr>
        <w:t> </w:t>
      </w:r>
      <w:r>
        <w:rPr/>
        <w:t>1983;</w:t>
      </w:r>
      <w:r>
        <w:rPr>
          <w:spacing w:val="18"/>
        </w:rPr>
        <w:t> </w:t>
      </w:r>
      <w:r>
        <w:rPr/>
        <w:t>Parejo,</w:t>
      </w:r>
      <w:r>
        <w:rPr>
          <w:spacing w:val="18"/>
        </w:rPr>
        <w:t> </w:t>
      </w:r>
      <w:r>
        <w:rPr/>
        <w:t>1988,</w:t>
      </w:r>
      <w:r>
        <w:rPr>
          <w:spacing w:val="18"/>
        </w:rPr>
        <w:t> </w:t>
      </w:r>
      <w:r>
        <w:rPr/>
        <w:t>415;</w:t>
      </w:r>
      <w:r>
        <w:rPr>
          <w:spacing w:val="18"/>
        </w:rPr>
        <w:t> </w:t>
      </w:r>
      <w:r>
        <w:rPr/>
        <w:t>Ávila,</w:t>
      </w:r>
      <w:r>
        <w:rPr>
          <w:spacing w:val="18"/>
        </w:rPr>
        <w:t> </w:t>
      </w:r>
      <w:r>
        <w:rPr/>
        <w:t>1998,</w:t>
      </w:r>
      <w:r>
        <w:rPr>
          <w:spacing w:val="18"/>
        </w:rPr>
        <w:t> </w:t>
      </w:r>
      <w:r>
        <w:rPr/>
        <w:t>231-315;</w:t>
      </w:r>
    </w:p>
    <w:p>
      <w:pPr>
        <w:spacing w:after="0" w:line="244" w:lineRule="auto"/>
        <w:jc w:val="both"/>
        <w:sectPr>
          <w:pgSz w:w="12240" w:h="15840"/>
          <w:pgMar w:top="1320" w:bottom="280" w:left="1720" w:right="1720"/>
        </w:sectPr>
      </w:pPr>
    </w:p>
    <w:p>
      <w:pPr>
        <w:pStyle w:val="BodyText"/>
        <w:spacing w:line="244" w:lineRule="auto" w:before="59"/>
        <w:ind w:left="395" w:right="423"/>
        <w:jc w:val="both"/>
      </w:pPr>
      <w:r>
        <w:rPr/>
        <w:t>Allende, 2000, 197-207). Dentro del conjunto de las cuestiones ambientales, el paisaje    en concreto es un elemento </w:t>
      </w:r>
      <w:r>
        <w:rPr>
          <w:spacing w:val="2"/>
        </w:rPr>
        <w:t>cada </w:t>
      </w:r>
      <w:r>
        <w:rPr/>
        <w:t>vez más valorado en los procesos y documentos de planeamiento, siendo entendida su calidad cada día más no sólo en términos de pura belleza sensorial y de conservación pasiva, sino también de patrimonio cultural a  preservar de manera dinámica, mediante una adecuada e integral gestión territorial. Otra consecuencia positiva de esta demanda de calidad ambiental es  la  ordenación  en  positivo que actualmente se aplica al Suelo No Urbanizable en el </w:t>
      </w:r>
      <w:r>
        <w:rPr>
          <w:spacing w:val="-2"/>
        </w:rPr>
        <w:t>planeamiento urbanístico.</w:t>
      </w:r>
    </w:p>
    <w:p>
      <w:pPr>
        <w:pStyle w:val="BodyText"/>
        <w:spacing w:before="10"/>
        <w:rPr>
          <w:sz w:val="21"/>
        </w:rPr>
      </w:pPr>
    </w:p>
    <w:p>
      <w:pPr>
        <w:spacing w:line="247" w:lineRule="auto" w:before="0"/>
        <w:ind w:left="395" w:right="423" w:firstLine="0"/>
        <w:jc w:val="both"/>
        <w:rPr>
          <w:sz w:val="22"/>
        </w:rPr>
      </w:pPr>
      <w:r>
        <w:rPr>
          <w:sz w:val="22"/>
        </w:rPr>
        <w:t>Hay que señalar, en cualquier caso,  que aunque la introducción de criterios ambientales  en los documentos de ordenación ha sido relativamente rápida y satisfactoria, su aplicación real en el desarrollo de los mismos viene siendo todavía bastante desigual, abundando más las sombras que las </w:t>
      </w:r>
      <w:r>
        <w:rPr>
          <w:spacing w:val="-7"/>
          <w:sz w:val="22"/>
        </w:rPr>
        <w:t>luces. </w:t>
      </w:r>
      <w:r>
        <w:rPr>
          <w:sz w:val="22"/>
        </w:rPr>
        <w:t>Como señala Quero (2001, 113), existe un </w:t>
      </w:r>
      <w:r>
        <w:rPr>
          <w:i/>
          <w:sz w:val="22"/>
        </w:rPr>
        <w:t>“abuso retórico de las nociones de sostenibilidad y medioambiente en contradicción     </w:t>
      </w:r>
      <w:r>
        <w:rPr>
          <w:i/>
          <w:sz w:val="22"/>
        </w:rPr>
        <w:t>con las propuestas reales de los planes”</w:t>
      </w:r>
      <w:r>
        <w:rPr>
          <w:sz w:val="22"/>
        </w:rPr>
        <w:t>, especialmente en zonas de turismo de costa (COPT,</w:t>
      </w:r>
      <w:r>
        <w:rPr>
          <w:spacing w:val="33"/>
          <w:sz w:val="22"/>
        </w:rPr>
        <w:t> </w:t>
      </w:r>
      <w:r>
        <w:rPr>
          <w:sz w:val="22"/>
        </w:rPr>
        <w:t>1999).</w:t>
      </w:r>
    </w:p>
    <w:p>
      <w:pPr>
        <w:pStyle w:val="BodyText"/>
        <w:spacing w:before="8"/>
        <w:rPr>
          <w:sz w:val="21"/>
        </w:rPr>
      </w:pPr>
    </w:p>
    <w:p>
      <w:pPr>
        <w:pStyle w:val="BodyText"/>
        <w:spacing w:line="247" w:lineRule="auto"/>
        <w:ind w:left="395" w:right="419"/>
        <w:jc w:val="both"/>
      </w:pPr>
      <w:r>
        <w:rPr/>
        <w:t>La demanda de políticas territoriales sostenibles que  realiza  la  sociedad,  finalmente, debe serle devuelta en términos de educación ambiental, pues la adopción de políticas </w:t>
      </w:r>
      <w:r>
        <w:rPr>
          <w:spacing w:val="-3"/>
        </w:rPr>
        <w:t>respetuosas </w:t>
      </w:r>
      <w:r>
        <w:rPr/>
        <w:t>con  el  </w:t>
      </w:r>
      <w:r>
        <w:rPr>
          <w:spacing w:val="-3"/>
        </w:rPr>
        <w:t>medio  ambiente  debe  basarse,  </w:t>
      </w:r>
      <w:r>
        <w:rPr/>
        <w:t>de  </w:t>
      </w:r>
      <w:r>
        <w:rPr>
          <w:spacing w:val="-3"/>
        </w:rPr>
        <w:t>manera  primordial,  </w:t>
      </w:r>
      <w:r>
        <w:rPr/>
        <w:t>en  un  </w:t>
      </w:r>
      <w:r>
        <w:rPr>
          <w:spacing w:val="-3"/>
        </w:rPr>
        <w:t>cambio </w:t>
      </w:r>
      <w:r>
        <w:rPr/>
        <w:t>de actitudes y comportamientos por parte de los  ciudadanos.</w:t>
      </w:r>
    </w:p>
    <w:p>
      <w:pPr>
        <w:pStyle w:val="BodyText"/>
        <w:spacing w:before="8"/>
        <w:rPr>
          <w:sz w:val="21"/>
        </w:rPr>
      </w:pPr>
    </w:p>
    <w:p>
      <w:pPr>
        <w:pStyle w:val="BodyText"/>
        <w:spacing w:line="247" w:lineRule="auto"/>
        <w:ind w:left="395" w:right="423"/>
        <w:jc w:val="both"/>
      </w:pPr>
      <w:r>
        <w:rPr/>
        <w:t>Autores como Parejo (1997) o Simmonds (1997) definen el momento actual como de reformulación de esquemas (deconstrucción-construcción) en  el  urbanismo,  caracterizado por un declive del instrumento legislativo. Dicho </w:t>
      </w:r>
      <w:r>
        <w:rPr>
          <w:spacing w:val="-3"/>
        </w:rPr>
        <w:t>declive  </w:t>
      </w:r>
      <w:r>
        <w:rPr/>
        <w:t>obedecería  a cuatro razones</w:t>
      </w:r>
      <w:r>
        <w:rPr>
          <w:spacing w:val="33"/>
        </w:rPr>
        <w:t> </w:t>
      </w:r>
      <w:r>
        <w:rPr/>
        <w:t>básicas:</w:t>
      </w:r>
    </w:p>
    <w:p>
      <w:pPr>
        <w:pStyle w:val="BodyText"/>
        <w:rPr>
          <w:sz w:val="23"/>
        </w:rPr>
      </w:pPr>
    </w:p>
    <w:p>
      <w:pPr>
        <w:pStyle w:val="ListParagraph"/>
        <w:numPr>
          <w:ilvl w:val="0"/>
          <w:numId w:val="4"/>
        </w:numPr>
        <w:tabs>
          <w:tab w:pos="1399" w:val="left" w:leader="none"/>
          <w:tab w:pos="1400" w:val="left" w:leader="none"/>
        </w:tabs>
        <w:spacing w:line="256" w:lineRule="auto" w:before="0" w:after="0"/>
        <w:ind w:left="1400" w:right="436" w:hanging="330"/>
        <w:jc w:val="left"/>
        <w:rPr>
          <w:sz w:val="22"/>
        </w:rPr>
      </w:pPr>
      <w:r>
        <w:rPr>
          <w:sz w:val="22"/>
        </w:rPr>
        <w:t>La identificación de los conceptos de ciudad y región, en el marco de los procesos de</w:t>
      </w:r>
      <w:r>
        <w:rPr>
          <w:spacing w:val="15"/>
          <w:sz w:val="22"/>
        </w:rPr>
        <w:t> </w:t>
      </w:r>
      <w:r>
        <w:rPr>
          <w:sz w:val="22"/>
        </w:rPr>
        <w:t>metropolización,</w:t>
      </w:r>
    </w:p>
    <w:p>
      <w:pPr>
        <w:pStyle w:val="ListParagraph"/>
        <w:numPr>
          <w:ilvl w:val="0"/>
          <w:numId w:val="4"/>
        </w:numPr>
        <w:tabs>
          <w:tab w:pos="1399" w:val="left" w:leader="none"/>
          <w:tab w:pos="1400" w:val="left" w:leader="none"/>
        </w:tabs>
        <w:spacing w:line="223" w:lineRule="exact" w:before="0" w:after="0"/>
        <w:ind w:left="1400" w:right="0" w:hanging="330"/>
        <w:jc w:val="left"/>
        <w:rPr>
          <w:sz w:val="22"/>
        </w:rPr>
      </w:pPr>
      <w:r>
        <w:rPr>
          <w:sz w:val="22"/>
        </w:rPr>
        <w:t>La</w:t>
      </w:r>
      <w:r>
        <w:rPr>
          <w:spacing w:val="27"/>
          <w:sz w:val="22"/>
        </w:rPr>
        <w:t> </w:t>
      </w:r>
      <w:r>
        <w:rPr>
          <w:sz w:val="22"/>
        </w:rPr>
        <w:t>mayor</w:t>
      </w:r>
      <w:r>
        <w:rPr>
          <w:spacing w:val="27"/>
          <w:sz w:val="22"/>
        </w:rPr>
        <w:t> </w:t>
      </w:r>
      <w:r>
        <w:rPr>
          <w:sz w:val="22"/>
        </w:rPr>
        <w:t>demanda</w:t>
      </w:r>
      <w:r>
        <w:rPr>
          <w:spacing w:val="27"/>
          <w:sz w:val="22"/>
        </w:rPr>
        <w:t> </w:t>
      </w:r>
      <w:r>
        <w:rPr>
          <w:sz w:val="22"/>
        </w:rPr>
        <w:t>de</w:t>
      </w:r>
      <w:r>
        <w:rPr>
          <w:spacing w:val="27"/>
          <w:sz w:val="22"/>
        </w:rPr>
        <w:t> </w:t>
      </w:r>
      <w:r>
        <w:rPr>
          <w:sz w:val="22"/>
        </w:rPr>
        <w:t>información</w:t>
      </w:r>
      <w:r>
        <w:rPr>
          <w:spacing w:val="27"/>
          <w:sz w:val="22"/>
        </w:rPr>
        <w:t> </w:t>
      </w:r>
      <w:r>
        <w:rPr>
          <w:sz w:val="22"/>
        </w:rPr>
        <w:t>y</w:t>
      </w:r>
      <w:r>
        <w:rPr>
          <w:spacing w:val="27"/>
          <w:sz w:val="22"/>
        </w:rPr>
        <w:t> </w:t>
      </w:r>
      <w:r>
        <w:rPr>
          <w:sz w:val="22"/>
        </w:rPr>
        <w:t>participación</w:t>
      </w:r>
      <w:r>
        <w:rPr>
          <w:spacing w:val="28"/>
          <w:sz w:val="22"/>
        </w:rPr>
        <w:t> </w:t>
      </w:r>
      <w:r>
        <w:rPr>
          <w:sz w:val="22"/>
        </w:rPr>
        <w:t>ciudadanas</w:t>
      </w:r>
      <w:r>
        <w:rPr>
          <w:spacing w:val="27"/>
          <w:sz w:val="22"/>
        </w:rPr>
        <w:t> </w:t>
      </w:r>
      <w:r>
        <w:rPr>
          <w:sz w:val="22"/>
        </w:rPr>
        <w:t>en</w:t>
      </w:r>
      <w:r>
        <w:rPr>
          <w:spacing w:val="27"/>
          <w:sz w:val="22"/>
        </w:rPr>
        <w:t> </w:t>
      </w:r>
      <w:r>
        <w:rPr>
          <w:sz w:val="22"/>
        </w:rPr>
        <w:t>el</w:t>
      </w:r>
      <w:r>
        <w:rPr>
          <w:spacing w:val="27"/>
          <w:sz w:val="22"/>
        </w:rPr>
        <w:t> </w:t>
      </w:r>
      <w:r>
        <w:rPr>
          <w:sz w:val="22"/>
        </w:rPr>
        <w:t>ámbito</w:t>
      </w:r>
    </w:p>
    <w:p>
      <w:pPr>
        <w:pStyle w:val="BodyText"/>
        <w:spacing w:before="2"/>
        <w:ind w:left="1400" w:right="771"/>
      </w:pPr>
      <w:r>
        <w:rPr/>
        <w:t>local,</w:t>
      </w:r>
    </w:p>
    <w:p>
      <w:pPr>
        <w:pStyle w:val="ListParagraph"/>
        <w:numPr>
          <w:ilvl w:val="0"/>
          <w:numId w:val="4"/>
        </w:numPr>
        <w:tabs>
          <w:tab w:pos="1399" w:val="left" w:leader="none"/>
          <w:tab w:pos="1400" w:val="left" w:leader="none"/>
        </w:tabs>
        <w:spacing w:line="242" w:lineRule="auto" w:before="17" w:after="0"/>
        <w:ind w:left="1400" w:right="454" w:hanging="330"/>
        <w:jc w:val="left"/>
        <w:rPr>
          <w:sz w:val="22"/>
        </w:rPr>
      </w:pPr>
      <w:r>
        <w:rPr>
          <w:sz w:val="22"/>
        </w:rPr>
        <w:t>La </w:t>
      </w:r>
      <w:r>
        <w:rPr>
          <w:spacing w:val="-3"/>
          <w:sz w:val="22"/>
        </w:rPr>
        <w:t>posibilidad, para </w:t>
      </w:r>
      <w:r>
        <w:rPr>
          <w:sz w:val="22"/>
        </w:rPr>
        <w:t>los </w:t>
      </w:r>
      <w:r>
        <w:rPr>
          <w:spacing w:val="-3"/>
          <w:sz w:val="22"/>
        </w:rPr>
        <w:t>gobiernos locales, </w:t>
      </w:r>
      <w:r>
        <w:rPr>
          <w:sz w:val="22"/>
        </w:rPr>
        <w:t>de </w:t>
      </w:r>
      <w:r>
        <w:rPr>
          <w:spacing w:val="-3"/>
          <w:sz w:val="22"/>
        </w:rPr>
        <w:t>utilizar otros instrumentos no </w:t>
      </w:r>
      <w:r>
        <w:rPr>
          <w:sz w:val="22"/>
        </w:rPr>
        <w:t>legislativos para el gobierno urbano,</w:t>
      </w:r>
      <w:r>
        <w:rPr>
          <w:spacing w:val="47"/>
          <w:sz w:val="22"/>
        </w:rPr>
        <w:t> </w:t>
      </w:r>
      <w:r>
        <w:rPr>
          <w:sz w:val="22"/>
        </w:rPr>
        <w:t>y</w:t>
      </w:r>
    </w:p>
    <w:p>
      <w:pPr>
        <w:pStyle w:val="ListParagraph"/>
        <w:numPr>
          <w:ilvl w:val="0"/>
          <w:numId w:val="4"/>
        </w:numPr>
        <w:tabs>
          <w:tab w:pos="1399" w:val="left" w:leader="none"/>
          <w:tab w:pos="1400" w:val="left" w:leader="none"/>
        </w:tabs>
        <w:spacing w:line="240" w:lineRule="auto" w:before="14" w:after="0"/>
        <w:ind w:left="1400" w:right="0" w:hanging="330"/>
        <w:jc w:val="left"/>
        <w:rPr>
          <w:sz w:val="22"/>
        </w:rPr>
      </w:pPr>
      <w:r>
        <w:rPr>
          <w:sz w:val="22"/>
        </w:rPr>
        <w:t>El fracaso de los Planes Generales de Ordenación Urbana (Ezquiaga, </w:t>
      </w:r>
      <w:r>
        <w:rPr>
          <w:spacing w:val="51"/>
          <w:sz w:val="22"/>
        </w:rPr>
        <w:t> </w:t>
      </w:r>
      <w:r>
        <w:rPr>
          <w:spacing w:val="-2"/>
          <w:sz w:val="22"/>
        </w:rPr>
        <w:t>1998).</w:t>
      </w:r>
    </w:p>
    <w:p>
      <w:pPr>
        <w:pStyle w:val="BodyText"/>
        <w:spacing w:before="4"/>
      </w:pPr>
    </w:p>
    <w:p>
      <w:pPr>
        <w:pStyle w:val="BodyText"/>
        <w:spacing w:line="244" w:lineRule="auto"/>
        <w:ind w:left="395" w:right="413"/>
        <w:jc w:val="both"/>
      </w:pPr>
      <w:r>
        <w:rPr/>
        <w:t>Por todo ello, una cuestión candente durante los últimos años  están  siendo  </w:t>
      </w:r>
      <w:r>
        <w:rPr>
          <w:spacing w:val="-2"/>
        </w:rPr>
        <w:t>las</w:t>
      </w:r>
      <w:r>
        <w:rPr>
          <w:spacing w:val="51"/>
        </w:rPr>
        <w:t> </w:t>
      </w:r>
      <w:r>
        <w:rPr/>
        <w:t>propuestas de </w:t>
      </w:r>
      <w:r>
        <w:rPr>
          <w:spacing w:val="-4"/>
        </w:rPr>
        <w:t>flexibilización </w:t>
      </w:r>
      <w:r>
        <w:rPr/>
        <w:t>del planeamiento, tanto en sus contenidos como en los procedimientos de modificación, de manera que, en el caso concreto de los </w:t>
      </w:r>
      <w:r>
        <w:rPr>
          <w:spacing w:val="-2"/>
        </w:rPr>
        <w:t>planes </w:t>
      </w:r>
      <w:r>
        <w:rPr/>
        <w:t>urbanísticos, se conviertan en  </w:t>
      </w:r>
      <w:r>
        <w:rPr>
          <w:i/>
        </w:rPr>
        <w:t>“una mera base de referencia, en la que se enmarcarían   </w:t>
      </w:r>
      <w:r>
        <w:rPr>
          <w:i/>
        </w:rPr>
        <w:t>el análisis y discusión de cualquier posible actuación” </w:t>
      </w:r>
      <w:r>
        <w:rPr/>
        <w:t>(Rodríguez-Avial, 2002). Dichas propuestas están consiguiendo, en algunos casos, que los contenidos del planeamiento urbanístico evolucionen hacia una mayor flexibilidad, de manera que puedan ser fácilmente adaptadas a </w:t>
      </w:r>
      <w:r>
        <w:rPr>
          <w:spacing w:val="-20"/>
        </w:rPr>
        <w:t>los </w:t>
      </w:r>
      <w:r>
        <w:rPr/>
        <w:t>cambios y necesidades fluctuantes del entorno,  como  se  aprecia en documentos como la revisión de los Planes Generales de Madrid o Sevilla (OPS,</w:t>
      </w:r>
      <w:r>
        <w:rPr>
          <w:spacing w:val="24"/>
        </w:rPr>
        <w:t> </w:t>
      </w:r>
      <w:r>
        <w:rPr/>
        <w:t>2001).</w:t>
      </w:r>
    </w:p>
    <w:p>
      <w:pPr>
        <w:pStyle w:val="BodyText"/>
        <w:spacing w:before="2"/>
        <w:rPr>
          <w:sz w:val="23"/>
        </w:rPr>
      </w:pPr>
    </w:p>
    <w:p>
      <w:pPr>
        <w:pStyle w:val="BodyText"/>
        <w:spacing w:line="249" w:lineRule="auto"/>
        <w:ind w:left="395" w:right="422"/>
        <w:jc w:val="both"/>
      </w:pPr>
      <w:r>
        <w:rPr/>
        <w:t>No cabe duda de que la tendencia descrita acarrea el riesgo de vaciado de contenido del planeamiento  urbanístico, cuyo protagonismo en la conformación real del territorio y en  la  adopción  de  políticas  sostenibles  es  superior  al  de  los  demás  instrumentos      </w:t>
      </w:r>
      <w:r>
        <w:rPr>
          <w:spacing w:val="52"/>
        </w:rPr>
        <w:t> </w:t>
      </w:r>
      <w:r>
        <w:rPr/>
        <w:t>de</w:t>
      </w:r>
    </w:p>
    <w:p>
      <w:pPr>
        <w:spacing w:after="0" w:line="249" w:lineRule="auto"/>
        <w:jc w:val="both"/>
        <w:sectPr>
          <w:pgSz w:w="12240" w:h="15840"/>
          <w:pgMar w:top="1280" w:bottom="280" w:left="1720" w:right="1720"/>
        </w:sectPr>
      </w:pPr>
    </w:p>
    <w:p>
      <w:pPr>
        <w:pStyle w:val="BodyText"/>
        <w:spacing w:line="256" w:lineRule="auto" w:before="59"/>
        <w:ind w:left="395" w:right="422"/>
        <w:jc w:val="both"/>
      </w:pPr>
      <w:r>
        <w:rPr/>
        <w:t>ordenación. Debe atenderse, en este sentido, a que las recomendaciones no acaben desplazando la necesaria primacía de normas y  directrices.</w:t>
      </w:r>
    </w:p>
    <w:p>
      <w:pPr>
        <w:pStyle w:val="BodyText"/>
        <w:spacing w:before="10"/>
        <w:rPr>
          <w:sz w:val="20"/>
        </w:rPr>
      </w:pPr>
    </w:p>
    <w:p>
      <w:pPr>
        <w:pStyle w:val="BodyText"/>
        <w:spacing w:line="247" w:lineRule="auto"/>
        <w:ind w:left="395" w:right="422"/>
        <w:jc w:val="both"/>
      </w:pPr>
      <w:r>
        <w:rPr/>
        <w:t>Desde un punto de vista metodológico, la adopción de soluciones más genéricas </w:t>
      </w:r>
      <w:r>
        <w:rPr>
          <w:spacing w:val="-2"/>
        </w:rPr>
        <w:t>podría </w:t>
      </w:r>
      <w:r>
        <w:rPr>
          <w:spacing w:val="51"/>
        </w:rPr>
        <w:t> </w:t>
      </w:r>
      <w:r>
        <w:rPr/>
        <w:t>ser interpretada, en parte, como consecuencia de la creciente demanda del cuerpo social  de participar en la labor ordenadora, demanda en relación inversa con el tamaño de la unidad territorial considerada. Ciertamente, se están produciendo algunos, aunque  tímidos, avances en este sentido, aunque la participación ciudadana real permanece estancada en la mayoría de los </w:t>
      </w:r>
      <w:r>
        <w:rPr>
          <w:spacing w:val="9"/>
        </w:rPr>
        <w:t> </w:t>
      </w:r>
      <w:r>
        <w:rPr>
          <w:spacing w:val="-2"/>
        </w:rPr>
        <w:t>casos.</w:t>
      </w:r>
    </w:p>
    <w:p>
      <w:pPr>
        <w:pStyle w:val="BodyText"/>
        <w:spacing w:before="4"/>
        <w:rPr>
          <w:sz w:val="20"/>
        </w:rPr>
      </w:pPr>
    </w:p>
    <w:p>
      <w:pPr>
        <w:pStyle w:val="BodyText"/>
        <w:spacing w:line="249" w:lineRule="auto"/>
        <w:ind w:left="395" w:right="453"/>
        <w:jc w:val="both"/>
      </w:pPr>
      <w:r>
        <w:rPr/>
        <w:t>El </w:t>
      </w:r>
      <w:r>
        <w:rPr>
          <w:spacing w:val="-3"/>
        </w:rPr>
        <w:t>incremento </w:t>
      </w:r>
      <w:r>
        <w:rPr/>
        <w:t>de la participación pública obliga a hacer hincapié en los objetivos,  criterios generales y elementos estructurantes del territorio sobre el planeamiento de detalle; a acentuar, en suma, la primacía del elemento político sobre el técnico. </w:t>
      </w:r>
      <w:r>
        <w:rPr>
          <w:spacing w:val="-3"/>
        </w:rPr>
        <w:t>El </w:t>
      </w:r>
      <w:r>
        <w:rPr/>
        <w:t>planeamiento urbanístico va otorgando, pues, más importancia a la acción que a la </w:t>
      </w:r>
      <w:r>
        <w:rPr>
          <w:spacing w:val="-3"/>
        </w:rPr>
        <w:t>regulación.</w:t>
      </w:r>
    </w:p>
    <w:p>
      <w:pPr>
        <w:pStyle w:val="BodyText"/>
        <w:spacing w:before="5"/>
        <w:rPr>
          <w:sz w:val="21"/>
        </w:rPr>
      </w:pPr>
    </w:p>
    <w:p>
      <w:pPr>
        <w:pStyle w:val="BodyText"/>
        <w:spacing w:line="244" w:lineRule="auto"/>
        <w:ind w:left="395" w:right="421"/>
        <w:jc w:val="both"/>
      </w:pPr>
      <w:r>
        <w:rPr/>
        <w:t>Si la participación de los agentes sociales en las labores de ordenación es una saludable conveniencia (Allende, 2000; DG Calidad y Evaluación Ambiental, 2000), aplicación    del </w:t>
      </w:r>
      <w:r>
        <w:rPr>
          <w:spacing w:val="-3"/>
        </w:rPr>
        <w:t>carácter democrático </w:t>
      </w:r>
      <w:r>
        <w:rPr/>
        <w:t>que le </w:t>
      </w:r>
      <w:r>
        <w:rPr>
          <w:spacing w:val="-3"/>
        </w:rPr>
        <w:t>atribuye  </w:t>
      </w:r>
      <w:r>
        <w:rPr/>
        <w:t>la  </w:t>
      </w:r>
      <w:r>
        <w:rPr>
          <w:spacing w:val="-3"/>
        </w:rPr>
        <w:t>Carta  Europea,  </w:t>
      </w:r>
      <w:r>
        <w:rPr/>
        <w:t>la  </w:t>
      </w:r>
      <w:r>
        <w:rPr>
          <w:spacing w:val="-3"/>
        </w:rPr>
        <w:t>coordinación  </w:t>
      </w:r>
      <w:r>
        <w:rPr/>
        <w:t>con  </w:t>
      </w:r>
      <w:r>
        <w:rPr>
          <w:spacing w:val="-3"/>
        </w:rPr>
        <w:t>los  </w:t>
      </w:r>
      <w:r>
        <w:rPr/>
        <w:t>demás niveles administrativos es una necesidad insoslayable, tal como se recoge en </w:t>
      </w:r>
      <w:r>
        <w:rPr>
          <w:spacing w:val="-2"/>
        </w:rPr>
        <w:t>las </w:t>
      </w:r>
      <w:r>
        <w:rPr/>
        <w:t>conclusiones del III Congreso Internacional de Ordenación del Territorio (2001, </w:t>
      </w:r>
      <w:r>
        <w:rPr>
          <w:spacing w:val="3"/>
        </w:rPr>
        <w:t>38). </w:t>
      </w:r>
      <w:r>
        <w:rPr/>
        <w:t>Dicha coordinación ha de establecerse en una doble dirección: con el nivel superior que representa la Administración estatal –que es responsable de diversas competencias con incidencia territorial-, y con el inferior de los municipios, para evitar las </w:t>
      </w:r>
      <w:r>
        <w:rPr>
          <w:spacing w:val="-5"/>
        </w:rPr>
        <w:t>frecuentes </w:t>
      </w:r>
      <w:r>
        <w:rPr/>
        <w:t>tensiones con</w:t>
      </w:r>
      <w:r>
        <w:rPr>
          <w:spacing w:val="28"/>
        </w:rPr>
        <w:t> </w:t>
      </w:r>
      <w:r>
        <w:rPr/>
        <w:t>ellos.</w:t>
      </w:r>
    </w:p>
    <w:p>
      <w:pPr>
        <w:pStyle w:val="BodyText"/>
        <w:spacing w:before="2"/>
        <w:rPr>
          <w:sz w:val="23"/>
        </w:rPr>
      </w:pPr>
    </w:p>
    <w:p>
      <w:pPr>
        <w:pStyle w:val="BodyText"/>
        <w:spacing w:line="244" w:lineRule="auto"/>
        <w:ind w:left="395" w:right="424"/>
        <w:jc w:val="both"/>
      </w:pPr>
      <w:r>
        <w:rPr/>
        <w:t>La participación social y de otros niveles de la Administración tiene la ventaja, decisiva  en el proceso de ordenación, de facilitar la posterior ejecución de los planes, evitando conflictos entre diferentes actores </w:t>
      </w:r>
      <w:r>
        <w:rPr>
          <w:spacing w:val="-3"/>
        </w:rPr>
        <w:t>sociales, entre éstos </w:t>
      </w:r>
      <w:r>
        <w:rPr/>
        <w:t>y los </w:t>
      </w:r>
      <w:r>
        <w:rPr>
          <w:spacing w:val="-3"/>
        </w:rPr>
        <w:t>gestores públicos,  </w:t>
      </w:r>
      <w:r>
        <w:rPr/>
        <w:t>y  </w:t>
      </w:r>
      <w:r>
        <w:rPr>
          <w:spacing w:val="-3"/>
        </w:rPr>
        <w:t>entre  </w:t>
      </w:r>
      <w:r>
        <w:rPr/>
        <w:t>éstos últimos entre sí, que se han convertido en uno de los problemas de mayor trascendencia, actualmente, de la gestión territorial. Es más, puede afirmarse, como se recoge en las conclusiones del III </w:t>
      </w:r>
      <w:r>
        <w:rPr>
          <w:spacing w:val="-4"/>
        </w:rPr>
        <w:t>Congreso </w:t>
      </w:r>
      <w:r>
        <w:rPr/>
        <w:t>Internacional de Ordenación del Territorio (2001, 43) que las claves del éxito de las políticas de ordenación don la participación y    la coordinación o concertación, lo que acrecienta la importancia de la fase de gestión o aplicación del planeamiento  </w:t>
      </w:r>
      <w:r>
        <w:rPr>
          <w:spacing w:val="-4"/>
        </w:rPr>
        <w:t>(Font,  </w:t>
      </w:r>
      <w:r>
        <w:rPr/>
        <w:t>2001), actualmente considerada la clave del proceso de</w:t>
      </w:r>
      <w:r>
        <w:rPr>
          <w:spacing w:val="5"/>
        </w:rPr>
        <w:t> </w:t>
      </w:r>
      <w:r>
        <w:rPr/>
        <w:t>ordenación.</w:t>
      </w:r>
    </w:p>
    <w:p>
      <w:pPr>
        <w:pStyle w:val="BodyText"/>
        <w:spacing w:before="10"/>
        <w:rPr>
          <w:sz w:val="21"/>
        </w:rPr>
      </w:pPr>
    </w:p>
    <w:p>
      <w:pPr>
        <w:pStyle w:val="BodyText"/>
        <w:spacing w:line="244" w:lineRule="auto"/>
        <w:ind w:left="395" w:right="423"/>
        <w:jc w:val="both"/>
      </w:pPr>
      <w:r>
        <w:rPr/>
        <w:t>Si bien estrictamente el equilibrio territorial no es una nueva demanda, concurren en la actualidad, con gran fuerza, dos hechos que, al ampliar el marco  espacial  de  competencia entre </w:t>
      </w:r>
      <w:r>
        <w:rPr>
          <w:spacing w:val="-5"/>
        </w:rPr>
        <w:t>ciudades, </w:t>
      </w:r>
      <w:r>
        <w:rPr/>
        <w:t>regiones y estados, incrementan los desequilibrios: </w:t>
      </w:r>
      <w:r>
        <w:rPr>
          <w:spacing w:val="-2"/>
        </w:rPr>
        <w:t>los </w:t>
      </w:r>
      <w:r>
        <w:rPr/>
        <w:t>procesos de integración económica entre estados (cuyas consecuencias territoriales en el caso europeo han sido tratadas, con mayor o menor profundidad, por Seers y Vaitsos, 1980, Méndez, </w:t>
      </w:r>
      <w:r>
        <w:rPr>
          <w:spacing w:val="-3"/>
        </w:rPr>
        <w:t>1997, </w:t>
      </w:r>
      <w:r>
        <w:rPr/>
        <w:t>o Pujadas y Font, 1998, entre otros) y la globalización. El triunfo   del neoliberalismo sobre las posturas keynesianas no favorece la superación de este tipo  de problemas, al primar la competitividad sobre la equidad </w:t>
      </w:r>
      <w:r>
        <w:rPr>
          <w:spacing w:val="27"/>
        </w:rPr>
        <w:t> </w:t>
      </w:r>
      <w:r>
        <w:rPr/>
        <w:t>interterritorial.</w:t>
      </w:r>
    </w:p>
    <w:p>
      <w:pPr>
        <w:pStyle w:val="BodyText"/>
        <w:spacing w:before="2"/>
        <w:rPr>
          <w:sz w:val="23"/>
        </w:rPr>
      </w:pPr>
    </w:p>
    <w:p>
      <w:pPr>
        <w:pStyle w:val="BodyText"/>
        <w:spacing w:line="242" w:lineRule="auto"/>
        <w:ind w:left="395" w:right="422"/>
        <w:jc w:val="both"/>
      </w:pPr>
      <w:r>
        <w:rPr/>
        <w:t>En este contexto, </w:t>
      </w:r>
      <w:r>
        <w:rPr>
          <w:spacing w:val="7"/>
        </w:rPr>
        <w:t>el </w:t>
      </w:r>
      <w:r>
        <w:rPr/>
        <w:t>peso de la cohesión territorial sobre las tendencias centrípetas debe  ser adecuadamente incrementado en los procesos de ordenación en todas sus escalas,  desde la supraestatal a la local, compensando, en este último caso, el tradicional </w:t>
      </w:r>
      <w:r>
        <w:rPr>
          <w:spacing w:val="-3"/>
        </w:rPr>
        <w:t>desequilibrio   </w:t>
      </w:r>
      <w:r>
        <w:rPr/>
        <w:t>campo-ciudad   acentuado   por   la   evolución   actual   del   sistema.   </w:t>
      </w:r>
      <w:r>
        <w:rPr>
          <w:spacing w:val="4"/>
        </w:rPr>
        <w:t> </w:t>
      </w:r>
      <w:r>
        <w:rPr/>
        <w:t>Las</w:t>
      </w:r>
    </w:p>
    <w:p>
      <w:pPr>
        <w:spacing w:after="0" w:line="242" w:lineRule="auto"/>
        <w:jc w:val="both"/>
        <w:sectPr>
          <w:pgSz w:w="12240" w:h="15840"/>
          <w:pgMar w:top="1280" w:bottom="280" w:left="1720" w:right="1720"/>
        </w:sectPr>
      </w:pPr>
    </w:p>
    <w:p>
      <w:pPr>
        <w:pStyle w:val="BodyText"/>
        <w:spacing w:line="247" w:lineRule="auto" w:before="59"/>
        <w:ind w:left="395" w:right="420"/>
        <w:jc w:val="both"/>
      </w:pPr>
      <w:r>
        <w:rPr/>
        <w:t>propuestas de ordenación actuales abogan para ello por el desarrollo endógeno  </w:t>
      </w:r>
      <w:r>
        <w:rPr>
          <w:spacing w:val="5"/>
        </w:rPr>
        <w:t>-en </w:t>
      </w:r>
      <w:r>
        <w:rPr/>
        <w:t>el    que los recursos patrimoniales han de jugar un papel decisivo, tanto de cara al fomento  del </w:t>
      </w:r>
      <w:r>
        <w:rPr>
          <w:spacing w:val="-3"/>
        </w:rPr>
        <w:t>turismo como </w:t>
      </w:r>
      <w:r>
        <w:rPr/>
        <w:t>al surgimiento y atracción de empresas-, la diversificación de los espacios rurales – </w:t>
      </w:r>
      <w:r>
        <w:rPr>
          <w:spacing w:val="-3"/>
        </w:rPr>
        <w:t>introduciendo nuevas actividades como </w:t>
      </w:r>
      <w:r>
        <w:rPr/>
        <w:t>la </w:t>
      </w:r>
      <w:r>
        <w:rPr>
          <w:spacing w:val="-3"/>
        </w:rPr>
        <w:t>agricultura ecológica </w:t>
      </w:r>
      <w:r>
        <w:rPr/>
        <w:t>y extensiva, el agroturismo, o la producción energética no contaminante- y la definición     de una nueva asociación campo-ciudad, en cuya instrumentación el planeamiento ha de jugar un papel decisivo (ETE, </w:t>
      </w:r>
      <w:r>
        <w:rPr>
          <w:spacing w:val="6"/>
        </w:rPr>
        <w:t> </w:t>
      </w:r>
      <w:r>
        <w:rPr/>
        <w:t>1999).</w:t>
      </w:r>
    </w:p>
    <w:p>
      <w:pPr>
        <w:pStyle w:val="BodyText"/>
        <w:rPr>
          <w:sz w:val="23"/>
        </w:rPr>
      </w:pPr>
    </w:p>
    <w:p>
      <w:pPr>
        <w:pStyle w:val="BodyText"/>
        <w:spacing w:line="244" w:lineRule="auto"/>
        <w:ind w:left="395" w:right="423"/>
        <w:jc w:val="both"/>
      </w:pPr>
      <w:r>
        <w:rPr/>
        <w:t>En el caso de la Unión Europea, dicha cohesión ha sido uno de  los  objetivos  tradicionales de su actuación territorial, habiendo implementado para ello un </w:t>
      </w:r>
      <w:r>
        <w:rPr>
          <w:spacing w:val="-4"/>
        </w:rPr>
        <w:t>conjunto    </w:t>
      </w:r>
      <w:r>
        <w:rPr>
          <w:spacing w:val="47"/>
        </w:rPr>
        <w:t> </w:t>
      </w:r>
      <w:r>
        <w:rPr/>
        <w:t>de actuaciones articuladas en la Política Regional Europea. Sus resultados han sido bastante satisfactorios. Así, si en 1986 las 25 regiones más atrasadas de la UE tenían un PIB medio igual a sólo el 52 % del medio comunitario, en 1996 este porcentaje se había elevado hasta el 59 %. Igualmente, en 1986 el PIB total de las 25 regiones más ricas equivalía a 2.7 veces el de las 25 menos desarrolladas, mientras que en 1996 se había reducido</w:t>
      </w:r>
      <w:r>
        <w:rPr>
          <w:spacing w:val="20"/>
        </w:rPr>
        <w:t> </w:t>
      </w:r>
      <w:r>
        <w:rPr/>
        <w:t>a</w:t>
      </w:r>
      <w:r>
        <w:rPr>
          <w:spacing w:val="20"/>
        </w:rPr>
        <w:t> </w:t>
      </w:r>
      <w:r>
        <w:rPr/>
        <w:t>sólo</w:t>
      </w:r>
      <w:r>
        <w:rPr>
          <w:spacing w:val="20"/>
        </w:rPr>
        <w:t> </w:t>
      </w:r>
      <w:r>
        <w:rPr/>
        <w:t>2.4</w:t>
      </w:r>
      <w:r>
        <w:rPr>
          <w:spacing w:val="20"/>
        </w:rPr>
        <w:t> </w:t>
      </w:r>
      <w:r>
        <w:rPr/>
        <w:t>veces.</w:t>
      </w:r>
      <w:r>
        <w:rPr>
          <w:spacing w:val="20"/>
        </w:rPr>
        <w:t> </w:t>
      </w:r>
      <w:r>
        <w:rPr/>
        <w:t>En</w:t>
      </w:r>
      <w:r>
        <w:rPr>
          <w:spacing w:val="20"/>
        </w:rPr>
        <w:t> </w:t>
      </w:r>
      <w:r>
        <w:rPr/>
        <w:t>los</w:t>
      </w:r>
      <w:r>
        <w:rPr>
          <w:spacing w:val="20"/>
        </w:rPr>
        <w:t> </w:t>
      </w:r>
      <w:r>
        <w:rPr/>
        <w:t>cuatro</w:t>
      </w:r>
      <w:r>
        <w:rPr>
          <w:spacing w:val="20"/>
        </w:rPr>
        <w:t> </w:t>
      </w:r>
      <w:r>
        <w:rPr/>
        <w:t>estados</w:t>
      </w:r>
      <w:r>
        <w:rPr>
          <w:spacing w:val="20"/>
        </w:rPr>
        <w:t> </w:t>
      </w:r>
      <w:r>
        <w:rPr/>
        <w:t>beneficiados</w:t>
      </w:r>
      <w:r>
        <w:rPr>
          <w:spacing w:val="20"/>
        </w:rPr>
        <w:t> </w:t>
      </w:r>
      <w:r>
        <w:rPr/>
        <w:t>por</w:t>
      </w:r>
      <w:r>
        <w:rPr>
          <w:spacing w:val="20"/>
        </w:rPr>
        <w:t> </w:t>
      </w:r>
      <w:r>
        <w:rPr/>
        <w:t>el</w:t>
      </w:r>
      <w:r>
        <w:rPr>
          <w:spacing w:val="20"/>
        </w:rPr>
        <w:t> </w:t>
      </w:r>
      <w:r>
        <w:rPr/>
        <w:t>Fondo</w:t>
      </w:r>
      <w:r>
        <w:rPr>
          <w:spacing w:val="20"/>
        </w:rPr>
        <w:t> </w:t>
      </w:r>
      <w:r>
        <w:rPr>
          <w:spacing w:val="-9"/>
        </w:rPr>
        <w:t>de</w:t>
      </w:r>
      <w:r>
        <w:rPr>
          <w:spacing w:val="7"/>
        </w:rPr>
        <w:t> </w:t>
      </w:r>
      <w:r>
        <w:rPr/>
        <w:t>Cohesión</w:t>
      </w:r>
    </w:p>
    <w:p>
      <w:pPr>
        <w:pStyle w:val="BodyText"/>
        <w:spacing w:line="250" w:lineRule="exact"/>
        <w:ind w:left="395"/>
        <w:jc w:val="both"/>
      </w:pPr>
      <w:r>
        <w:rPr/>
        <w:t>–Irlanda,  Portugal,  España  y  Grecia -, en concreto, el PIB medio por habitante pasó   del</w:t>
      </w:r>
    </w:p>
    <w:p>
      <w:pPr>
        <w:pStyle w:val="BodyText"/>
        <w:spacing w:before="2"/>
        <w:ind w:left="395"/>
        <w:jc w:val="both"/>
      </w:pPr>
      <w:r>
        <w:rPr/>
        <w:t>67.6 % del medio comunitario en 1988 al 78.8 % en  1998.</w:t>
      </w:r>
    </w:p>
    <w:p>
      <w:pPr>
        <w:pStyle w:val="BodyText"/>
        <w:spacing w:before="7"/>
        <w:rPr>
          <w:sz w:val="23"/>
        </w:rPr>
      </w:pPr>
    </w:p>
    <w:p>
      <w:pPr>
        <w:pStyle w:val="BodyText"/>
        <w:spacing w:line="244" w:lineRule="auto"/>
        <w:ind w:left="395" w:right="422"/>
        <w:jc w:val="both"/>
      </w:pPr>
      <w:r>
        <w:rPr/>
        <w:t>La existencia de problemas  transnacionales  –contaminación,  infraestructuras  hidráulicas, etc-, muchos de ellos de carácter ambiental o íntimamente relacionados con ello, exige soluciones igualmente transnacionales. En el caso de las cuestiones  planetarias, dichas soluciones han de articularse en el mismo nivel (Conferencias de Río   y Johannesburgo, Protoco lo de Kioto). Por el contrario, las que afectan a territorios concretos han de ser abordadas en el marco de actuaciones pluriestatales de ámbito limitado. Entre estas últimas, pueden ser destacadas dos: la gestión de los recursos hídricos, previniendo inundaciones y sequías, y la conservación ambiental, en algunos casos (acuíferos, humedales) íntimamente </w:t>
      </w:r>
      <w:r>
        <w:rPr>
          <w:spacing w:val="49"/>
        </w:rPr>
        <w:t> </w:t>
      </w:r>
      <w:r>
        <w:rPr/>
        <w:t>relacionadas.</w:t>
      </w:r>
    </w:p>
    <w:p>
      <w:pPr>
        <w:pStyle w:val="BodyText"/>
        <w:spacing w:before="10"/>
        <w:rPr>
          <w:sz w:val="21"/>
        </w:rPr>
      </w:pPr>
    </w:p>
    <w:p>
      <w:pPr>
        <w:pStyle w:val="Heading1"/>
        <w:numPr>
          <w:ilvl w:val="1"/>
          <w:numId w:val="3"/>
        </w:numPr>
        <w:tabs>
          <w:tab w:pos="787" w:val="left" w:leader="none"/>
        </w:tabs>
        <w:spacing w:line="240" w:lineRule="auto" w:before="0" w:after="0"/>
        <w:ind w:left="786" w:right="0" w:hanging="391"/>
        <w:jc w:val="both"/>
      </w:pPr>
      <w:r>
        <w:rPr/>
        <w:t>Las</w:t>
      </w:r>
      <w:r>
        <w:rPr>
          <w:spacing w:val="10"/>
        </w:rPr>
        <w:t> </w:t>
      </w:r>
      <w:r>
        <w:rPr/>
        <w:t>consecuencias</w:t>
      </w:r>
    </w:p>
    <w:p>
      <w:pPr>
        <w:pStyle w:val="BodyText"/>
        <w:spacing w:before="7"/>
        <w:rPr>
          <w:b/>
          <w:sz w:val="23"/>
        </w:rPr>
      </w:pPr>
    </w:p>
    <w:p>
      <w:pPr>
        <w:pStyle w:val="ListParagraph"/>
        <w:numPr>
          <w:ilvl w:val="2"/>
          <w:numId w:val="3"/>
        </w:numPr>
        <w:tabs>
          <w:tab w:pos="1640" w:val="left" w:leader="none"/>
        </w:tabs>
        <w:spacing w:line="240" w:lineRule="auto" w:before="0" w:after="0"/>
        <w:ind w:left="1640" w:right="0" w:hanging="570"/>
        <w:jc w:val="left"/>
        <w:rPr>
          <w:sz w:val="22"/>
        </w:rPr>
      </w:pPr>
      <w:r>
        <w:rPr>
          <w:sz w:val="22"/>
        </w:rPr>
        <w:t>Creciente interpenetración entre tipos de </w:t>
      </w:r>
      <w:r>
        <w:rPr>
          <w:spacing w:val="13"/>
          <w:sz w:val="22"/>
        </w:rPr>
        <w:t> </w:t>
      </w:r>
      <w:r>
        <w:rPr>
          <w:spacing w:val="-2"/>
          <w:sz w:val="22"/>
        </w:rPr>
        <w:t>planes</w:t>
      </w:r>
    </w:p>
    <w:p>
      <w:pPr>
        <w:pStyle w:val="BodyText"/>
        <w:spacing w:before="7"/>
        <w:rPr>
          <w:sz w:val="23"/>
        </w:rPr>
      </w:pPr>
    </w:p>
    <w:p>
      <w:pPr>
        <w:pStyle w:val="BodyText"/>
        <w:spacing w:line="244" w:lineRule="auto"/>
        <w:ind w:left="395" w:right="410"/>
        <w:jc w:val="both"/>
      </w:pPr>
      <w:r>
        <w:rPr/>
        <w:t>Las nuevas demandas descritas, así como las variaciones exp erimentadas, a lo largo de  los últimos años, por las dinámicas territoriales y sociales, especialmente las registradas  en espacios urbanos, han tenido su correlato en  determinadas  tendencias  de  reorientación de los esquemas y práctica del planeamiento. Una de dichas tendencias consiste en la creciente permeabilidad entre los diversos tipos de planes, tanto en lo que   se refiere a sus ámbitos temáticos como </w:t>
      </w:r>
      <w:r>
        <w:rPr>
          <w:spacing w:val="1"/>
        </w:rPr>
        <w:t> </w:t>
      </w:r>
      <w:r>
        <w:rPr/>
        <w:t>espaciales.</w:t>
      </w:r>
    </w:p>
    <w:p>
      <w:pPr>
        <w:pStyle w:val="BodyText"/>
        <w:spacing w:before="10"/>
        <w:rPr>
          <w:sz w:val="21"/>
        </w:rPr>
      </w:pPr>
    </w:p>
    <w:p>
      <w:pPr>
        <w:pStyle w:val="BodyText"/>
        <w:spacing w:line="244" w:lineRule="auto"/>
        <w:ind w:left="395" w:right="405"/>
        <w:jc w:val="both"/>
      </w:pPr>
      <w:r>
        <w:rPr/>
        <w:t>En cuanto al acercamiento entre instrumentos de planeamiento de diferente escala espacial, el más significativo es la progresiva confluencia entre  el  planeamiento  territorial de escala subregional y el urbanístico –vinculando este último con su entorno geográfico (Font, 2001)-, propugnada por autores como Laborde (1996), De  Terán  (1997), Troitiño (1998, 205) o Rodríguez-Avial (2002, 73), mientras otros (Ávila, 1998, 313-314) siguen marcando diferencias entre ambos fuera de los ámbitos  </w:t>
      </w:r>
      <w:r>
        <w:rPr>
          <w:spacing w:val="13"/>
        </w:rPr>
        <w:t> </w:t>
      </w:r>
      <w:r>
        <w:rPr/>
        <w:t>metropolitanos.</w:t>
      </w:r>
    </w:p>
    <w:p>
      <w:pPr>
        <w:pStyle w:val="BodyText"/>
        <w:spacing w:before="2"/>
        <w:rPr>
          <w:sz w:val="23"/>
        </w:rPr>
      </w:pPr>
    </w:p>
    <w:p>
      <w:pPr>
        <w:pStyle w:val="BodyText"/>
        <w:spacing w:line="242" w:lineRule="auto"/>
        <w:ind w:left="395" w:right="437"/>
        <w:jc w:val="both"/>
      </w:pPr>
      <w:r>
        <w:rPr/>
        <w:t>Como ya se significara anteriormente, la tendencia experimentada por el planeamiento urbanístico es a una mayor flexibilidad: un  planeamiento  meramente  estructural  que sirva de marco para ulteriores procesos de negociación en el desarrollo de las figuras</w:t>
      </w:r>
    </w:p>
    <w:p>
      <w:pPr>
        <w:spacing w:after="0" w:line="242" w:lineRule="auto"/>
        <w:jc w:val="both"/>
        <w:sectPr>
          <w:pgSz w:w="12240" w:h="15840"/>
          <w:pgMar w:top="1280" w:bottom="280" w:left="1720" w:right="1720"/>
        </w:sectPr>
      </w:pPr>
    </w:p>
    <w:p>
      <w:pPr>
        <w:pStyle w:val="BodyText"/>
        <w:spacing w:line="244" w:lineRule="auto" w:before="59"/>
        <w:ind w:left="395" w:right="422"/>
        <w:jc w:val="both"/>
      </w:pPr>
      <w:r>
        <w:rPr/>
        <w:t>derivadas, y permita la realización de actuaciones puntuales determinadas por la coyuntura-con los que Rullán (2003, 166) se muestra muy crítico-, </w:t>
      </w:r>
      <w:r>
        <w:rPr>
          <w:spacing w:val="-4"/>
        </w:rPr>
        <w:t>cada vez </w:t>
      </w:r>
      <w:r>
        <w:rPr>
          <w:spacing w:val="-5"/>
        </w:rPr>
        <w:t>más </w:t>
      </w:r>
      <w:r>
        <w:rPr/>
        <w:t>importantes (Font, 2001). La introducción de consideraciones coyunturales en la ordenación, que, por definición, es una labor a medio y largo plazo, es, sin duda, </w:t>
      </w:r>
      <w:r>
        <w:rPr>
          <w:spacing w:val="-3"/>
        </w:rPr>
        <w:t>discutible, </w:t>
      </w:r>
      <w:r>
        <w:rPr/>
        <w:t>y </w:t>
      </w:r>
      <w:r>
        <w:rPr>
          <w:spacing w:val="-3"/>
        </w:rPr>
        <w:t>puede </w:t>
      </w:r>
      <w:r>
        <w:rPr/>
        <w:t>dar </w:t>
      </w:r>
      <w:r>
        <w:rPr>
          <w:spacing w:val="-3"/>
        </w:rPr>
        <w:t>luga </w:t>
      </w:r>
      <w:r>
        <w:rPr/>
        <w:t>r a cierto vaciamiento de la trascendencia de los propios planes.</w:t>
      </w:r>
    </w:p>
    <w:p>
      <w:pPr>
        <w:pStyle w:val="BodyText"/>
        <w:spacing w:before="2"/>
        <w:rPr>
          <w:sz w:val="23"/>
        </w:rPr>
      </w:pPr>
    </w:p>
    <w:p>
      <w:pPr>
        <w:pStyle w:val="BodyText"/>
        <w:spacing w:line="244" w:lineRule="auto"/>
        <w:ind w:left="395" w:right="422"/>
        <w:jc w:val="both"/>
      </w:pPr>
      <w:r>
        <w:rPr/>
        <w:t>En parte, esta tendencia plasma en la práctica ordenadora la profundización de </w:t>
      </w:r>
      <w:r>
        <w:rPr>
          <w:spacing w:val="-2"/>
        </w:rPr>
        <w:t>las </w:t>
      </w:r>
      <w:r>
        <w:rPr/>
        <w:t>relaciones entre la ciudad y su alfoz, con su culminación en los procesos de metropolización, que, en las áreas en que se verifican, van convirtiendo en obsoleta la figura del Plan Municipal de Ordenación Urbana (Ezquiaga, 1998),  incapaz  de  responder de manera plenamente satisfactoria a cuestiones clave, desde el punto de vista de la gestión local sostenible, como la configuración del sistema  de espacios libres o,  muy especialmente, el crecimiento disperso en zonas periurbanas, con sus  nocivos  efectos sobre la movilidad. En estos casos, frente a la restricción del planeamiento urbanístico a los límites del </w:t>
      </w:r>
      <w:r>
        <w:rPr>
          <w:spacing w:val="-3"/>
        </w:rPr>
        <w:t>municipio, </w:t>
      </w:r>
      <w:r>
        <w:rPr/>
        <w:t>el subregional permite diseñar actuaciones de creación de nuevas centralidades periféricas, situadas sobre los ejes de comunicación   más importantes, que articulen la dispersión </w:t>
      </w:r>
      <w:r>
        <w:rPr>
          <w:spacing w:val="31"/>
        </w:rPr>
        <w:t> </w:t>
      </w:r>
      <w:r>
        <w:rPr>
          <w:spacing w:val="-2"/>
        </w:rPr>
        <w:t>residencial.</w:t>
      </w:r>
    </w:p>
    <w:p>
      <w:pPr>
        <w:pStyle w:val="BodyText"/>
        <w:spacing w:before="2"/>
        <w:rPr>
          <w:sz w:val="23"/>
        </w:rPr>
      </w:pPr>
    </w:p>
    <w:p>
      <w:pPr>
        <w:pStyle w:val="BodyText"/>
        <w:spacing w:line="244" w:lineRule="auto"/>
        <w:ind w:left="395" w:right="410"/>
        <w:jc w:val="both"/>
      </w:pPr>
      <w:r>
        <w:rPr/>
        <w:t>Además de en las áreas urbanas de cierta extensión, el pla neamiento urbanístico </w:t>
      </w:r>
      <w:r>
        <w:rPr>
          <w:spacing w:val="-3"/>
        </w:rPr>
        <w:t>desintegrado </w:t>
      </w:r>
      <w:r>
        <w:rPr/>
        <w:t>con su </w:t>
      </w:r>
      <w:r>
        <w:rPr>
          <w:spacing w:val="-3"/>
        </w:rPr>
        <w:t>entorno </w:t>
      </w:r>
      <w:r>
        <w:rPr/>
        <w:t>se  </w:t>
      </w:r>
      <w:r>
        <w:rPr>
          <w:spacing w:val="-3"/>
        </w:rPr>
        <w:t>muestra  también  inadecuado  </w:t>
      </w:r>
      <w:r>
        <w:rPr/>
        <w:t>en  las  </w:t>
      </w:r>
      <w:r>
        <w:rPr>
          <w:spacing w:val="-3"/>
        </w:rPr>
        <w:t>zonas  más  </w:t>
      </w:r>
      <w:r>
        <w:rPr/>
        <w:t>dinámicas, que conocen mayor cantidad de conflictos por el uso del suelo, como son las litorales, afectadas por el desarrollo del turismo de masas y la invasió n residencial. En estos casos, la preservación de teselas seminaturales y el planeamiento conjunto de los atractivos </w:t>
      </w:r>
      <w:r>
        <w:rPr>
          <w:spacing w:val="-4"/>
        </w:rPr>
        <w:t>(</w:t>
      </w:r>
      <w:r>
        <w:rPr>
          <w:i/>
          <w:spacing w:val="-4"/>
        </w:rPr>
        <w:t>resorts</w:t>
      </w:r>
      <w:r>
        <w:rPr>
          <w:spacing w:val="-4"/>
        </w:rPr>
        <w:t>) </w:t>
      </w:r>
      <w:r>
        <w:rPr/>
        <w:t>más significativos debe determinarse en una escala supramunicipal. Finalmente, hay que recordar el importante papel que puede jugar el planeamiento subregional en ciertos ámbitos rurales de rango comarcal con problemas de desvertebración  y</w:t>
      </w:r>
      <w:r>
        <w:rPr>
          <w:spacing w:val="6"/>
        </w:rPr>
        <w:t> </w:t>
      </w:r>
      <w:r>
        <w:rPr/>
        <w:t>despoblamiento.</w:t>
      </w:r>
    </w:p>
    <w:p>
      <w:pPr>
        <w:pStyle w:val="BodyText"/>
        <w:spacing w:before="10"/>
        <w:rPr>
          <w:sz w:val="21"/>
        </w:rPr>
      </w:pPr>
    </w:p>
    <w:p>
      <w:pPr>
        <w:pStyle w:val="BodyText"/>
        <w:spacing w:line="249" w:lineRule="auto"/>
        <w:ind w:left="395" w:right="423"/>
        <w:jc w:val="both"/>
      </w:pPr>
      <w:r>
        <w:rPr/>
        <w:t>En los casos anteriores, hay que señalar el éxito que, progresivamente, va alcanzando la gestión territorial supramunicipal en áreas metropolitanas, aunque no en el resto de los ámbitos, en los que sólo se cuenta con experiencias positivas de  tipo  sectorial:  consorcios y mancomunidades de gestión del agua, residuos y, en menos casos,  transporte.</w:t>
      </w:r>
    </w:p>
    <w:p>
      <w:pPr>
        <w:pStyle w:val="BodyText"/>
        <w:spacing w:before="5"/>
        <w:rPr>
          <w:sz w:val="21"/>
        </w:rPr>
      </w:pPr>
    </w:p>
    <w:p>
      <w:pPr>
        <w:pStyle w:val="BodyText"/>
        <w:spacing w:line="247" w:lineRule="auto"/>
        <w:ind w:left="395" w:right="420"/>
        <w:jc w:val="both"/>
      </w:pPr>
      <w:r>
        <w:rPr/>
        <w:t>Un argumento muy utilizado es que </w:t>
      </w:r>
      <w:r>
        <w:rPr>
          <w:spacing w:val="-7"/>
        </w:rPr>
        <w:t>la </w:t>
      </w:r>
      <w:r>
        <w:rPr/>
        <w:t>tradicional rigidez del planeamiento urbanístico puede suponer un obstáculo para la captación inmediata de inversiones en un escenario   de competencia global, por lo que algunas áreas urbanas prefieren adoptar elementos del menos detallado</w:t>
      </w:r>
      <w:r>
        <w:rPr>
          <w:spacing w:val="53"/>
        </w:rPr>
        <w:t> </w:t>
      </w:r>
      <w:r>
        <w:rPr>
          <w:spacing w:val="-2"/>
        </w:rPr>
        <w:t>subregional.</w:t>
      </w:r>
    </w:p>
    <w:p>
      <w:pPr>
        <w:pStyle w:val="BodyText"/>
        <w:spacing w:before="8"/>
        <w:rPr>
          <w:sz w:val="21"/>
        </w:rPr>
      </w:pPr>
    </w:p>
    <w:p>
      <w:pPr>
        <w:pStyle w:val="BodyText"/>
        <w:spacing w:line="247" w:lineRule="auto"/>
        <w:ind w:left="395" w:right="423"/>
        <w:jc w:val="both"/>
      </w:pPr>
      <w:r>
        <w:rPr/>
        <w:t>De manera análoga, y no desconectada de los avances en cartografía automática, el planeamiento subregional y, en entidades pequeñas, regional, va tomando responsabilidades crecientes en la determinación de los usos del suelo, en una línea propugnada por la  propia ETE.</w:t>
      </w:r>
    </w:p>
    <w:p>
      <w:pPr>
        <w:pStyle w:val="BodyText"/>
        <w:spacing w:before="8"/>
        <w:rPr>
          <w:sz w:val="21"/>
        </w:rPr>
      </w:pPr>
    </w:p>
    <w:p>
      <w:pPr>
        <w:pStyle w:val="BodyText"/>
        <w:spacing w:line="244" w:lineRule="auto"/>
        <w:ind w:left="395" w:right="423"/>
        <w:jc w:val="both"/>
      </w:pPr>
      <w:r>
        <w:rPr/>
        <w:t>La alusión a los nuevos sistemas de representación y análisis  cartográfico  hace  pertinente señalar la importancia del desarrollo de Sistemas de Información Territorial,  por parte de las diferentes Administraciones responsables del planeamiento , para un correcto diseño y control del mismo. En este sentido, conviene señalar que la aplicación de</w:t>
      </w:r>
      <w:r>
        <w:rPr>
          <w:spacing w:val="46"/>
        </w:rPr>
        <w:t> </w:t>
      </w:r>
      <w:r>
        <w:rPr/>
        <w:t>los</w:t>
      </w:r>
      <w:r>
        <w:rPr>
          <w:spacing w:val="46"/>
        </w:rPr>
        <w:t> </w:t>
      </w:r>
      <w:r>
        <w:rPr/>
        <w:t>SIG</w:t>
      </w:r>
      <w:r>
        <w:rPr>
          <w:spacing w:val="46"/>
        </w:rPr>
        <w:t> </w:t>
      </w:r>
      <w:r>
        <w:rPr/>
        <w:t>al</w:t>
      </w:r>
      <w:r>
        <w:rPr>
          <w:spacing w:val="46"/>
        </w:rPr>
        <w:t> </w:t>
      </w:r>
      <w:r>
        <w:rPr/>
        <w:t>planeamiento</w:t>
      </w:r>
      <w:r>
        <w:rPr>
          <w:spacing w:val="46"/>
        </w:rPr>
        <w:t> </w:t>
      </w:r>
      <w:r>
        <w:rPr/>
        <w:t>sólo</w:t>
      </w:r>
      <w:r>
        <w:rPr>
          <w:spacing w:val="46"/>
        </w:rPr>
        <w:t> </w:t>
      </w:r>
      <w:r>
        <w:rPr/>
        <w:t>resulta</w:t>
      </w:r>
      <w:r>
        <w:rPr>
          <w:spacing w:val="46"/>
        </w:rPr>
        <w:t> </w:t>
      </w:r>
      <w:r>
        <w:rPr/>
        <w:t>completamente</w:t>
      </w:r>
      <w:r>
        <w:rPr>
          <w:spacing w:val="46"/>
        </w:rPr>
        <w:t> </w:t>
      </w:r>
      <w:r>
        <w:rPr/>
        <w:t>eficaz</w:t>
      </w:r>
      <w:r>
        <w:rPr>
          <w:spacing w:val="46"/>
        </w:rPr>
        <w:t> </w:t>
      </w:r>
      <w:r>
        <w:rPr/>
        <w:t>cuando</w:t>
      </w:r>
      <w:r>
        <w:rPr>
          <w:spacing w:val="45"/>
        </w:rPr>
        <w:t> </w:t>
      </w:r>
      <w:r>
        <w:rPr/>
        <w:t>se</w:t>
      </w:r>
      <w:r>
        <w:rPr>
          <w:spacing w:val="46"/>
        </w:rPr>
        <w:t> </w:t>
      </w:r>
      <w:r>
        <w:rPr/>
        <w:t>verifica</w:t>
      </w:r>
      <w:r>
        <w:rPr>
          <w:spacing w:val="46"/>
        </w:rPr>
        <w:t> </w:t>
      </w:r>
      <w:r>
        <w:rPr/>
        <w:t>en</w:t>
      </w:r>
    </w:p>
    <w:p>
      <w:pPr>
        <w:spacing w:after="0" w:line="244" w:lineRule="auto"/>
        <w:jc w:val="both"/>
        <w:sectPr>
          <w:pgSz w:w="12240" w:h="15840"/>
          <w:pgMar w:top="1280" w:bottom="280" w:left="1720" w:right="1720"/>
        </w:sectPr>
      </w:pPr>
    </w:p>
    <w:p>
      <w:pPr>
        <w:pStyle w:val="BodyText"/>
        <w:spacing w:line="244" w:lineRule="auto" w:before="59"/>
        <w:ind w:left="395" w:right="421"/>
        <w:jc w:val="both"/>
      </w:pPr>
      <w:r>
        <w:rPr/>
        <w:t>todas las fases de su proceso de redacción y ejecución. Desafortunadamente, el desconocimiento que todavía se tiene de la herramienta hace que este empleo sea aún fragmentario. Idéntico desconocimiento, medido en escasez de profesionales avezados, dificulta la necesaria incorporación de esta tecnología a la gestión local en municipios pequeños y medianos.</w:t>
      </w:r>
    </w:p>
    <w:p>
      <w:pPr>
        <w:pStyle w:val="BodyText"/>
        <w:spacing w:before="2"/>
        <w:rPr>
          <w:sz w:val="23"/>
        </w:rPr>
      </w:pPr>
    </w:p>
    <w:p>
      <w:pPr>
        <w:pStyle w:val="BodyText"/>
        <w:spacing w:line="244" w:lineRule="auto"/>
        <w:ind w:left="395" w:right="423"/>
        <w:jc w:val="both"/>
      </w:pPr>
      <w:r>
        <w:rPr/>
        <w:t>Desde el punto de vista estrictamente técnico, la operatividad de los SIG en el planeamiento requiere la incorporación de ciertas capas que, pese a su importancia, no suelen estar digitalizadas y/o accesibles a los profesionale s y estudiosos, como, por ejemplo, el registro catastral. De cara al control de  la  ejecución  del  planeamiento,  resulta también imprescindible la continua puesta al día de las coberturas y bases de   datos asociadas, para lo que deben dotarse los recursos humanos </w:t>
      </w:r>
      <w:r>
        <w:rPr>
          <w:spacing w:val="39"/>
        </w:rPr>
        <w:t> </w:t>
      </w:r>
      <w:r>
        <w:rPr/>
        <w:t>necesarios.</w:t>
      </w:r>
    </w:p>
    <w:p>
      <w:pPr>
        <w:pStyle w:val="BodyText"/>
        <w:spacing w:before="2"/>
        <w:rPr>
          <w:sz w:val="23"/>
        </w:rPr>
      </w:pPr>
    </w:p>
    <w:p>
      <w:pPr>
        <w:pStyle w:val="BodyText"/>
        <w:spacing w:line="244" w:lineRule="auto"/>
        <w:ind w:left="395" w:right="413"/>
        <w:jc w:val="both"/>
      </w:pPr>
      <w:r>
        <w:rPr/>
        <w:t>La profundización en el contenido ordenador del planeamiento subregional  ha  dado lugar, empero, a la ralentización de su propio proceso de redacción y aprobación, que se comprueba en casos como Andalucía, Baleares, Cataluña o el País Vasco (Urkidi, 2002; Vega, 2002). A ello ha contribuido la asunción como función principal, por parte </w:t>
      </w:r>
      <w:r>
        <w:rPr>
          <w:spacing w:val="-2"/>
        </w:rPr>
        <w:t>del </w:t>
      </w:r>
      <w:r>
        <w:rPr/>
        <w:t>planeamiento subregional, del control de la actuación urbanística municipal – minusvalorando su rol en el desarrollo del territorio-, lo que ha  dado  lugar  al  surgimiento y perpetuación de conflictos tanto con las Administraciones locales como   con grupos de presión ligados a los sectores productivos, con los que urge implementar instrumentos de consenso o mejorar los existentes (Vega, 2002). Como resultado, </w:t>
      </w:r>
      <w:r>
        <w:rPr>
          <w:spacing w:val="2"/>
        </w:rPr>
        <w:t>existe </w:t>
      </w:r>
      <w:r>
        <w:rPr/>
        <w:t>un desajuste amplio – tanto en términos temporales como en vigor de la actuación- entre  el desarrollo y aplicación de los instrumentos de ordenación del  territorio  y  las  dinámicas territoriales</w:t>
      </w:r>
      <w:r>
        <w:rPr>
          <w:spacing w:val="50"/>
        </w:rPr>
        <w:t> </w:t>
      </w:r>
      <w:r>
        <w:rPr/>
        <w:t>reales.</w:t>
      </w:r>
    </w:p>
    <w:p>
      <w:pPr>
        <w:pStyle w:val="BodyText"/>
        <w:spacing w:before="2"/>
        <w:rPr>
          <w:sz w:val="23"/>
        </w:rPr>
      </w:pPr>
    </w:p>
    <w:p>
      <w:pPr>
        <w:pStyle w:val="BodyText"/>
        <w:spacing w:line="242" w:lineRule="auto"/>
        <w:ind w:left="395" w:right="423"/>
        <w:jc w:val="both"/>
      </w:pPr>
      <w:r>
        <w:rPr/>
        <w:t>No puede obviarse, en no pocos casos, la concur </w:t>
      </w:r>
      <w:r>
        <w:rPr>
          <w:spacing w:val="-3"/>
        </w:rPr>
        <w:t>rencia </w:t>
      </w:r>
      <w:r>
        <w:rPr/>
        <w:t>de una </w:t>
      </w:r>
      <w:r>
        <w:rPr>
          <w:spacing w:val="-3"/>
        </w:rPr>
        <w:t>falta </w:t>
      </w:r>
      <w:r>
        <w:rPr/>
        <w:t>de </w:t>
      </w:r>
      <w:r>
        <w:rPr>
          <w:spacing w:val="-3"/>
        </w:rPr>
        <w:t>voluntad política  </w:t>
      </w:r>
      <w:r>
        <w:rPr/>
        <w:t>por </w:t>
      </w:r>
      <w:r>
        <w:rPr>
          <w:spacing w:val="-3"/>
        </w:rPr>
        <w:t>parte  </w:t>
      </w:r>
      <w:r>
        <w:rPr/>
        <w:t>de la autoridad de </w:t>
      </w:r>
      <w:r>
        <w:rPr>
          <w:spacing w:val="-3"/>
        </w:rPr>
        <w:t>ordenación  </w:t>
      </w:r>
      <w:r>
        <w:rPr/>
        <w:t>del territorio </w:t>
      </w:r>
      <w:r>
        <w:rPr>
          <w:spacing w:val="-3"/>
        </w:rPr>
        <w:t>para  </w:t>
      </w:r>
      <w:r>
        <w:rPr/>
        <w:t>imponer una </w:t>
      </w:r>
      <w:r>
        <w:rPr>
          <w:spacing w:val="-3"/>
        </w:rPr>
        <w:t>visión  </w:t>
      </w:r>
      <w:r>
        <w:rPr/>
        <w:t>integral  del mismo sobre las parceladas de las Administraciones locales, falta de voluntad relacionada, a veces, con la existencia de virreinatos políticos en dicho nivel  </w:t>
      </w:r>
      <w:r>
        <w:rPr>
          <w:spacing w:val="15"/>
        </w:rPr>
        <w:t> </w:t>
      </w:r>
      <w:r>
        <w:rPr/>
        <w:t>municipal.</w:t>
      </w:r>
    </w:p>
    <w:p>
      <w:pPr>
        <w:pStyle w:val="BodyText"/>
        <w:spacing w:before="5"/>
        <w:rPr>
          <w:sz w:val="23"/>
        </w:rPr>
      </w:pPr>
    </w:p>
    <w:p>
      <w:pPr>
        <w:pStyle w:val="BodyText"/>
        <w:spacing w:line="244" w:lineRule="auto"/>
        <w:ind w:left="395" w:right="433"/>
        <w:jc w:val="both"/>
      </w:pPr>
      <w:r>
        <w:rPr/>
        <w:t>En cuanto al frecuente incumplimiento del papel del planeamiento subregional de su función como instrumento de desarrollo del territorio, debe ser relacionado no tanto con una incorrecta confección de las propuestas como con la falta de contenidos relativos a plazos de realización y financiación pública de las actuaciones contempladas, cuya ausencia en los planes supone una carencia de gran importancia, inexcusable desde el punto de vista metodológico.</w:t>
      </w:r>
    </w:p>
    <w:p>
      <w:pPr>
        <w:pStyle w:val="BodyText"/>
        <w:spacing w:before="2"/>
        <w:rPr>
          <w:sz w:val="23"/>
        </w:rPr>
      </w:pPr>
    </w:p>
    <w:p>
      <w:pPr>
        <w:pStyle w:val="BodyText"/>
        <w:spacing w:line="247" w:lineRule="auto"/>
        <w:ind w:left="395" w:right="406"/>
        <w:jc w:val="both"/>
      </w:pPr>
      <w:r>
        <w:rPr/>
        <w:t>La estrategia política adoptada por algunas Administraciones refleja la mayor  interrelación de contenidos entre los instrumentos de planeamiento territorial y urbanístico. Su plasmación jurídica se verifica en los procesos de desarrollo legislativo territorial registrados en España a partir de la Sentencia 61/97  del  Tribunal  Constitucional acerca de la Reforma de la Ley estatal del Suelo de 1992. Efectivamente, algunas comunidades autónomas, ante la necesidad de desarrollar legislación propia de ordenación del territorio y de planeamiento urbanístico, han optado por aprobar textos jurídicos que aborden ambas cuestiones simultáneamente, como es el caso de Extremadura. En otros casos, como el de Madrid, la existencia de legislación propia     hace que la línea seguida </w:t>
      </w:r>
      <w:r>
        <w:rPr>
          <w:spacing w:val="-13"/>
        </w:rPr>
        <w:t>esté </w:t>
      </w:r>
      <w:r>
        <w:rPr>
          <w:spacing w:val="-3"/>
        </w:rPr>
        <w:t>siendo </w:t>
      </w:r>
      <w:r>
        <w:rPr/>
        <w:t>la de </w:t>
      </w:r>
      <w:r>
        <w:rPr>
          <w:spacing w:val="-3"/>
        </w:rPr>
        <w:t>unificar ambas  temáticas  </w:t>
      </w:r>
      <w:r>
        <w:rPr/>
        <w:t>en  un  </w:t>
      </w:r>
      <w:r>
        <w:rPr>
          <w:spacing w:val="-3"/>
        </w:rPr>
        <w:t>solo  texto  legal.   Todo   ello   contrasta   </w:t>
      </w:r>
      <w:r>
        <w:rPr/>
        <w:t>con   la   </w:t>
      </w:r>
      <w:r>
        <w:rPr>
          <w:spacing w:val="-3"/>
        </w:rPr>
        <w:t>tendencia   </w:t>
      </w:r>
      <w:r>
        <w:rPr/>
        <w:t>que   </w:t>
      </w:r>
      <w:r>
        <w:rPr>
          <w:spacing w:val="-3"/>
        </w:rPr>
        <w:t>inicialmente   habían   seguido  </w:t>
      </w:r>
      <w:r>
        <w:rPr>
          <w:spacing w:val="46"/>
        </w:rPr>
        <w:t> </w:t>
      </w:r>
      <w:r>
        <w:rPr>
          <w:spacing w:val="-3"/>
        </w:rPr>
        <w:t>las</w:t>
      </w:r>
    </w:p>
    <w:p>
      <w:pPr>
        <w:spacing w:after="0" w:line="247" w:lineRule="auto"/>
        <w:jc w:val="both"/>
        <w:sectPr>
          <w:pgSz w:w="12240" w:h="15840"/>
          <w:pgMar w:top="1280" w:bottom="280" w:left="1720" w:right="1720"/>
        </w:sectPr>
      </w:pPr>
    </w:p>
    <w:p>
      <w:pPr>
        <w:pStyle w:val="BodyText"/>
        <w:spacing w:line="256" w:lineRule="auto" w:before="59"/>
        <w:ind w:left="395" w:right="424"/>
        <w:jc w:val="both"/>
      </w:pPr>
      <w:r>
        <w:rPr/>
        <w:t>Administraciones autonómicas de desarrollar legislaciones separadas para ambas cuestiones.</w:t>
      </w:r>
    </w:p>
    <w:p>
      <w:pPr>
        <w:pStyle w:val="BodyText"/>
        <w:spacing w:before="10"/>
        <w:rPr>
          <w:sz w:val="20"/>
        </w:rPr>
      </w:pPr>
    </w:p>
    <w:p>
      <w:pPr>
        <w:pStyle w:val="BodyText"/>
        <w:spacing w:line="244" w:lineRule="auto"/>
        <w:ind w:left="395" w:right="409"/>
        <w:jc w:val="both"/>
      </w:pPr>
      <w:r>
        <w:rPr/>
        <w:t>Un caso particular a resaltar es el de la Comunidad Valenciana. Su Ley 6/94 Reguladora de la Actividad Urbanística establece un sistema que difumina las relaciones jerárquicas entre los distintos niveles de planeamiento, pues ya no son sólo las figuras de nivel jerárquico superior las que determinan las de inferior, sino también en sentido inverso,  con lo que, en términos reales, desaparece la jerarquía entre planes.     </w:t>
      </w:r>
      <w:r>
        <w:rPr>
          <w:spacing w:val="43"/>
        </w:rPr>
        <w:t> </w:t>
      </w:r>
      <w:r>
        <w:rPr/>
        <w:t>Es discutible que a</w:t>
      </w:r>
    </w:p>
    <w:p>
      <w:pPr>
        <w:pStyle w:val="BodyText"/>
        <w:spacing w:line="225" w:lineRule="auto" w:before="24"/>
        <w:ind w:left="395" w:right="452"/>
        <w:jc w:val="both"/>
      </w:pPr>
      <w:r>
        <w:rPr/>
        <w:t>esto pueda llamársele planeamiento, por la falta de continuidad temporal que es insoslayable en éste</w:t>
      </w:r>
      <w:r>
        <w:rPr>
          <w:position w:val="9"/>
          <w:sz w:val="15"/>
        </w:rPr>
        <w:t>3</w:t>
      </w:r>
      <w:r>
        <w:rPr/>
        <w:t>. Autores como Rullán (1999 y 2003, 164),  Roch  (2001)  o,  en menor medida, Parejo (1997) se muestran críticos con este tipo de desregulaciones urbanísticas </w:t>
      </w:r>
      <w:r>
        <w:rPr>
          <w:position w:val="9"/>
          <w:sz w:val="15"/>
        </w:rPr>
        <w:t>4</w:t>
      </w:r>
      <w:r>
        <w:rPr/>
        <w:t>.</w:t>
      </w:r>
    </w:p>
    <w:p>
      <w:pPr>
        <w:pStyle w:val="BodyText"/>
        <w:spacing w:before="10"/>
        <w:rPr>
          <w:sz w:val="23"/>
        </w:rPr>
      </w:pPr>
    </w:p>
    <w:p>
      <w:pPr>
        <w:pStyle w:val="BodyText"/>
        <w:spacing w:line="244" w:lineRule="auto"/>
        <w:ind w:left="395" w:right="403"/>
        <w:jc w:val="both"/>
      </w:pPr>
      <w:r>
        <w:rPr/>
        <w:t>Hay que señalar, en otro orden de cosas, que la articulación regional del Estado español, unida a la falta de competencias en materia de ordenación  por  parte  de  la  Administración central, da lugar a unos planeamiento y gestión desconectados de realidades territoriales vecinas y pertenecientes al mismo ámbito estatal, evidenciados     en </w:t>
      </w:r>
      <w:r>
        <w:rPr>
          <w:spacing w:val="3"/>
        </w:rPr>
        <w:t>casos como </w:t>
      </w:r>
      <w:r>
        <w:rPr/>
        <w:t>el del Parque Nacional de Picos de Europa. Ello podría genera un efecto- </w:t>
      </w:r>
      <w:r>
        <w:rPr>
          <w:spacing w:val="-3"/>
        </w:rPr>
        <w:t>frontera </w:t>
      </w:r>
      <w:r>
        <w:rPr/>
        <w:t>que </w:t>
      </w:r>
      <w:r>
        <w:rPr>
          <w:spacing w:val="-3"/>
        </w:rPr>
        <w:t>contrasta </w:t>
      </w:r>
      <w:r>
        <w:rPr/>
        <w:t>con la </w:t>
      </w:r>
      <w:r>
        <w:rPr>
          <w:spacing w:val="-3"/>
        </w:rPr>
        <w:t>función propia </w:t>
      </w:r>
      <w:r>
        <w:rPr/>
        <w:t>de la </w:t>
      </w:r>
      <w:r>
        <w:rPr>
          <w:spacing w:val="-3"/>
        </w:rPr>
        <w:t>Ordenación </w:t>
      </w:r>
      <w:r>
        <w:rPr/>
        <w:t>del </w:t>
      </w:r>
      <w:r>
        <w:rPr>
          <w:spacing w:val="-3"/>
        </w:rPr>
        <w:t>Territorio </w:t>
      </w:r>
      <w:r>
        <w:rPr/>
        <w:t>y con </w:t>
      </w:r>
      <w:r>
        <w:rPr>
          <w:spacing w:val="-3"/>
        </w:rPr>
        <w:t>las </w:t>
      </w:r>
      <w:r>
        <w:rPr/>
        <w:t>políticas que, a escala europea, se fomentan de cooperación  </w:t>
      </w:r>
      <w:r>
        <w:rPr>
          <w:spacing w:val="22"/>
        </w:rPr>
        <w:t> </w:t>
      </w:r>
      <w:r>
        <w:rPr/>
        <w:t>transnacional.</w:t>
      </w:r>
    </w:p>
    <w:p>
      <w:pPr>
        <w:pStyle w:val="BodyText"/>
        <w:spacing w:before="2"/>
        <w:rPr>
          <w:sz w:val="23"/>
        </w:rPr>
      </w:pPr>
    </w:p>
    <w:p>
      <w:pPr>
        <w:pStyle w:val="BodyText"/>
        <w:spacing w:line="242" w:lineRule="auto"/>
        <w:ind w:left="395" w:right="410"/>
        <w:jc w:val="both"/>
      </w:pPr>
      <w:r>
        <w:rPr/>
        <w:t>Razones similares justifican la creciente ósmosis entre planeamiento estratégico y urbanístico, el cual va adoptando soluciones progresivamente más abiertas o indicativas, en aras de una mayor</w:t>
      </w:r>
      <w:r>
        <w:rPr>
          <w:spacing w:val="28"/>
        </w:rPr>
        <w:t> </w:t>
      </w:r>
      <w:r>
        <w:rPr/>
        <w:t>flexibilidad.</w:t>
      </w:r>
    </w:p>
    <w:p>
      <w:pPr>
        <w:pStyle w:val="BodyText"/>
        <w:spacing w:before="1"/>
      </w:pPr>
    </w:p>
    <w:p>
      <w:pPr>
        <w:pStyle w:val="BodyText"/>
        <w:spacing w:line="244" w:lineRule="auto"/>
        <w:ind w:left="395" w:right="403"/>
        <w:jc w:val="both"/>
      </w:pPr>
      <w:r>
        <w:rPr/>
        <w:t>Dentro de los diversos niveles espaciales cuya ordenación puede acome ter el planeamiento –regional, subregional y </w:t>
      </w:r>
      <w:r>
        <w:rPr>
          <w:spacing w:val="-8"/>
        </w:rPr>
        <w:t>local- </w:t>
      </w:r>
      <w:r>
        <w:rPr/>
        <w:t>una de las características diferenciales del primero de ellos es la conveniencia de adoptar un enfoque estratégico, en el sentido de integrador (Troitiño, 1998, 201), especialmente a la hora de formular </w:t>
      </w:r>
      <w:r>
        <w:rPr>
          <w:spacing w:val="10"/>
        </w:rPr>
        <w:t>el  </w:t>
      </w:r>
      <w:r>
        <w:rPr/>
        <w:t>modelo  territorial, que debe ser concebido, también, en términos de estrategia de desarrollo que,  en función del papel de la región en su entorno, rentabilice sus recursos  </w:t>
      </w:r>
      <w:r>
        <w:rPr>
          <w:spacing w:val="16"/>
        </w:rPr>
        <w:t> </w:t>
      </w:r>
      <w:r>
        <w:rPr/>
        <w:t>propios.</w:t>
      </w:r>
    </w:p>
    <w:p>
      <w:pPr>
        <w:pStyle w:val="BodyText"/>
        <w:spacing w:before="2"/>
        <w:rPr>
          <w:sz w:val="23"/>
        </w:rPr>
      </w:pPr>
    </w:p>
    <w:p>
      <w:pPr>
        <w:pStyle w:val="BodyText"/>
        <w:spacing w:line="244" w:lineRule="auto"/>
        <w:ind w:left="395" w:right="412"/>
        <w:jc w:val="both"/>
      </w:pPr>
      <w:r>
        <w:rPr/>
        <w:t>Si bien esto resulta obvio en ámbitos supranacionales </w:t>
      </w:r>
      <w:r>
        <w:rPr>
          <w:spacing w:val="-6"/>
        </w:rPr>
        <w:t>(</w:t>
      </w:r>
      <w:r>
        <w:rPr>
          <w:i/>
          <w:spacing w:val="-6"/>
        </w:rPr>
        <w:t>ETE</w:t>
      </w:r>
      <w:r>
        <w:rPr>
          <w:spacing w:val="-6"/>
        </w:rPr>
        <w:t>, </w:t>
      </w:r>
      <w:r>
        <w:rPr/>
        <w:t>1999),  o  </w:t>
      </w:r>
      <w:r>
        <w:rPr>
          <w:spacing w:val="-4"/>
        </w:rPr>
        <w:t>regionales  </w:t>
      </w:r>
      <w:r>
        <w:rPr/>
        <w:t>de tamaño mediano o grande, como es el caso de Andalucía (</w:t>
      </w:r>
      <w:r>
        <w:rPr>
          <w:i/>
        </w:rPr>
        <w:t>POTA</w:t>
      </w:r>
      <w:r>
        <w:rPr/>
        <w:t>), no lo es </w:t>
      </w:r>
      <w:r>
        <w:rPr>
          <w:spacing w:val="-3"/>
        </w:rPr>
        <w:t>del todo </w:t>
      </w:r>
      <w:r>
        <w:rPr/>
        <w:t>en </w:t>
      </w:r>
      <w:r>
        <w:rPr>
          <w:spacing w:val="-4"/>
        </w:rPr>
        <w:t>el </w:t>
      </w:r>
      <w:r>
        <w:rPr/>
        <w:t>caso de las pequeñas, en las que el propio planeamiento regional puede adoptar niveles amplios de concisión, sin necesidad de esperar su despliegue en el nivel subregional.  Es  el caso de la Comunidad de Madrid, plasmado en su </w:t>
      </w:r>
      <w:r>
        <w:rPr>
          <w:i/>
        </w:rPr>
        <w:t>Plan Regional de Estrategia </w:t>
      </w:r>
      <w:r>
        <w:rPr>
          <w:i/>
        </w:rPr>
        <w:t>Territorial</w:t>
      </w:r>
      <w:r>
        <w:rPr/>
        <w:t>.</w:t>
      </w:r>
    </w:p>
    <w:p>
      <w:pPr>
        <w:pStyle w:val="BodyText"/>
        <w:spacing w:before="2"/>
        <w:rPr>
          <w:sz w:val="23"/>
        </w:rPr>
      </w:pPr>
    </w:p>
    <w:p>
      <w:pPr>
        <w:pStyle w:val="BodyText"/>
        <w:spacing w:line="244" w:lineRule="auto"/>
        <w:ind w:left="395" w:right="411"/>
        <w:jc w:val="both"/>
      </w:pPr>
      <w:r>
        <w:rPr/>
        <w:t>En un plano estrictamente metodológico, uno de los elementos del planeamiento estratégico que cada vez cuenta con más aceptación se refiere a la </w:t>
      </w:r>
      <w:r>
        <w:rPr>
          <w:spacing w:val="-4"/>
        </w:rPr>
        <w:t>estructura  </w:t>
      </w:r>
      <w:r>
        <w:rPr/>
        <w:t>de la fase    de análisis en el proceso de redacción propiamente dicha de los planes. Así, si tradicionalmente dicho análisis había consistido en una descripción lo más  completa posible de la realidad territorial, cada vez de opta más por incluir en él sólo los aspectos considerados  más  relevantes  de  ella,  a  la  manera  de  los  aspectos  críticos  </w:t>
      </w:r>
      <w:r>
        <w:rPr>
          <w:spacing w:val="3"/>
        </w:rPr>
        <w:t>–y </w:t>
      </w:r>
      <w:r>
        <w:rPr>
          <w:spacing w:val="21"/>
        </w:rPr>
        <w:t> </w:t>
      </w:r>
      <w:r>
        <w:rPr/>
        <w:t>líneas</w:t>
      </w:r>
    </w:p>
    <w:p>
      <w:pPr>
        <w:pStyle w:val="BodyText"/>
        <w:rPr>
          <w:sz w:val="20"/>
        </w:rPr>
      </w:pPr>
    </w:p>
    <w:p>
      <w:pPr>
        <w:pStyle w:val="BodyText"/>
        <w:spacing w:before="7"/>
        <w:rPr>
          <w:sz w:val="21"/>
        </w:rPr>
      </w:pPr>
      <w:r>
        <w:rPr/>
        <w:pict>
          <v:line style="position:absolute;mso-position-horizontal-relative:page;mso-position-vertical-relative:paragraph;z-index:1384;mso-wrap-distance-left:0;mso-wrap-distance-right:0" from="105.75pt,14.752949pt" to="240.75pt,14.752949pt" stroked="true" strokeweight=".75pt" strokecolor="#000000">
            <w10:wrap type="topAndBottom"/>
          </v:line>
        </w:pict>
      </w:r>
    </w:p>
    <w:p>
      <w:pPr>
        <w:spacing w:line="242" w:lineRule="auto" w:before="59"/>
        <w:ind w:left="395" w:right="771" w:firstLine="675"/>
        <w:jc w:val="left"/>
        <w:rPr>
          <w:sz w:val="18"/>
        </w:rPr>
      </w:pPr>
      <w:r>
        <w:rPr>
          <w:position w:val="7"/>
          <w:sz w:val="12"/>
        </w:rPr>
        <w:t>3 </w:t>
      </w:r>
      <w:r>
        <w:rPr>
          <w:i/>
          <w:sz w:val="18"/>
        </w:rPr>
        <w:t>“La planificación urbanística tradicional de la ciudad se ha basado en la capacidad  de  </w:t>
      </w:r>
      <w:r>
        <w:rPr>
          <w:i/>
          <w:sz w:val="18"/>
        </w:rPr>
        <w:t>previsión”  </w:t>
      </w:r>
      <w:r>
        <w:rPr>
          <w:sz w:val="18"/>
        </w:rPr>
        <w:t>(Rullán, 2003,</w:t>
      </w:r>
      <w:r>
        <w:rPr>
          <w:spacing w:val="20"/>
          <w:sz w:val="18"/>
        </w:rPr>
        <w:t> </w:t>
      </w:r>
      <w:r>
        <w:rPr>
          <w:sz w:val="18"/>
        </w:rPr>
        <w:t>166).</w:t>
      </w:r>
    </w:p>
    <w:p>
      <w:pPr>
        <w:spacing w:line="208" w:lineRule="exact" w:before="0"/>
        <w:ind w:left="1070" w:right="505" w:firstLine="0"/>
        <w:jc w:val="left"/>
        <w:rPr>
          <w:sz w:val="18"/>
        </w:rPr>
      </w:pPr>
      <w:r>
        <w:rPr>
          <w:position w:val="7"/>
          <w:sz w:val="12"/>
        </w:rPr>
        <w:t>4 </w:t>
      </w:r>
      <w:r>
        <w:rPr>
          <w:sz w:val="18"/>
        </w:rPr>
        <w:t>Aunque el Prof. Rullán identifica desregulación urbanística con neoconservadurismo, la rigidez</w:t>
      </w:r>
    </w:p>
    <w:p>
      <w:pPr>
        <w:spacing w:before="18"/>
        <w:ind w:left="395" w:right="771" w:firstLine="0"/>
        <w:jc w:val="left"/>
        <w:rPr>
          <w:sz w:val="18"/>
        </w:rPr>
      </w:pPr>
      <w:r>
        <w:rPr>
          <w:sz w:val="18"/>
        </w:rPr>
        <w:t>del planeamiento ha sido criticada también desde posiciones progresistas (Ayllón, 1995).</w:t>
      </w:r>
    </w:p>
    <w:p>
      <w:pPr>
        <w:spacing w:after="0"/>
        <w:jc w:val="left"/>
        <w:rPr>
          <w:sz w:val="18"/>
        </w:rPr>
        <w:sectPr>
          <w:pgSz w:w="12240" w:h="15840"/>
          <w:pgMar w:top="1280" w:bottom="280" w:left="1720" w:right="1720"/>
        </w:sectPr>
      </w:pPr>
    </w:p>
    <w:p>
      <w:pPr>
        <w:pStyle w:val="BodyText"/>
        <w:spacing w:line="256" w:lineRule="auto" w:before="59"/>
        <w:ind w:left="395" w:right="473"/>
        <w:jc w:val="both"/>
      </w:pPr>
      <w:r>
        <w:rPr/>
        <w:t>estratégicas a las que, posteriormente, dan lugar- </w:t>
      </w:r>
      <w:r>
        <w:rPr>
          <w:spacing w:val="-3"/>
        </w:rPr>
        <w:t>definidos </w:t>
      </w:r>
      <w:r>
        <w:rPr/>
        <w:t>en la </w:t>
      </w:r>
      <w:r>
        <w:rPr>
          <w:spacing w:val="-3"/>
        </w:rPr>
        <w:t>fase inicial </w:t>
      </w:r>
      <w:r>
        <w:rPr/>
        <w:t>de </w:t>
      </w:r>
      <w:r>
        <w:rPr>
          <w:spacing w:val="-3"/>
        </w:rPr>
        <w:t>la </w:t>
      </w:r>
      <w:r>
        <w:rPr/>
        <w:t>redacción de los planes</w:t>
      </w:r>
      <w:r>
        <w:rPr>
          <w:spacing w:val="21"/>
        </w:rPr>
        <w:t> </w:t>
      </w:r>
      <w:r>
        <w:rPr/>
        <w:t>estratégicos.</w:t>
      </w:r>
    </w:p>
    <w:p>
      <w:pPr>
        <w:pStyle w:val="BodyText"/>
        <w:spacing w:before="10"/>
        <w:rPr>
          <w:sz w:val="20"/>
        </w:rPr>
      </w:pPr>
    </w:p>
    <w:p>
      <w:pPr>
        <w:pStyle w:val="ListParagraph"/>
        <w:numPr>
          <w:ilvl w:val="2"/>
          <w:numId w:val="3"/>
        </w:numPr>
        <w:tabs>
          <w:tab w:pos="1625" w:val="left" w:leader="none"/>
        </w:tabs>
        <w:spacing w:line="240" w:lineRule="auto" w:before="0" w:after="0"/>
        <w:ind w:left="1625" w:right="0" w:hanging="555"/>
        <w:jc w:val="left"/>
        <w:rPr>
          <w:sz w:val="22"/>
        </w:rPr>
      </w:pPr>
      <w:r>
        <w:rPr>
          <w:sz w:val="22"/>
        </w:rPr>
        <w:t>Nueva </w:t>
      </w:r>
      <w:r>
        <w:rPr>
          <w:spacing w:val="-3"/>
          <w:sz w:val="22"/>
        </w:rPr>
        <w:t>estructuración </w:t>
      </w:r>
      <w:r>
        <w:rPr>
          <w:sz w:val="22"/>
        </w:rPr>
        <w:t>óptima del sistema </w:t>
      </w:r>
      <w:r>
        <w:rPr>
          <w:spacing w:val="29"/>
          <w:sz w:val="22"/>
        </w:rPr>
        <w:t> </w:t>
      </w:r>
      <w:r>
        <w:rPr>
          <w:spacing w:val="-2"/>
          <w:sz w:val="22"/>
        </w:rPr>
        <w:t>urbano</w:t>
      </w:r>
    </w:p>
    <w:p>
      <w:pPr>
        <w:pStyle w:val="BodyText"/>
        <w:spacing w:before="4"/>
      </w:pPr>
    </w:p>
    <w:p>
      <w:pPr>
        <w:pStyle w:val="BodyText"/>
        <w:spacing w:line="244" w:lineRule="auto"/>
        <w:ind w:left="395" w:right="411"/>
        <w:jc w:val="both"/>
      </w:pPr>
      <w:r>
        <w:rPr/>
        <w:t>Frente a la propuesta generalizada de estructuras rígidamente jerárquicas de la  red  urbana, tanto en tamaño como en rango, van siendo cada vez más valorados los modelos policéntricos o mallados, más adaptados a la realidad de muchos ámbitos y a  cumplimentar la función de prestación de servicios y dinamización  de  </w:t>
      </w:r>
      <w:r>
        <w:rPr>
          <w:spacing w:val="-2"/>
        </w:rPr>
        <w:t>las</w:t>
      </w:r>
      <w:r>
        <w:rPr>
          <w:spacing w:val="51"/>
        </w:rPr>
        <w:t> </w:t>
      </w:r>
      <w:r>
        <w:rPr/>
        <w:t>potencialidades endógenas de su entorno, así como más eficientes ambientalmente. La preocupación  pública  por  el  desarrollo  de  las  ciudades  medias   </w:t>
      </w:r>
      <w:r>
        <w:rPr>
          <w:spacing w:val="-3"/>
        </w:rPr>
        <w:t>–de  </w:t>
      </w:r>
      <w:r>
        <w:rPr/>
        <w:t>entre  100.000 </w:t>
      </w:r>
      <w:r>
        <w:rPr>
          <w:spacing w:val="19"/>
        </w:rPr>
        <w:t> </w:t>
      </w:r>
      <w:r>
        <w:rPr/>
        <w:t>y</w:t>
      </w:r>
    </w:p>
    <w:p>
      <w:pPr>
        <w:pStyle w:val="BodyText"/>
        <w:spacing w:line="249" w:lineRule="auto" w:before="12"/>
        <w:ind w:left="395" w:right="423"/>
        <w:jc w:val="both"/>
      </w:pPr>
      <w:r>
        <w:rPr/>
        <w:t>300.000 </w:t>
      </w:r>
      <w:r>
        <w:rPr>
          <w:spacing w:val="-5"/>
        </w:rPr>
        <w:t>hab- </w:t>
      </w:r>
      <w:r>
        <w:rPr/>
        <w:t>como contrapeso territorial a la succión demográfica ejercida por  </w:t>
      </w:r>
      <w:r>
        <w:rPr>
          <w:spacing w:val="-2"/>
        </w:rPr>
        <w:t>las </w:t>
      </w:r>
      <w:r>
        <w:rPr/>
        <w:t>grandes áreas urbanas no es un hecho exclusivamente reciente, aunque sí lo sea su revitalización (Precedo,</w:t>
      </w:r>
      <w:r>
        <w:rPr>
          <w:spacing w:val="24"/>
        </w:rPr>
        <w:t> </w:t>
      </w:r>
      <w:r>
        <w:rPr>
          <w:spacing w:val="-2"/>
        </w:rPr>
        <w:t>2003).</w:t>
      </w:r>
    </w:p>
    <w:p>
      <w:pPr>
        <w:pStyle w:val="BodyText"/>
        <w:spacing w:before="5"/>
        <w:rPr>
          <w:sz w:val="21"/>
        </w:rPr>
      </w:pPr>
    </w:p>
    <w:p>
      <w:pPr>
        <w:pStyle w:val="BodyText"/>
        <w:ind w:left="395" w:right="424"/>
        <w:jc w:val="both"/>
      </w:pPr>
      <w:r>
        <w:rPr/>
        <w:t>Para garantizar la viabilidad territorial de las ciudades medias es imprescindible su conexión física tanto a los sistemas de telecomunicaciones avanzados  como  a  los  centros metropolitanos de rango superior</w:t>
      </w:r>
      <w:r>
        <w:rPr>
          <w:position w:val="9"/>
          <w:sz w:val="15"/>
        </w:rPr>
        <w:t>5</w:t>
      </w:r>
      <w:r>
        <w:rPr/>
        <w:t>. Las aparentemente antitéticas diferenciación    y</w:t>
      </w:r>
      <w:r>
        <w:rPr>
          <w:spacing w:val="43"/>
        </w:rPr>
        <w:t> </w:t>
      </w:r>
      <w:r>
        <w:rPr/>
        <w:t>conformación</w:t>
      </w:r>
      <w:r>
        <w:rPr>
          <w:spacing w:val="43"/>
        </w:rPr>
        <w:t> </w:t>
      </w:r>
      <w:r>
        <w:rPr/>
        <w:t>de</w:t>
      </w:r>
      <w:r>
        <w:rPr>
          <w:spacing w:val="43"/>
        </w:rPr>
        <w:t> </w:t>
      </w:r>
      <w:r>
        <w:rPr/>
        <w:t>redes</w:t>
      </w:r>
      <w:r>
        <w:rPr>
          <w:spacing w:val="43"/>
        </w:rPr>
        <w:t> </w:t>
      </w:r>
      <w:r>
        <w:rPr/>
        <w:t>de</w:t>
      </w:r>
      <w:r>
        <w:rPr>
          <w:spacing w:val="43"/>
        </w:rPr>
        <w:t> </w:t>
      </w:r>
      <w:r>
        <w:rPr/>
        <w:t>cooperación</w:t>
      </w:r>
      <w:r>
        <w:rPr>
          <w:spacing w:val="43"/>
        </w:rPr>
        <w:t> </w:t>
      </w:r>
      <w:r>
        <w:rPr/>
        <w:t>activa</w:t>
      </w:r>
      <w:r>
        <w:rPr>
          <w:spacing w:val="43"/>
        </w:rPr>
        <w:t> </w:t>
      </w:r>
      <w:r>
        <w:rPr/>
        <w:t>de</w:t>
      </w:r>
      <w:r>
        <w:rPr>
          <w:spacing w:val="43"/>
        </w:rPr>
        <w:t> </w:t>
      </w:r>
      <w:r>
        <w:rPr/>
        <w:t>ciudades  </w:t>
      </w:r>
      <w:r>
        <w:rPr>
          <w:spacing w:val="13"/>
        </w:rPr>
        <w:t> </w:t>
      </w:r>
      <w:r>
        <w:rPr/>
        <w:t>medias,</w:t>
      </w:r>
      <w:r>
        <w:rPr>
          <w:spacing w:val="39"/>
        </w:rPr>
        <w:t> </w:t>
      </w:r>
      <w:r>
        <w:rPr/>
        <w:t>de</w:t>
      </w:r>
      <w:r>
        <w:rPr>
          <w:spacing w:val="39"/>
        </w:rPr>
        <w:t> </w:t>
      </w:r>
      <w:r>
        <w:rPr/>
        <w:t>las</w:t>
      </w:r>
      <w:r>
        <w:rPr>
          <w:spacing w:val="39"/>
        </w:rPr>
        <w:t> </w:t>
      </w:r>
      <w:r>
        <w:rPr/>
        <w:t>que</w:t>
      </w:r>
      <w:r>
        <w:rPr>
          <w:spacing w:val="39"/>
        </w:rPr>
        <w:t> </w:t>
      </w:r>
      <w:r>
        <w:rPr>
          <w:spacing w:val="-2"/>
        </w:rPr>
        <w:t>hay</w:t>
      </w:r>
    </w:p>
    <w:p>
      <w:pPr>
        <w:pStyle w:val="BodyText"/>
        <w:spacing w:line="256" w:lineRule="exact" w:before="2"/>
        <w:ind w:left="395" w:right="423"/>
        <w:jc w:val="both"/>
      </w:pPr>
      <w:r>
        <w:rPr/>
        <w:t>fértiles experiencias en Italia </w:t>
      </w:r>
      <w:r>
        <w:rPr>
          <w:position w:val="10"/>
          <w:sz w:val="15"/>
        </w:rPr>
        <w:t>6</w:t>
      </w:r>
      <w:r>
        <w:rPr/>
        <w:t>, se configuran como políticas de equilibrio territorial para el</w:t>
      </w:r>
      <w:r>
        <w:rPr>
          <w:spacing w:val="16"/>
        </w:rPr>
        <w:t> </w:t>
      </w:r>
      <w:r>
        <w:rPr>
          <w:spacing w:val="-3"/>
        </w:rPr>
        <w:t>futuro.</w:t>
      </w:r>
    </w:p>
    <w:p>
      <w:pPr>
        <w:pStyle w:val="BodyText"/>
      </w:pPr>
    </w:p>
    <w:p>
      <w:pPr>
        <w:pStyle w:val="ListParagraph"/>
        <w:numPr>
          <w:ilvl w:val="2"/>
          <w:numId w:val="3"/>
        </w:numPr>
        <w:tabs>
          <w:tab w:pos="1633" w:val="left" w:leader="none"/>
        </w:tabs>
        <w:spacing w:line="240" w:lineRule="auto" w:before="0" w:after="0"/>
        <w:ind w:left="1632" w:right="0" w:hanging="562"/>
        <w:jc w:val="left"/>
        <w:rPr>
          <w:sz w:val="22"/>
        </w:rPr>
      </w:pPr>
      <w:r>
        <w:rPr>
          <w:sz w:val="22"/>
        </w:rPr>
        <w:t>Aparición de nuevos </w:t>
      </w:r>
      <w:r>
        <w:rPr>
          <w:spacing w:val="12"/>
          <w:sz w:val="22"/>
        </w:rPr>
        <w:t> </w:t>
      </w:r>
      <w:r>
        <w:rPr>
          <w:spacing w:val="-2"/>
          <w:sz w:val="22"/>
        </w:rPr>
        <w:t>instrumentos</w:t>
      </w:r>
    </w:p>
    <w:p>
      <w:pPr>
        <w:pStyle w:val="BodyText"/>
        <w:spacing w:before="7"/>
        <w:rPr>
          <w:sz w:val="23"/>
        </w:rPr>
      </w:pPr>
    </w:p>
    <w:p>
      <w:pPr>
        <w:pStyle w:val="BodyText"/>
        <w:ind w:left="395" w:right="413"/>
        <w:jc w:val="both"/>
      </w:pPr>
      <w:r>
        <w:rPr/>
        <w:t>La pujanza del enfoque estratégico ha sido constante desde la Redacción del Plan de     </w:t>
      </w:r>
      <w:r>
        <w:rPr>
          <w:spacing w:val="3"/>
        </w:rPr>
        <w:t>San </w:t>
      </w:r>
      <w:r>
        <w:rPr/>
        <w:t>Francisco (1981). No puede dejar de citarse entre sus causas un elemento como el marco de competencia global entre no ya sólo las grandes metrópolis, sino incluso áreas urbanas de tamaño medio –en un nivel planetario, no </w:t>
      </w:r>
      <w:r>
        <w:rPr>
          <w:spacing w:val="-4"/>
        </w:rPr>
        <w:t>nacional-, </w:t>
      </w:r>
      <w:r>
        <w:rPr/>
        <w:t>por la  captación  de grandes inversiones, privadas o públicas, incluyendo las derivadas de la celebración de grandes eventos culturales y deportivos, todo ello en un marco de incertidumbre </w:t>
      </w:r>
      <w:r>
        <w:rPr>
          <w:spacing w:val="-2"/>
        </w:rPr>
        <w:t>acerca </w:t>
      </w:r>
      <w:r>
        <w:rPr>
          <w:spacing w:val="51"/>
        </w:rPr>
        <w:t> </w:t>
      </w:r>
      <w:r>
        <w:rPr/>
        <w:t>del devenir tecnológico, económico y geopolítico (Nogué, 1998,  </w:t>
      </w:r>
      <w:r>
        <w:rPr>
          <w:spacing w:val="6"/>
        </w:rPr>
        <w:t> </w:t>
      </w:r>
      <w:r>
        <w:rPr>
          <w:spacing w:val="-3"/>
        </w:rPr>
        <w:t>42-43)</w:t>
      </w:r>
      <w:r>
        <w:rPr>
          <w:spacing w:val="-3"/>
          <w:position w:val="9"/>
          <w:sz w:val="15"/>
        </w:rPr>
        <w:t>7</w:t>
      </w:r>
      <w:r>
        <w:rPr>
          <w:spacing w:val="-3"/>
        </w:rPr>
        <w:t>.</w:t>
      </w:r>
    </w:p>
    <w:p>
      <w:pPr>
        <w:pStyle w:val="BodyText"/>
        <w:spacing w:before="7"/>
        <w:rPr>
          <w:sz w:val="23"/>
        </w:rPr>
      </w:pPr>
    </w:p>
    <w:p>
      <w:pPr>
        <w:pStyle w:val="BodyText"/>
        <w:spacing w:line="249" w:lineRule="auto"/>
        <w:ind w:left="395" w:right="447"/>
        <w:jc w:val="both"/>
      </w:pPr>
      <w:r>
        <w:rPr/>
        <w:t>Efectivamente, una de las características distintivas del proceso de globalización es la mayor movilidad del capital -y con él de las empresas-, lo que acarrea una mayor competencia entre territorios para atraer dichas inversiones. En este contexto, resulta</w:t>
      </w:r>
    </w:p>
    <w:p>
      <w:pPr>
        <w:pStyle w:val="BodyText"/>
        <w:spacing w:before="9"/>
        <w:rPr>
          <w:sz w:val="13"/>
        </w:rPr>
      </w:pPr>
      <w:r>
        <w:rPr/>
        <w:pict>
          <v:line style="position:absolute;mso-position-horizontal-relative:page;mso-position-vertical-relative:paragraph;z-index:1408;mso-wrap-distance-left:0;mso-wrap-distance-right:0" from="105.75pt,10.25834pt" to="240.75pt,10.25834pt" stroked="true" strokeweight=".75pt" strokecolor="#000000">
            <w10:wrap type="topAndBottom"/>
          </v:line>
        </w:pict>
      </w:r>
    </w:p>
    <w:p>
      <w:pPr>
        <w:spacing w:line="261" w:lineRule="auto" w:before="59"/>
        <w:ind w:left="395" w:right="454" w:firstLine="675"/>
        <w:jc w:val="both"/>
        <w:rPr>
          <w:sz w:val="18"/>
        </w:rPr>
      </w:pPr>
      <w:r>
        <w:rPr>
          <w:position w:val="7"/>
          <w:sz w:val="12"/>
        </w:rPr>
        <w:t>5 </w:t>
      </w:r>
      <w:r>
        <w:rPr>
          <w:sz w:val="18"/>
        </w:rPr>
        <w:t>Sirvan estas opiniones, expresadas por el Prof. Vilagrasa en el  VI  Coloquio  de  Geografía  Urbana de la AGE (León, 2002), como homenaje a su  </w:t>
      </w:r>
      <w:r>
        <w:rPr>
          <w:spacing w:val="42"/>
          <w:sz w:val="18"/>
        </w:rPr>
        <w:t> </w:t>
      </w:r>
      <w:r>
        <w:rPr>
          <w:sz w:val="18"/>
        </w:rPr>
        <w:t>memoria.</w:t>
      </w:r>
    </w:p>
    <w:p>
      <w:pPr>
        <w:spacing w:line="178" w:lineRule="exact" w:before="0"/>
        <w:ind w:left="1070" w:right="771" w:firstLine="0"/>
        <w:jc w:val="left"/>
        <w:rPr>
          <w:sz w:val="18"/>
        </w:rPr>
      </w:pPr>
      <w:r>
        <w:rPr>
          <w:position w:val="7"/>
          <w:sz w:val="12"/>
        </w:rPr>
        <w:t>6 </w:t>
      </w:r>
      <w:r>
        <w:rPr>
          <w:sz w:val="18"/>
        </w:rPr>
        <w:t>Rete Urbana della Rappresentanze (RUR):  </w:t>
      </w:r>
      <w:hyperlink r:id="rId6">
        <w:r>
          <w:rPr>
            <w:color w:val="0000FF"/>
            <w:sz w:val="18"/>
            <w:u w:val="single" w:color="0000FF"/>
          </w:rPr>
          <w:t>www.rur.it</w:t>
        </w:r>
        <w:r>
          <w:rPr>
            <w:sz w:val="18"/>
          </w:rPr>
          <w:t>.</w:t>
        </w:r>
      </w:hyperlink>
    </w:p>
    <w:p>
      <w:pPr>
        <w:spacing w:line="254" w:lineRule="exact" w:before="0"/>
        <w:ind w:left="395" w:right="0" w:firstLine="675"/>
        <w:jc w:val="both"/>
        <w:rPr>
          <w:i/>
          <w:sz w:val="18"/>
        </w:rPr>
      </w:pPr>
      <w:r>
        <w:rPr>
          <w:position w:val="9"/>
          <w:sz w:val="15"/>
        </w:rPr>
        <w:t>7  </w:t>
      </w:r>
      <w:r>
        <w:rPr>
          <w:i/>
          <w:sz w:val="18"/>
        </w:rPr>
        <w:t>“La distancia es más relativa que nunca, lo que sitúa a los lugares,   </w:t>
      </w:r>
      <w:r>
        <w:rPr>
          <w:sz w:val="18"/>
        </w:rPr>
        <w:t>a priori</w:t>
      </w:r>
      <w:r>
        <w:rPr>
          <w:i/>
          <w:sz w:val="18"/>
        </w:rPr>
        <w:t>, en una similar</w:t>
      </w:r>
    </w:p>
    <w:p>
      <w:pPr>
        <w:spacing w:line="242" w:lineRule="auto" w:before="33"/>
        <w:ind w:left="395" w:right="438" w:firstLine="0"/>
        <w:jc w:val="both"/>
        <w:rPr>
          <w:i/>
          <w:sz w:val="18"/>
        </w:rPr>
      </w:pPr>
      <w:r>
        <w:rPr>
          <w:spacing w:val="2"/>
          <w:sz w:val="18"/>
        </w:rPr>
        <w:t>posición </w:t>
      </w:r>
      <w:r>
        <w:rPr>
          <w:sz w:val="18"/>
        </w:rPr>
        <w:t>de salida</w:t>
      </w:r>
      <w:r>
        <w:rPr>
          <w:i/>
          <w:sz w:val="18"/>
        </w:rPr>
        <w:t>. Cada vez más lugares pueden aspirar a convertirse en el destino de un a  planta  </w:t>
      </w:r>
      <w:r>
        <w:rPr>
          <w:i/>
          <w:sz w:val="18"/>
        </w:rPr>
        <w:t>industrial, de un centro comercial o, simplemente, de un turista. Más y más lugares se convierten, progresivamente,</w:t>
      </w:r>
      <w:r>
        <w:rPr>
          <w:i/>
          <w:spacing w:val="25"/>
          <w:sz w:val="18"/>
        </w:rPr>
        <w:t> </w:t>
      </w:r>
      <w:r>
        <w:rPr>
          <w:i/>
          <w:sz w:val="18"/>
        </w:rPr>
        <w:t>en</w:t>
      </w:r>
      <w:r>
        <w:rPr>
          <w:i/>
          <w:spacing w:val="24"/>
          <w:sz w:val="18"/>
        </w:rPr>
        <w:t> </w:t>
      </w:r>
      <w:r>
        <w:rPr>
          <w:i/>
          <w:sz w:val="18"/>
        </w:rPr>
        <w:t>potenciales</w:t>
      </w:r>
      <w:r>
        <w:rPr>
          <w:i/>
          <w:spacing w:val="25"/>
          <w:sz w:val="18"/>
        </w:rPr>
        <w:t> </w:t>
      </w:r>
      <w:r>
        <w:rPr>
          <w:i/>
          <w:sz w:val="18"/>
        </w:rPr>
        <w:t>candidatos</w:t>
      </w:r>
      <w:r>
        <w:rPr>
          <w:i/>
          <w:spacing w:val="24"/>
          <w:sz w:val="18"/>
        </w:rPr>
        <w:t> </w:t>
      </w:r>
      <w:r>
        <w:rPr>
          <w:i/>
          <w:sz w:val="18"/>
        </w:rPr>
        <w:t>a</w:t>
      </w:r>
      <w:r>
        <w:rPr>
          <w:i/>
          <w:spacing w:val="24"/>
          <w:sz w:val="18"/>
        </w:rPr>
        <w:t> </w:t>
      </w:r>
      <w:r>
        <w:rPr>
          <w:i/>
          <w:sz w:val="18"/>
        </w:rPr>
        <w:t>desarrollar</w:t>
      </w:r>
      <w:r>
        <w:rPr>
          <w:i/>
          <w:spacing w:val="25"/>
          <w:sz w:val="18"/>
        </w:rPr>
        <w:t> </w:t>
      </w:r>
      <w:r>
        <w:rPr>
          <w:i/>
          <w:sz w:val="18"/>
        </w:rPr>
        <w:t>muchas</w:t>
      </w:r>
      <w:r>
        <w:rPr>
          <w:i/>
          <w:spacing w:val="24"/>
          <w:sz w:val="18"/>
        </w:rPr>
        <w:t> </w:t>
      </w:r>
      <w:r>
        <w:rPr>
          <w:i/>
          <w:sz w:val="18"/>
        </w:rPr>
        <w:t>y</w:t>
      </w:r>
      <w:r>
        <w:rPr>
          <w:i/>
          <w:spacing w:val="24"/>
          <w:sz w:val="18"/>
        </w:rPr>
        <w:t> </w:t>
      </w:r>
      <w:r>
        <w:rPr>
          <w:i/>
          <w:sz w:val="18"/>
        </w:rPr>
        <w:t>variadas</w:t>
      </w:r>
      <w:r>
        <w:rPr>
          <w:i/>
          <w:spacing w:val="24"/>
          <w:sz w:val="18"/>
        </w:rPr>
        <w:t> </w:t>
      </w:r>
      <w:r>
        <w:rPr>
          <w:i/>
          <w:sz w:val="18"/>
        </w:rPr>
        <w:t>actividades.</w:t>
      </w:r>
    </w:p>
    <w:p>
      <w:pPr>
        <w:spacing w:line="252" w:lineRule="auto" w:before="16"/>
        <w:ind w:left="395" w:right="422" w:firstLine="675"/>
        <w:jc w:val="both"/>
        <w:rPr>
          <w:i/>
          <w:sz w:val="18"/>
        </w:rPr>
      </w:pPr>
      <w:r>
        <w:rPr>
          <w:i/>
          <w:sz w:val="18"/>
        </w:rPr>
        <w:t>Bajo unas condiciones de máxima flexibilidad general, la competencia se convierte en </w:t>
      </w:r>
      <w:r>
        <w:rPr>
          <w:i/>
          <w:sz w:val="18"/>
        </w:rPr>
        <w:t>extremadamente dura y, por tanto, el capital ha de prestar más atención que nunca a las ventajas del      lugar. Las pequeñas diferencias que puedan presentar dos lugares en lo referente a recursos, a infraestructuras, a mercado laboral, a paisaje, a patrimonio natural, se convierten ahora en </w:t>
      </w:r>
      <w:r>
        <w:rPr>
          <w:i/>
          <w:spacing w:val="2"/>
          <w:sz w:val="18"/>
        </w:rPr>
        <w:t>muy </w:t>
      </w:r>
      <w:r>
        <w:rPr>
          <w:i/>
          <w:sz w:val="18"/>
        </w:rPr>
        <w:t>significativas. Se trata de un proceso de revalorización de los lugares que, a su  vez,  genera  una  competencia entre ellos. De ahí la necesidad de singularizarse, de exhibir y resaltar todos  aquellos  elementos que diferencian un lugar respecto a los demás. ¿Cuál es, si no, el sentido y el objetivo último         de los planes estratégicos que se están elaborando actualmente en      </w:t>
      </w:r>
      <w:r>
        <w:rPr>
          <w:i/>
          <w:spacing w:val="36"/>
          <w:sz w:val="18"/>
        </w:rPr>
        <w:t> </w:t>
      </w:r>
      <w:r>
        <w:rPr>
          <w:i/>
          <w:sz w:val="18"/>
        </w:rPr>
        <w:t>tantas y tan diversas ciudades.”</w:t>
      </w:r>
    </w:p>
    <w:p>
      <w:pPr>
        <w:spacing w:after="0" w:line="252" w:lineRule="auto"/>
        <w:jc w:val="both"/>
        <w:rPr>
          <w:sz w:val="18"/>
        </w:rPr>
        <w:sectPr>
          <w:pgSz w:w="12240" w:h="15840"/>
          <w:pgMar w:top="1280" w:bottom="280" w:left="1720" w:right="1720"/>
        </w:sectPr>
      </w:pPr>
    </w:p>
    <w:p>
      <w:pPr>
        <w:pStyle w:val="BodyText"/>
        <w:spacing w:line="244" w:lineRule="auto" w:before="59"/>
        <w:ind w:left="395" w:right="422"/>
        <w:jc w:val="both"/>
      </w:pPr>
      <w:r>
        <w:rPr/>
        <w:t>necesario determinar las ventajas y desventajas comparativas  propias,  para posteriormente exhibir las primeras y enmendar las segundas. Todo ello en un marco de cambios </w:t>
      </w:r>
      <w:r>
        <w:rPr>
          <w:spacing w:val="3"/>
        </w:rPr>
        <w:t>–y </w:t>
      </w:r>
      <w:r>
        <w:rPr/>
        <w:t>consiguiente incertidumbre- tecnológicos, económicos y geopolíticos a los que hay que adecuar las funciones desarrolladas por cada territorio, y, más  concretamente, por cada ciudad, como líder del desarrollo económico de sus </w:t>
      </w:r>
      <w:r>
        <w:rPr>
          <w:spacing w:val="52"/>
        </w:rPr>
        <w:t> </w:t>
      </w:r>
      <w:r>
        <w:rPr/>
        <w:t>entornos.</w:t>
      </w:r>
    </w:p>
    <w:p>
      <w:pPr>
        <w:pStyle w:val="BodyText"/>
        <w:spacing w:before="2"/>
        <w:rPr>
          <w:sz w:val="23"/>
        </w:rPr>
      </w:pPr>
    </w:p>
    <w:p>
      <w:pPr>
        <w:pStyle w:val="BodyText"/>
        <w:spacing w:line="244" w:lineRule="auto"/>
        <w:ind w:left="395" w:right="421"/>
        <w:jc w:val="both"/>
      </w:pPr>
      <w:r>
        <w:rPr/>
        <w:t>El planeamiento estratégico se ofrece también como una herramienta adecuada para abordar la creciente  </w:t>
      </w:r>
      <w:r>
        <w:rPr>
          <w:spacing w:val="-4"/>
        </w:rPr>
        <w:t>complejidad  </w:t>
      </w:r>
      <w:r>
        <w:rPr/>
        <w:t>de los problemas urbanos de una manera flexible, y  para satisfacer la demanda de participación en la gestión territorial realizada por </w:t>
      </w:r>
      <w:r>
        <w:rPr>
          <w:spacing w:val="-2"/>
        </w:rPr>
        <w:t>los </w:t>
      </w:r>
      <w:r>
        <w:rPr/>
        <w:t>distintos agentes sociales, al fomentar el debate ciudadano abierto. En este aspecto en concreto, no obstante, </w:t>
      </w:r>
      <w:r>
        <w:rPr>
          <w:spacing w:val="-5"/>
        </w:rPr>
        <w:t>debe </w:t>
      </w:r>
      <w:r>
        <w:rPr/>
        <w:t>señalarse el carácter elitista de la mayor parte de los </w:t>
      </w:r>
      <w:r>
        <w:rPr>
          <w:spacing w:val="-2"/>
        </w:rPr>
        <w:t>planes </w:t>
      </w:r>
      <w:r>
        <w:rPr/>
        <w:t>estratégicos desarrollados en </w:t>
      </w:r>
      <w:r>
        <w:rPr>
          <w:spacing w:val="10"/>
        </w:rPr>
        <w:t> </w:t>
      </w:r>
      <w:r>
        <w:rPr/>
        <w:t>España.</w:t>
      </w:r>
    </w:p>
    <w:p>
      <w:pPr>
        <w:pStyle w:val="BodyText"/>
        <w:spacing w:before="2"/>
        <w:rPr>
          <w:sz w:val="23"/>
        </w:rPr>
      </w:pPr>
    </w:p>
    <w:p>
      <w:pPr>
        <w:pStyle w:val="BodyText"/>
        <w:spacing w:line="244" w:lineRule="auto"/>
        <w:ind w:left="395" w:right="440"/>
        <w:jc w:val="both"/>
      </w:pPr>
      <w:r>
        <w:rPr/>
        <w:t>Otra posible ventaja del planeamiento estratégico es la posibilidad de constituirse en referencia para ulteriores instrumentos de ordenación. Si bien tal posibilidad  es meramente facultativa, a causa del carácter no vinculante de los planes estratégicos, la participación protagonista en su desarrollo de representantes de las Administraciones públicas y de la oposición política facilita la consecución de sinergias con otros instrumentos de ordenación ya de carácter  normativo.</w:t>
      </w:r>
    </w:p>
    <w:p>
      <w:pPr>
        <w:pStyle w:val="BodyText"/>
        <w:spacing w:before="10"/>
        <w:rPr>
          <w:sz w:val="21"/>
        </w:rPr>
      </w:pPr>
    </w:p>
    <w:p>
      <w:pPr>
        <w:pStyle w:val="BodyText"/>
        <w:spacing w:line="244" w:lineRule="auto"/>
        <w:ind w:left="395" w:right="415"/>
        <w:jc w:val="both"/>
      </w:pPr>
      <w:r>
        <w:rPr/>
        <w:t>Rullán (2003, 164 y ss.) se muestra crítico con el planeamiento estratégico, que  contempla como una vertiente más del proceso desregulador neoliberal. Tal como se ha </w:t>
      </w:r>
      <w:r>
        <w:rPr>
          <w:spacing w:val="-3"/>
        </w:rPr>
        <w:t>dicho, </w:t>
      </w:r>
      <w:r>
        <w:rPr/>
        <w:t>la </w:t>
      </w:r>
      <w:r>
        <w:rPr>
          <w:spacing w:val="-3"/>
        </w:rPr>
        <w:t>metodología </w:t>
      </w:r>
      <w:r>
        <w:rPr/>
        <w:t>del Plan Estratégico no  es  completamente  democrática,  </w:t>
      </w:r>
      <w:r>
        <w:rPr>
          <w:spacing w:val="-2"/>
        </w:rPr>
        <w:t>por</w:t>
      </w:r>
      <w:r>
        <w:rPr>
          <w:spacing w:val="51"/>
        </w:rPr>
        <w:t> </w:t>
      </w:r>
      <w:r>
        <w:rPr/>
        <w:t>elitista, pero puede fomentar la participación social real en zonas donde la tradición de intervención del cuerpo social es escasa. Precedo (2003, 15 y ss.),  por  su  parte,  identifica planeamiento estratégico con competencia de grandes ciudades, contraponiéndolo a cooperación en red. Por ello, opina que no es un modelo de planeamiento apropiado para las ciudades medias. Otros problemas del planeamiento estratégico son el carácter clónico de </w:t>
      </w:r>
      <w:r>
        <w:rPr>
          <w:spacing w:val="-7"/>
        </w:rPr>
        <w:t>muchos </w:t>
      </w:r>
      <w:r>
        <w:rPr/>
        <w:t>planes, y su inoperatividad real una vez se han redactado. Estas cuestiones están íntimamente relacionadas con el </w:t>
      </w:r>
      <w:r>
        <w:rPr>
          <w:i/>
        </w:rPr>
        <w:t>efecto-moda </w:t>
      </w:r>
      <w:r>
        <w:rPr/>
        <w:t>que,  en bastantes casos, alienta a su </w:t>
      </w:r>
      <w:r>
        <w:rPr>
          <w:spacing w:val="14"/>
        </w:rPr>
        <w:t> </w:t>
      </w:r>
      <w:r>
        <w:rPr/>
        <w:t>realización.</w:t>
      </w:r>
    </w:p>
    <w:p>
      <w:pPr>
        <w:pStyle w:val="BodyText"/>
        <w:spacing w:before="2"/>
        <w:rPr>
          <w:sz w:val="23"/>
        </w:rPr>
      </w:pPr>
    </w:p>
    <w:p>
      <w:pPr>
        <w:pStyle w:val="BodyText"/>
        <w:spacing w:line="244" w:lineRule="auto"/>
        <w:ind w:left="395" w:right="422"/>
        <w:jc w:val="both"/>
      </w:pPr>
      <w:r>
        <w:rPr/>
        <w:t>Aunque la gestión territorial es una competencia local y estatal, debe </w:t>
      </w:r>
      <w:r>
        <w:rPr>
          <w:spacing w:val="-3"/>
        </w:rPr>
        <w:t>estimularse un </w:t>
      </w:r>
      <w:r>
        <w:rPr/>
        <w:t>intercambio de experiencias que facilite la definición de las soluciones más adecuadas.    El concepto de buena práctica, de origen anglosajón, y su difusión  se  ha  ido  convirtiendo en una herramienta muy exitosa en los últimos años, especialmente </w:t>
      </w:r>
      <w:r>
        <w:rPr>
          <w:spacing w:val="-3"/>
        </w:rPr>
        <w:t>para </w:t>
      </w:r>
      <w:r>
        <w:rPr/>
        <w:t>el abordaje de problemáticas relacionadas con el medio ambiente. Este proceso se ha verificado</w:t>
      </w:r>
      <w:r>
        <w:rPr>
          <w:spacing w:val="34"/>
        </w:rPr>
        <w:t> </w:t>
      </w:r>
      <w:r>
        <w:rPr/>
        <w:t>tanto</w:t>
      </w:r>
      <w:r>
        <w:rPr>
          <w:spacing w:val="34"/>
        </w:rPr>
        <w:t> </w:t>
      </w:r>
      <w:r>
        <w:rPr/>
        <w:t>en</w:t>
      </w:r>
      <w:r>
        <w:rPr>
          <w:spacing w:val="34"/>
        </w:rPr>
        <w:t> </w:t>
      </w:r>
      <w:r>
        <w:rPr/>
        <w:t>la</w:t>
      </w:r>
      <w:r>
        <w:rPr>
          <w:spacing w:val="34"/>
        </w:rPr>
        <w:t> </w:t>
      </w:r>
      <w:r>
        <w:rPr/>
        <w:t>escala</w:t>
      </w:r>
      <w:r>
        <w:rPr>
          <w:spacing w:val="34"/>
        </w:rPr>
        <w:t> </w:t>
      </w:r>
      <w:r>
        <w:rPr/>
        <w:t>internacional</w:t>
      </w:r>
      <w:r>
        <w:rPr>
          <w:spacing w:val="34"/>
        </w:rPr>
        <w:t> </w:t>
      </w:r>
      <w:r>
        <w:rPr/>
        <w:t>(Conferencias</w:t>
      </w:r>
      <w:r>
        <w:rPr>
          <w:spacing w:val="34"/>
        </w:rPr>
        <w:t> </w:t>
      </w:r>
      <w:r>
        <w:rPr/>
        <w:t>de</w:t>
      </w:r>
      <w:r>
        <w:rPr>
          <w:spacing w:val="34"/>
        </w:rPr>
        <w:t> </w:t>
      </w:r>
      <w:r>
        <w:rPr/>
        <w:t>Río</w:t>
      </w:r>
      <w:r>
        <w:rPr>
          <w:spacing w:val="34"/>
        </w:rPr>
        <w:t> </w:t>
      </w:r>
      <w:r>
        <w:rPr/>
        <w:t>y</w:t>
      </w:r>
      <w:r>
        <w:rPr>
          <w:spacing w:val="34"/>
        </w:rPr>
        <w:t> </w:t>
      </w:r>
      <w:r>
        <w:rPr/>
        <w:t>Hábitat)</w:t>
      </w:r>
      <w:r>
        <w:rPr>
          <w:spacing w:val="34"/>
        </w:rPr>
        <w:t> </w:t>
      </w:r>
      <w:r>
        <w:rPr/>
        <w:t>como,</w:t>
      </w:r>
      <w:r>
        <w:rPr>
          <w:spacing w:val="34"/>
        </w:rPr>
        <w:t> </w:t>
      </w:r>
      <w:r>
        <w:rPr/>
        <w:t>con</w:t>
      </w:r>
    </w:p>
    <w:p>
      <w:pPr>
        <w:pStyle w:val="BodyText"/>
        <w:spacing w:line="256" w:lineRule="exact" w:before="12"/>
        <w:ind w:left="395" w:right="474"/>
        <w:jc w:val="both"/>
      </w:pPr>
      <w:r>
        <w:rPr/>
        <w:t>gran vigor, en la UE, siendo uno de los elementos más importantes de políticas territoriales como la iniciativa LEADER o el instrumento financiero   LIFE</w:t>
      </w:r>
      <w:r>
        <w:rPr>
          <w:position w:val="10"/>
          <w:sz w:val="15"/>
        </w:rPr>
        <w:t>8</w:t>
      </w:r>
      <w:r>
        <w:rPr/>
        <w:t>.</w:t>
      </w:r>
    </w:p>
    <w:p>
      <w:pPr>
        <w:pStyle w:val="BodyText"/>
        <w:spacing w:before="3"/>
        <w:rPr>
          <w:sz w:val="23"/>
        </w:rPr>
      </w:pPr>
    </w:p>
    <w:p>
      <w:pPr>
        <w:pStyle w:val="BodyText"/>
        <w:spacing w:line="242" w:lineRule="auto" w:before="1"/>
        <w:ind w:left="395" w:right="404"/>
        <w:jc w:val="both"/>
      </w:pPr>
      <w:r>
        <w:rPr/>
        <w:t>El intercambio de experiencias es mucho más eficiente cuando se realiza en el marco de redes, cuya constitución es especialmente adecuada en el caso de las ciudades pequeñas    y medianas, que pueden así realizar significativas economías de recursos y tiempo en el proceso de adopción de las políticas territoriales </w:t>
      </w:r>
      <w:r>
        <w:rPr>
          <w:spacing w:val="47"/>
        </w:rPr>
        <w:t> </w:t>
      </w:r>
      <w:r>
        <w:rPr/>
        <w:t>óptimas.</w:t>
      </w:r>
    </w:p>
    <w:p>
      <w:pPr>
        <w:pStyle w:val="BodyText"/>
        <w:spacing w:before="5"/>
        <w:rPr>
          <w:sz w:val="23"/>
        </w:rPr>
      </w:pPr>
    </w:p>
    <w:p>
      <w:pPr>
        <w:pStyle w:val="BodyText"/>
        <w:spacing w:line="242" w:lineRule="auto"/>
        <w:ind w:left="395" w:right="462"/>
        <w:jc w:val="both"/>
      </w:pPr>
      <w:r>
        <w:rPr/>
        <w:t>La importancia de la conexión de espacios de valor ambiental mediante elementos  lineales  –corredores  ecológicos-  </w:t>
      </w:r>
      <w:r>
        <w:rPr>
          <w:spacing w:val="-6"/>
        </w:rPr>
        <w:t>es  </w:t>
      </w:r>
      <w:r>
        <w:rPr/>
        <w:t>una  de  las  líneas  actualmente  más  fértiles  en </w:t>
      </w:r>
      <w:r>
        <w:rPr>
          <w:spacing w:val="23"/>
        </w:rPr>
        <w:t> </w:t>
      </w:r>
      <w:r>
        <w:rPr/>
        <w:t>el</w:t>
      </w:r>
    </w:p>
    <w:p>
      <w:pPr>
        <w:pStyle w:val="BodyText"/>
        <w:rPr>
          <w:sz w:val="20"/>
        </w:rPr>
      </w:pPr>
    </w:p>
    <w:p>
      <w:pPr>
        <w:pStyle w:val="BodyText"/>
        <w:spacing w:before="1"/>
        <w:rPr>
          <w:sz w:val="10"/>
        </w:rPr>
      </w:pPr>
      <w:r>
        <w:rPr/>
        <w:pict>
          <v:line style="position:absolute;mso-position-horizontal-relative:page;mso-position-vertical-relative:paragraph;z-index:1432;mso-wrap-distance-left:0;mso-wrap-distance-right:0" from="105.75pt,8.124765pt" to="240.75pt,8.124765pt" stroked="true" strokeweight=".75pt" strokecolor="#000000">
            <w10:wrap type="topAndBottom"/>
          </v:line>
        </w:pict>
      </w:r>
    </w:p>
    <w:p>
      <w:pPr>
        <w:spacing w:before="59"/>
        <w:ind w:left="1070" w:right="771" w:firstLine="0"/>
        <w:jc w:val="left"/>
        <w:rPr>
          <w:sz w:val="18"/>
        </w:rPr>
      </w:pPr>
      <w:r>
        <w:rPr>
          <w:position w:val="7"/>
          <w:sz w:val="12"/>
        </w:rPr>
        <w:t>8    </w:t>
      </w:r>
      <w:hyperlink r:id="rId7">
        <w:r>
          <w:rPr>
            <w:color w:val="0000FF"/>
            <w:sz w:val="18"/>
            <w:u w:val="single" w:color="0000FF"/>
          </w:rPr>
          <w:t>www.europa.eu.int/comm/environment/life</w:t>
        </w:r>
        <w:r>
          <w:rPr>
            <w:sz w:val="18"/>
          </w:rPr>
          <w:t>.</w:t>
        </w:r>
      </w:hyperlink>
    </w:p>
    <w:p>
      <w:pPr>
        <w:spacing w:after="0"/>
        <w:jc w:val="left"/>
        <w:rPr>
          <w:sz w:val="18"/>
        </w:rPr>
        <w:sectPr>
          <w:pgSz w:w="12240" w:h="15840"/>
          <w:pgMar w:top="1280" w:bottom="280" w:left="1720" w:right="1720"/>
        </w:sectPr>
      </w:pPr>
    </w:p>
    <w:p>
      <w:pPr>
        <w:pStyle w:val="BodyText"/>
        <w:spacing w:before="59"/>
        <w:ind w:left="395"/>
        <w:jc w:val="both"/>
      </w:pPr>
      <w:r>
        <w:rPr/>
        <w:t>campo del planeamiento ambiental. El concepto ha empezado a ser incorporado ya al</w:t>
      </w:r>
    </w:p>
    <w:p>
      <w:pPr>
        <w:pStyle w:val="BodyText"/>
        <w:spacing w:line="240" w:lineRule="exact" w:before="30"/>
        <w:ind w:left="395" w:right="445"/>
        <w:jc w:val="both"/>
      </w:pPr>
      <w:r>
        <w:rPr/>
        <w:t>planeamiento integral con experiencias de diseño de redes de espacios en planes subregionales (DOT de Ámbito Subregional de  Valladolid  y  su  </w:t>
      </w:r>
      <w:r>
        <w:rPr>
          <w:spacing w:val="-3"/>
        </w:rPr>
        <w:t>Entorno)</w:t>
      </w:r>
      <w:r>
        <w:rPr>
          <w:spacing w:val="-3"/>
          <w:position w:val="9"/>
          <w:sz w:val="15"/>
        </w:rPr>
        <w:t>9</w:t>
      </w:r>
      <w:r>
        <w:rPr>
          <w:spacing w:val="-3"/>
        </w:rPr>
        <w:t>,  sin  duda   </w:t>
      </w:r>
      <w:r>
        <w:rPr>
          <w:spacing w:val="-4"/>
        </w:rPr>
        <w:t>el</w:t>
      </w:r>
    </w:p>
    <w:p>
      <w:pPr>
        <w:pStyle w:val="BodyText"/>
        <w:spacing w:line="242" w:lineRule="auto" w:before="16"/>
        <w:ind w:left="395" w:right="448"/>
        <w:jc w:val="both"/>
      </w:pPr>
      <w:r>
        <w:rPr/>
        <w:t>instrumento de ordenación más adecuado para ello, por razones de escala y de masa  crítica de teselas a conectar. En algunos casos (Agenda XXI de  Zaragoza),  la  </w:t>
      </w:r>
      <w:r>
        <w:rPr>
          <w:spacing w:val="-2"/>
        </w:rPr>
        <w:t>red  </w:t>
      </w:r>
      <w:r>
        <w:rPr/>
        <w:t>incluye también los espacios verdes plenamente </w:t>
      </w:r>
      <w:r>
        <w:rPr>
          <w:spacing w:val="30"/>
        </w:rPr>
        <w:t> </w:t>
      </w:r>
      <w:r>
        <w:rPr/>
        <w:t>urbanos.</w:t>
      </w:r>
    </w:p>
    <w:p>
      <w:pPr>
        <w:pStyle w:val="BodyText"/>
        <w:spacing w:before="5"/>
        <w:rPr>
          <w:sz w:val="23"/>
        </w:rPr>
      </w:pPr>
    </w:p>
    <w:p>
      <w:pPr>
        <w:pStyle w:val="BodyText"/>
        <w:spacing w:line="244" w:lineRule="auto"/>
        <w:ind w:left="395" w:right="422"/>
        <w:jc w:val="both"/>
      </w:pPr>
      <w:r>
        <w:rPr/>
        <w:t>Esta red de corredores verdes se apoyaría en elementos como vías pecuarias o sotos de </w:t>
      </w:r>
      <w:r>
        <w:rPr>
          <w:spacing w:val="-3"/>
        </w:rPr>
        <w:t>ribera </w:t>
      </w:r>
      <w:r>
        <w:rPr/>
        <w:t>-tanto de cauces naturales como de canales-, conectando parques metropolitanos, lugares históricos, áreas de recreo de montes de Utilidad Pública y lugares con alto potencial de vistas, y desarrollando funciones de recreo en la naturaleza  (cuya  plasmación imposibilitaría, en términos reales, la de conexión ecológica, por más </w:t>
      </w:r>
      <w:r>
        <w:rPr>
          <w:spacing w:val="-2"/>
        </w:rPr>
        <w:t>que    </w:t>
      </w:r>
      <w:r>
        <w:rPr/>
        <w:t>ésta sea también</w:t>
      </w:r>
      <w:r>
        <w:rPr>
          <w:spacing w:val="34"/>
        </w:rPr>
        <w:t> </w:t>
      </w:r>
      <w:r>
        <w:rPr/>
        <w:t>apuntada).</w:t>
      </w:r>
    </w:p>
    <w:p>
      <w:pPr>
        <w:pStyle w:val="BodyText"/>
        <w:spacing w:before="2"/>
        <w:rPr>
          <w:sz w:val="23"/>
        </w:rPr>
      </w:pPr>
    </w:p>
    <w:p>
      <w:pPr>
        <w:pStyle w:val="BodyText"/>
        <w:spacing w:line="244" w:lineRule="auto"/>
        <w:ind w:left="395" w:right="434"/>
        <w:jc w:val="both"/>
      </w:pPr>
      <w:r>
        <w:rPr/>
        <w:t>El protagonismo de los medios urbanos en la generación </w:t>
      </w:r>
      <w:r>
        <w:rPr>
          <w:spacing w:val="-9"/>
        </w:rPr>
        <w:t>de </w:t>
      </w:r>
      <w:r>
        <w:rPr/>
        <w:t>impactos ambientales hace evidente que, para su solución, deba actuarse prioritariamente sobre aquéllos (Comisión Europea, 1990). En este contexto, la Conferencia de Río propugnó el desarrollo de procesos locales de introducción de políticas de sostenibilidad, con fuerte participación ciudadana, procesos que se han articulado, fundamentalmente, en el marco de las  Agendas Locales</w:t>
      </w:r>
      <w:r>
        <w:rPr>
          <w:spacing w:val="34"/>
        </w:rPr>
        <w:t> </w:t>
      </w:r>
      <w:r>
        <w:rPr/>
        <w:t>XXI.</w:t>
      </w:r>
    </w:p>
    <w:p>
      <w:pPr>
        <w:pStyle w:val="BodyText"/>
        <w:spacing w:before="4"/>
        <w:rPr>
          <w:sz w:val="24"/>
        </w:rPr>
      </w:pPr>
    </w:p>
    <w:p>
      <w:pPr>
        <w:pStyle w:val="BodyText"/>
        <w:spacing w:line="240" w:lineRule="exact"/>
        <w:ind w:left="395" w:right="426"/>
        <w:jc w:val="both"/>
      </w:pPr>
      <w:r>
        <w:rPr/>
        <w:t>Las experiencias de Agenda XXI han conocido, en los últimos años, un fuerte impulso    en  la  UE,  con  más  de  2.000  administrac iones  locales  y  regionales   </w:t>
      </w:r>
      <w:r>
        <w:rPr>
          <w:spacing w:val="34"/>
        </w:rPr>
        <w:t> </w:t>
      </w:r>
      <w:r>
        <w:rPr/>
        <w:t>involucradas</w:t>
      </w:r>
      <w:r>
        <w:rPr>
          <w:position w:val="9"/>
          <w:sz w:val="15"/>
        </w:rPr>
        <w:t>10</w:t>
      </w:r>
      <w:r>
        <w:rPr/>
        <w:t>,</w:t>
      </w:r>
    </w:p>
    <w:p>
      <w:pPr>
        <w:pStyle w:val="BodyText"/>
        <w:spacing w:before="16"/>
        <w:ind w:left="395"/>
        <w:jc w:val="both"/>
      </w:pPr>
      <w:r>
        <w:rPr/>
        <w:t>gracias, en parte, a lo afortunado de las experiencias pioneras (Vitoria,  Calviá).</w:t>
      </w:r>
    </w:p>
    <w:p>
      <w:pPr>
        <w:pStyle w:val="BodyText"/>
        <w:spacing w:before="4"/>
      </w:pPr>
    </w:p>
    <w:p>
      <w:pPr>
        <w:pStyle w:val="BodyText"/>
        <w:spacing w:line="249" w:lineRule="auto"/>
        <w:ind w:left="395" w:right="459"/>
        <w:jc w:val="both"/>
      </w:pPr>
      <w:r>
        <w:rPr/>
        <w:t>La Agenda XXI tiene una serie de características que la convierten en un elemento especialmente indicado para mejorar la sostenibilidad de la acción humana  sobre  el medio, a</w:t>
      </w:r>
      <w:r>
        <w:rPr>
          <w:spacing w:val="50"/>
        </w:rPr>
        <w:t> </w:t>
      </w:r>
      <w:r>
        <w:rPr/>
        <w:t>saber:</w:t>
      </w:r>
    </w:p>
    <w:p>
      <w:pPr>
        <w:pStyle w:val="BodyText"/>
        <w:spacing w:before="5"/>
        <w:rPr>
          <w:sz w:val="21"/>
        </w:rPr>
      </w:pPr>
    </w:p>
    <w:p>
      <w:pPr>
        <w:pStyle w:val="ListParagraph"/>
        <w:numPr>
          <w:ilvl w:val="0"/>
          <w:numId w:val="5"/>
        </w:numPr>
        <w:tabs>
          <w:tab w:pos="1400" w:val="left" w:leader="none"/>
        </w:tabs>
        <w:spacing w:line="242" w:lineRule="auto" w:before="0" w:after="0"/>
        <w:ind w:left="1400" w:right="421" w:hanging="330"/>
        <w:jc w:val="both"/>
        <w:rPr>
          <w:sz w:val="22"/>
        </w:rPr>
      </w:pPr>
      <w:r>
        <w:rPr>
          <w:sz w:val="22"/>
        </w:rPr>
        <w:t>Centra sus actuaciones en el medio urbano, responsable de la mayor parte de los  impactos</w:t>
      </w:r>
      <w:r>
        <w:rPr>
          <w:spacing w:val="10"/>
          <w:sz w:val="22"/>
        </w:rPr>
        <w:t> </w:t>
      </w:r>
      <w:r>
        <w:rPr>
          <w:spacing w:val="-2"/>
          <w:sz w:val="22"/>
        </w:rPr>
        <w:t>ambientales,</w:t>
      </w:r>
    </w:p>
    <w:p>
      <w:pPr>
        <w:pStyle w:val="BodyText"/>
        <w:spacing w:before="5"/>
        <w:rPr>
          <w:sz w:val="23"/>
        </w:rPr>
      </w:pPr>
    </w:p>
    <w:p>
      <w:pPr>
        <w:pStyle w:val="ListParagraph"/>
        <w:numPr>
          <w:ilvl w:val="0"/>
          <w:numId w:val="5"/>
        </w:numPr>
        <w:tabs>
          <w:tab w:pos="1400" w:val="left" w:leader="none"/>
        </w:tabs>
        <w:spacing w:line="256" w:lineRule="auto" w:before="0" w:after="0"/>
        <w:ind w:left="1400" w:right="423" w:hanging="330"/>
        <w:jc w:val="both"/>
        <w:rPr>
          <w:sz w:val="22"/>
        </w:rPr>
      </w:pPr>
      <w:r>
        <w:rPr>
          <w:sz w:val="22"/>
        </w:rPr>
        <w:t>Promueve cambios en las actitudes personales, imprescindibles  para  la  </w:t>
      </w:r>
      <w:r>
        <w:rPr>
          <w:spacing w:val="-4"/>
          <w:sz w:val="22"/>
        </w:rPr>
        <w:t>mejora  ambiental  local  </w:t>
      </w:r>
      <w:r>
        <w:rPr>
          <w:sz w:val="22"/>
        </w:rPr>
        <w:t>y </w:t>
      </w:r>
      <w:r>
        <w:rPr>
          <w:spacing w:val="-4"/>
          <w:sz w:val="22"/>
        </w:rPr>
        <w:t>globa </w:t>
      </w:r>
      <w:r>
        <w:rPr>
          <w:sz w:val="22"/>
        </w:rPr>
        <w:t>l, y</w:t>
      </w:r>
    </w:p>
    <w:p>
      <w:pPr>
        <w:pStyle w:val="BodyText"/>
        <w:spacing w:before="10"/>
        <w:rPr>
          <w:sz w:val="20"/>
        </w:rPr>
      </w:pPr>
    </w:p>
    <w:p>
      <w:pPr>
        <w:pStyle w:val="ListParagraph"/>
        <w:numPr>
          <w:ilvl w:val="0"/>
          <w:numId w:val="5"/>
        </w:numPr>
        <w:tabs>
          <w:tab w:pos="1400" w:val="left" w:leader="none"/>
        </w:tabs>
        <w:spacing w:line="242" w:lineRule="auto" w:before="0" w:after="0"/>
        <w:ind w:left="1400" w:right="452" w:hanging="330"/>
        <w:jc w:val="both"/>
        <w:rPr>
          <w:sz w:val="22"/>
        </w:rPr>
      </w:pPr>
      <w:r>
        <w:rPr>
          <w:sz w:val="22"/>
        </w:rPr>
        <w:t>Se basa en procesos de negociación-acuerdo, con lo que los  contenidos  finales son más fácilmente asumibles por el conjunto social, facilitando su puesta en</w:t>
      </w:r>
      <w:r>
        <w:rPr>
          <w:spacing w:val="28"/>
          <w:sz w:val="22"/>
        </w:rPr>
        <w:t> </w:t>
      </w:r>
      <w:r>
        <w:rPr>
          <w:sz w:val="22"/>
        </w:rPr>
        <w:t>práctica.</w:t>
      </w:r>
    </w:p>
    <w:p>
      <w:pPr>
        <w:pStyle w:val="BodyText"/>
        <w:spacing w:before="5"/>
        <w:rPr>
          <w:sz w:val="23"/>
        </w:rPr>
      </w:pPr>
    </w:p>
    <w:p>
      <w:pPr>
        <w:pStyle w:val="BodyText"/>
        <w:spacing w:line="244" w:lineRule="auto"/>
        <w:ind w:left="395" w:right="422"/>
        <w:jc w:val="both"/>
      </w:pPr>
      <w:r>
        <w:rPr/>
        <w:t>No obstante, concurren también ciertos elementos que desvirtúan dicha idoneidad. El    más importante de ellos es el </w:t>
      </w:r>
      <w:r>
        <w:rPr>
          <w:spacing w:val="2"/>
        </w:rPr>
        <w:t>efecto-moda </w:t>
      </w:r>
      <w:r>
        <w:rPr/>
        <w:t>que está en la base de  no  pocas  iniciativas, que responden más a intereses propagandísticos que a un compromiso real de </w:t>
      </w:r>
      <w:r>
        <w:rPr>
          <w:spacing w:val="-2"/>
        </w:rPr>
        <w:t>las </w:t>
      </w:r>
      <w:r>
        <w:rPr/>
        <w:t>Administraciones locales con la gestión sostenible. De aquí derivan  otros  defectos.  </w:t>
      </w:r>
      <w:r>
        <w:rPr>
          <w:spacing w:val="-4"/>
        </w:rPr>
        <w:t>Desde </w:t>
      </w:r>
      <w:r>
        <w:rPr/>
        <w:t>un punto de vista cronológico, el primero de ellos, no infrecuente en municipios pequeños, es el intento de la corporación local de controlar la participación  ciudadana     en los Foros. Otro problema es la cierta vacuidad de la posterior ejecución de  </w:t>
      </w:r>
      <w:r>
        <w:rPr>
          <w:spacing w:val="-2"/>
        </w:rPr>
        <w:t>los  </w:t>
      </w:r>
      <w:r>
        <w:rPr>
          <w:spacing w:val="-3"/>
        </w:rPr>
        <w:t>acuerdos, </w:t>
      </w:r>
      <w:r>
        <w:rPr/>
        <w:t>circunstancia en la que también influyen los problemas presupuestarios que aquejan  a  los  ayuntamientos  hispanos,  pero  también  la  falta  de  voluntad        política</w:t>
      </w:r>
    </w:p>
    <w:p>
      <w:pPr>
        <w:pStyle w:val="BodyText"/>
        <w:spacing w:before="7"/>
        <w:rPr>
          <w:sz w:val="11"/>
        </w:rPr>
      </w:pPr>
      <w:r>
        <w:rPr/>
        <w:pict>
          <v:line style="position:absolute;mso-position-horizontal-relative:page;mso-position-vertical-relative:paragraph;z-index:1456;mso-wrap-distance-left:0;mso-wrap-distance-right:0" from="105.75pt,9.001972pt" to="240.75pt,9.001972pt" stroked="true" strokeweight=".75pt" strokecolor="#000000">
            <w10:wrap type="topAndBottom"/>
          </v:line>
        </w:pict>
      </w:r>
    </w:p>
    <w:p>
      <w:pPr>
        <w:spacing w:before="44"/>
        <w:ind w:left="1070" w:right="771" w:firstLine="0"/>
        <w:jc w:val="left"/>
        <w:rPr>
          <w:sz w:val="18"/>
        </w:rPr>
      </w:pPr>
      <w:r>
        <w:rPr>
          <w:position w:val="7"/>
          <w:sz w:val="12"/>
        </w:rPr>
        <w:t>9   </w:t>
      </w:r>
      <w:r>
        <w:rPr>
          <w:color w:val="0000FF"/>
          <w:sz w:val="18"/>
          <w:u w:val="single" w:color="0000FF"/>
        </w:rPr>
        <w:t>alice.jcyl.es/jcyl/cf/dgvuot/directrices -ot/doas/dotvaent</w:t>
      </w:r>
      <w:r>
        <w:rPr>
          <w:sz w:val="18"/>
        </w:rPr>
        <w:t>.</w:t>
      </w:r>
    </w:p>
    <w:p>
      <w:pPr>
        <w:spacing w:before="4"/>
        <w:ind w:left="1070" w:right="771" w:firstLine="0"/>
        <w:jc w:val="left"/>
        <w:rPr>
          <w:sz w:val="18"/>
        </w:rPr>
      </w:pPr>
      <w:r>
        <w:rPr/>
        <w:pict>
          <v:line style="position:absolute;mso-position-horizontal-relative:page;mso-position-vertical-relative:paragraph;z-index:-14920" from="350.25pt,-.823438pt" to="352.5pt,-.823438pt" stroked="true" strokeweight=".75pt" strokecolor="#000000">
            <w10:wrap type="none"/>
          </v:line>
        </w:pict>
      </w:r>
      <w:r>
        <w:rPr>
          <w:position w:val="7"/>
          <w:sz w:val="12"/>
        </w:rPr>
        <w:t>10   </w:t>
      </w:r>
      <w:r>
        <w:rPr>
          <w:sz w:val="18"/>
        </w:rPr>
        <w:t>Campaña  Europea  de  Ciudades  Sostenibles: </w:t>
      </w:r>
      <w:hyperlink r:id="rId8">
        <w:r>
          <w:rPr>
            <w:color w:val="0000FF"/>
            <w:sz w:val="18"/>
            <w:u w:val="single" w:color="0000FF"/>
          </w:rPr>
          <w:t>www.sustainable-cities.org</w:t>
        </w:r>
        <w:r>
          <w:rPr>
            <w:sz w:val="18"/>
          </w:rPr>
          <w:t>.</w:t>
        </w:r>
      </w:hyperlink>
    </w:p>
    <w:p>
      <w:pPr>
        <w:spacing w:after="0"/>
        <w:jc w:val="left"/>
        <w:rPr>
          <w:sz w:val="18"/>
        </w:rPr>
        <w:sectPr>
          <w:pgSz w:w="12240" w:h="15840"/>
          <w:pgMar w:top="1280" w:bottom="280" w:left="1720" w:right="1720"/>
        </w:sectPr>
      </w:pPr>
    </w:p>
    <w:p>
      <w:pPr>
        <w:pStyle w:val="BodyText"/>
        <w:spacing w:before="59"/>
        <w:ind w:left="395" w:right="410"/>
        <w:jc w:val="both"/>
      </w:pPr>
      <w:r>
        <w:rPr/>
        <w:t>antedicha. Es frecuente que los proyectos  ejecutados  sean  los  menos  comprometidos para el  </w:t>
      </w:r>
      <w:r>
        <w:rPr>
          <w:spacing w:val="-4"/>
        </w:rPr>
        <w:t>mantenimiento  </w:t>
      </w:r>
      <w:r>
        <w:rPr/>
        <w:t>de  la  </w:t>
      </w:r>
      <w:r>
        <w:rPr>
          <w:spacing w:val="-3"/>
        </w:rPr>
        <w:t>política  municipal  precedente,  </w:t>
      </w:r>
      <w:r>
        <w:rPr/>
        <w:t>de  </w:t>
      </w:r>
      <w:r>
        <w:rPr>
          <w:spacing w:val="-3"/>
        </w:rPr>
        <w:t>tipo  </w:t>
      </w:r>
      <w:r>
        <w:rPr/>
        <w:t>más  </w:t>
      </w:r>
      <w:r>
        <w:rPr>
          <w:spacing w:val="-3"/>
        </w:rPr>
        <w:t>cosmético  que </w:t>
      </w:r>
      <w:r>
        <w:rPr/>
        <w:t>de sostenibilidad real. Finalmente, y contra lo que se propugna desde altos foros (conclusiones III Congreso Internacional), la desconexión entre los contenidos de los </w:t>
      </w:r>
      <w:r>
        <w:rPr>
          <w:spacing w:val="3"/>
        </w:rPr>
        <w:t>planes </w:t>
      </w:r>
      <w:r>
        <w:rPr/>
        <w:t>de </w:t>
      </w:r>
      <w:r>
        <w:rPr>
          <w:spacing w:val="-5"/>
        </w:rPr>
        <w:t>acción </w:t>
      </w:r>
      <w:r>
        <w:rPr/>
        <w:t>local y los urbanísticos es evidente, incluso tras revisiones de estos últimos posteriores a la realización del Plan de Acción Local, con escasas excepciones, </w:t>
      </w:r>
      <w:r>
        <w:rPr>
          <w:spacing w:val="-3"/>
        </w:rPr>
        <w:t>como </w:t>
      </w:r>
      <w:r>
        <w:rPr/>
        <w:t>son los </w:t>
      </w:r>
      <w:r>
        <w:rPr>
          <w:spacing w:val="-3"/>
        </w:rPr>
        <w:t>casos </w:t>
      </w:r>
      <w:r>
        <w:rPr/>
        <w:t>de Valladolid</w:t>
      </w:r>
      <w:r>
        <w:rPr>
          <w:position w:val="10"/>
          <w:sz w:val="15"/>
        </w:rPr>
        <w:t>11 </w:t>
      </w:r>
      <w:r>
        <w:rPr/>
        <w:t>o Segovia. Pese a lo mayoritario  de  dicha  </w:t>
      </w:r>
      <w:r>
        <w:rPr>
          <w:spacing w:val="-5"/>
        </w:rPr>
        <w:t>desconexión, </w:t>
      </w:r>
      <w:r>
        <w:rPr>
          <w:spacing w:val="-3"/>
        </w:rPr>
        <w:t>la te </w:t>
      </w:r>
      <w:r>
        <w:rPr/>
        <w:t>ndencia parece apuntar a que vaya siendo superada. En la línea de interpenetraciones entre figuras de ordenación diferentes, señalar también algunos casos particulares de ligazón entre Agenda XXI y Plan Estratégico (Zaragoza). Otra tendencia </w:t>
      </w:r>
      <w:r>
        <w:rPr>
          <w:spacing w:val="-3"/>
        </w:rPr>
        <w:t>positiva </w:t>
      </w:r>
      <w:r>
        <w:rPr/>
        <w:t>es la creciente realización de Agendas XXI en ámbitos  </w:t>
      </w:r>
      <w:r>
        <w:rPr>
          <w:spacing w:val="12"/>
        </w:rPr>
        <w:t> </w:t>
      </w:r>
      <w:r>
        <w:rPr/>
        <w:t>rurales</w:t>
      </w:r>
      <w:r>
        <w:rPr>
          <w:position w:val="9"/>
          <w:sz w:val="15"/>
        </w:rPr>
        <w:t>12</w:t>
      </w:r>
      <w:r>
        <w:rPr/>
        <w:t>.</w:t>
      </w:r>
    </w:p>
    <w:p>
      <w:pPr>
        <w:pStyle w:val="BodyText"/>
        <w:spacing w:before="7"/>
        <w:rPr>
          <w:sz w:val="23"/>
        </w:rPr>
      </w:pPr>
    </w:p>
    <w:p>
      <w:pPr>
        <w:pStyle w:val="BodyText"/>
        <w:ind w:left="395" w:right="423"/>
        <w:jc w:val="both"/>
      </w:pPr>
      <w:r>
        <w:rPr/>
        <w:t>La aplicación de herramientas de evaluación de impacto a los proyectos con incidencia territorial está ya recogida tanto en documentos estratégicos no vinculantes, como la   ETE, como en las legislaciones nacionales y regionales. El primero en ser introducido    en ellas </w:t>
      </w:r>
      <w:r>
        <w:rPr>
          <w:spacing w:val="-4"/>
        </w:rPr>
        <w:t>–en </w:t>
      </w:r>
      <w:r>
        <w:rPr/>
        <w:t>el </w:t>
      </w:r>
      <w:r>
        <w:rPr>
          <w:spacing w:val="-3"/>
        </w:rPr>
        <w:t>caso </w:t>
      </w:r>
      <w:r>
        <w:rPr/>
        <w:t>de </w:t>
      </w:r>
      <w:r>
        <w:rPr>
          <w:spacing w:val="-3"/>
        </w:rPr>
        <w:t>España, </w:t>
      </w:r>
      <w:r>
        <w:rPr/>
        <w:t>en la </w:t>
      </w:r>
      <w:r>
        <w:rPr>
          <w:spacing w:val="-3"/>
        </w:rPr>
        <w:t>andaluza  </w:t>
      </w:r>
      <w:r>
        <w:rPr/>
        <w:t>o  </w:t>
      </w:r>
      <w:r>
        <w:rPr>
          <w:spacing w:val="-3"/>
        </w:rPr>
        <w:t>asturiana,  </w:t>
      </w:r>
      <w:r>
        <w:rPr/>
        <w:t>por  </w:t>
      </w:r>
      <w:r>
        <w:rPr>
          <w:spacing w:val="-3"/>
        </w:rPr>
        <w:t>ejemplo </w:t>
      </w:r>
      <w:r>
        <w:rPr/>
        <w:t>-  </w:t>
      </w:r>
      <w:r>
        <w:rPr>
          <w:spacing w:val="-6"/>
        </w:rPr>
        <w:t>fue  </w:t>
      </w:r>
      <w:r>
        <w:rPr>
          <w:spacing w:val="-9"/>
        </w:rPr>
        <w:t>la </w:t>
      </w:r>
      <w:r>
        <w:rPr/>
        <w:t>Evaluación de Impacto Ambiental (EIA)</w:t>
      </w:r>
      <w:r>
        <w:rPr>
          <w:position w:val="9"/>
          <w:sz w:val="15"/>
        </w:rPr>
        <w:t>13</w:t>
      </w:r>
      <w:r>
        <w:rPr/>
        <w:t>, cuya aplicación no ha llegado a </w:t>
      </w:r>
      <w:r>
        <w:rPr>
          <w:spacing w:val="-2"/>
        </w:rPr>
        <w:t>ser </w:t>
      </w:r>
      <w:r>
        <w:rPr/>
        <w:t>completamente  satisfactoria,  </w:t>
      </w:r>
      <w:r>
        <w:rPr>
          <w:spacing w:val="-3"/>
        </w:rPr>
        <w:t>habiéndose  </w:t>
      </w:r>
      <w:r>
        <w:rPr/>
        <w:t>convertido  en  realidad  en  un  mero   </w:t>
      </w:r>
      <w:r>
        <w:rPr>
          <w:spacing w:val="15"/>
        </w:rPr>
        <w:t> </w:t>
      </w:r>
      <w:r>
        <w:rPr/>
        <w:t>trámite</w:t>
      </w:r>
    </w:p>
    <w:p>
      <w:pPr>
        <w:pStyle w:val="BodyText"/>
        <w:spacing w:before="17"/>
        <w:ind w:left="395"/>
        <w:jc w:val="both"/>
      </w:pPr>
      <w:r>
        <w:rPr/>
        <w:t>(Vegara, 1993), por diversas causas:</w:t>
      </w:r>
    </w:p>
    <w:p>
      <w:pPr>
        <w:pStyle w:val="BodyText"/>
        <w:spacing w:before="4"/>
      </w:pPr>
    </w:p>
    <w:p>
      <w:pPr>
        <w:pStyle w:val="ListParagraph"/>
        <w:numPr>
          <w:ilvl w:val="0"/>
          <w:numId w:val="6"/>
        </w:numPr>
        <w:tabs>
          <w:tab w:pos="1400" w:val="left" w:leader="none"/>
        </w:tabs>
        <w:spacing w:line="247" w:lineRule="auto" w:before="0" w:after="0"/>
        <w:ind w:left="1400" w:right="423" w:hanging="330"/>
        <w:jc w:val="both"/>
        <w:rPr>
          <w:sz w:val="22"/>
        </w:rPr>
      </w:pPr>
      <w:r>
        <w:rPr>
          <w:sz w:val="22"/>
        </w:rPr>
        <w:t>La asunción de la preocupación social por la conservación y mejora ambientales por parte de los actores públicos y privados que protagonizan el </w:t>
      </w:r>
      <w:r>
        <w:rPr>
          <w:spacing w:val="-4"/>
          <w:sz w:val="22"/>
        </w:rPr>
        <w:t>desarrollo territorial </w:t>
      </w:r>
      <w:r>
        <w:rPr>
          <w:sz w:val="22"/>
        </w:rPr>
        <w:t>ha </w:t>
      </w:r>
      <w:r>
        <w:rPr>
          <w:spacing w:val="-3"/>
          <w:sz w:val="22"/>
        </w:rPr>
        <w:t>sid </w:t>
      </w:r>
      <w:r>
        <w:rPr>
          <w:sz w:val="22"/>
        </w:rPr>
        <w:t>o, en la </w:t>
      </w:r>
      <w:r>
        <w:rPr>
          <w:spacing w:val="-3"/>
          <w:sz w:val="22"/>
        </w:rPr>
        <w:t>mayor parte </w:t>
      </w:r>
      <w:r>
        <w:rPr>
          <w:sz w:val="22"/>
        </w:rPr>
        <w:t>de los  </w:t>
      </w:r>
      <w:r>
        <w:rPr>
          <w:spacing w:val="-3"/>
          <w:sz w:val="22"/>
        </w:rPr>
        <w:t>casos,  meramente  </w:t>
      </w:r>
      <w:r>
        <w:rPr>
          <w:sz w:val="22"/>
        </w:rPr>
        <w:t>formal, no</w:t>
      </w:r>
      <w:r>
        <w:rPr>
          <w:spacing w:val="40"/>
          <w:sz w:val="22"/>
        </w:rPr>
        <w:t> </w:t>
      </w:r>
      <w:r>
        <w:rPr>
          <w:sz w:val="22"/>
        </w:rPr>
        <w:t>internalizada,</w:t>
      </w:r>
    </w:p>
    <w:p>
      <w:pPr>
        <w:pStyle w:val="BodyText"/>
        <w:spacing w:before="8"/>
        <w:rPr>
          <w:sz w:val="21"/>
        </w:rPr>
      </w:pPr>
    </w:p>
    <w:p>
      <w:pPr>
        <w:pStyle w:val="ListParagraph"/>
        <w:numPr>
          <w:ilvl w:val="0"/>
          <w:numId w:val="6"/>
        </w:numPr>
        <w:tabs>
          <w:tab w:pos="1400" w:val="left" w:leader="none"/>
        </w:tabs>
        <w:spacing w:line="249" w:lineRule="auto" w:before="0" w:after="0"/>
        <w:ind w:left="1400" w:right="423" w:hanging="330"/>
        <w:jc w:val="both"/>
        <w:rPr>
          <w:sz w:val="22"/>
        </w:rPr>
      </w:pPr>
      <w:r>
        <w:rPr>
          <w:sz w:val="22"/>
        </w:rPr>
        <w:t>Invariablemente, es realizada por el mismo equipo redactor  del  proyecto, como una fase más del mismo, lo que no garantiza  la  necesaria  independencia de ambos</w:t>
      </w:r>
      <w:r>
        <w:rPr>
          <w:spacing w:val="51"/>
          <w:sz w:val="22"/>
        </w:rPr>
        <w:t> </w:t>
      </w:r>
      <w:r>
        <w:rPr>
          <w:sz w:val="22"/>
        </w:rPr>
        <w:t>procesos,</w:t>
      </w:r>
    </w:p>
    <w:p>
      <w:pPr>
        <w:pStyle w:val="BodyText"/>
        <w:spacing w:before="5"/>
        <w:rPr>
          <w:sz w:val="21"/>
        </w:rPr>
      </w:pPr>
    </w:p>
    <w:p>
      <w:pPr>
        <w:pStyle w:val="ListParagraph"/>
        <w:numPr>
          <w:ilvl w:val="0"/>
          <w:numId w:val="6"/>
        </w:numPr>
        <w:tabs>
          <w:tab w:pos="1460" w:val="left" w:leader="none"/>
        </w:tabs>
        <w:spacing w:line="249" w:lineRule="auto" w:before="0" w:after="0"/>
        <w:ind w:left="1400" w:right="422" w:hanging="330"/>
        <w:jc w:val="both"/>
        <w:rPr>
          <w:sz w:val="22"/>
        </w:rPr>
      </w:pPr>
      <w:r>
        <w:rPr>
          <w:sz w:val="22"/>
        </w:rPr>
        <w:t>Se </w:t>
      </w:r>
      <w:r>
        <w:rPr>
          <w:spacing w:val="-4"/>
          <w:sz w:val="22"/>
        </w:rPr>
        <w:t>aplica </w:t>
      </w:r>
      <w:r>
        <w:rPr>
          <w:spacing w:val="-3"/>
          <w:sz w:val="22"/>
        </w:rPr>
        <w:t>una </w:t>
      </w:r>
      <w:r>
        <w:rPr>
          <w:sz w:val="22"/>
        </w:rPr>
        <w:t>vez que ya está finalizado el diseño del proyecto, empleándose para justificarlo, introduciendo, a lo más, medidas correctoras o compensatorias,</w:t>
      </w:r>
    </w:p>
    <w:p>
      <w:pPr>
        <w:pStyle w:val="BodyText"/>
        <w:spacing w:before="9"/>
      </w:pPr>
    </w:p>
    <w:p>
      <w:pPr>
        <w:pStyle w:val="ListParagraph"/>
        <w:numPr>
          <w:ilvl w:val="0"/>
          <w:numId w:val="6"/>
        </w:numPr>
        <w:tabs>
          <w:tab w:pos="1399" w:val="left" w:leader="none"/>
          <w:tab w:pos="1400" w:val="left" w:leader="none"/>
        </w:tabs>
        <w:spacing w:line="242" w:lineRule="auto" w:before="0" w:after="0"/>
        <w:ind w:left="1400" w:right="408" w:hanging="330"/>
        <w:jc w:val="left"/>
        <w:rPr>
          <w:sz w:val="22"/>
        </w:rPr>
      </w:pPr>
      <w:r>
        <w:rPr>
          <w:sz w:val="22"/>
        </w:rPr>
        <w:t>Las EIA efectuadas suelen consistir en una suma de evaluaciones sectoriales, en lugar de en una sola de carácter integral  (Clavero,  2001;  Servet  y Martínez Azarola, 2002). En buena medida, este problema se  debe  a  la  escasa calidad técnica de muchas de las evaluaciones, y no sólo a una inadecuada comprensión de su función, </w:t>
      </w:r>
      <w:r>
        <w:rPr>
          <w:spacing w:val="28"/>
          <w:sz w:val="22"/>
        </w:rPr>
        <w:t> </w:t>
      </w:r>
      <w:r>
        <w:rPr>
          <w:sz w:val="22"/>
        </w:rPr>
        <w:t>y</w:t>
      </w:r>
    </w:p>
    <w:p>
      <w:pPr>
        <w:pStyle w:val="BodyText"/>
        <w:spacing w:before="5"/>
        <w:rPr>
          <w:sz w:val="23"/>
        </w:rPr>
      </w:pPr>
    </w:p>
    <w:p>
      <w:pPr>
        <w:pStyle w:val="ListParagraph"/>
        <w:numPr>
          <w:ilvl w:val="0"/>
          <w:numId w:val="6"/>
        </w:numPr>
        <w:tabs>
          <w:tab w:pos="1400" w:val="left" w:leader="none"/>
        </w:tabs>
        <w:spacing w:line="249" w:lineRule="auto" w:before="0" w:after="0"/>
        <w:ind w:left="1400" w:right="446" w:hanging="330"/>
        <w:jc w:val="both"/>
        <w:rPr>
          <w:sz w:val="22"/>
        </w:rPr>
      </w:pPr>
      <w:r>
        <w:rPr>
          <w:sz w:val="22"/>
        </w:rPr>
        <w:t>La aplicación de la EIA al planeamiento urbanístico viene siendo escasa,  salvo casos excepcionales (Andalucía, en virtud de su Ley de Protección Ambiental).</w:t>
      </w:r>
    </w:p>
    <w:p>
      <w:pPr>
        <w:pStyle w:val="BodyText"/>
        <w:spacing w:before="5"/>
        <w:rPr>
          <w:sz w:val="21"/>
        </w:rPr>
      </w:pPr>
    </w:p>
    <w:p>
      <w:pPr>
        <w:pStyle w:val="BodyText"/>
        <w:spacing w:line="247" w:lineRule="auto"/>
        <w:ind w:left="395" w:right="423"/>
        <w:jc w:val="both"/>
      </w:pPr>
      <w:r>
        <w:rPr/>
        <w:t>Se evidencia, pues, la necesidad de que la Evaluación sea completamente independiente del equipo redactor del proyecto evaluado, y que  la  consideración de sus contenidos  tenga lugar previamente a la elección de la alternativa definitiva, y precisamente para llevarla a</w:t>
      </w:r>
      <w:r>
        <w:rPr>
          <w:spacing w:val="3"/>
        </w:rPr>
        <w:t> </w:t>
      </w:r>
      <w:r>
        <w:rPr/>
        <w:t>cabo.</w:t>
      </w:r>
    </w:p>
    <w:p>
      <w:pPr>
        <w:pStyle w:val="BodyText"/>
        <w:spacing w:before="3"/>
        <w:rPr>
          <w:sz w:val="15"/>
        </w:rPr>
      </w:pPr>
      <w:r>
        <w:rPr/>
        <w:pict>
          <v:line style="position:absolute;mso-position-horizontal-relative:page;mso-position-vertical-relative:paragraph;z-index:1504;mso-wrap-distance-left:0;mso-wrap-distance-right:0" from="105.75pt,11.130157pt" to="240.75pt,11.130157pt" stroked="true" strokeweight=".75pt" strokecolor="#000000">
            <w10:wrap type="topAndBottom"/>
          </v:line>
        </w:pict>
      </w:r>
    </w:p>
    <w:p>
      <w:pPr>
        <w:spacing w:line="215" w:lineRule="exact" w:before="44"/>
        <w:ind w:left="1070" w:right="771" w:firstLine="0"/>
        <w:jc w:val="left"/>
        <w:rPr>
          <w:sz w:val="18"/>
        </w:rPr>
      </w:pPr>
      <w:r>
        <w:rPr>
          <w:w w:val="105"/>
          <w:position w:val="7"/>
          <w:sz w:val="12"/>
        </w:rPr>
        <w:t>11 </w:t>
      </w:r>
      <w:hyperlink r:id="rId9">
        <w:r>
          <w:rPr>
            <w:color w:val="0000FF"/>
            <w:w w:val="105"/>
            <w:sz w:val="18"/>
            <w:u w:val="single" w:color="0000FF"/>
          </w:rPr>
          <w:t>www.ava.es</w:t>
        </w:r>
        <w:r>
          <w:rPr>
            <w:w w:val="105"/>
            <w:sz w:val="18"/>
          </w:rPr>
          <w:t>.</w:t>
        </w:r>
      </w:hyperlink>
    </w:p>
    <w:p>
      <w:pPr>
        <w:spacing w:line="215" w:lineRule="exact" w:before="0"/>
        <w:ind w:left="1070" w:right="771" w:firstLine="0"/>
        <w:jc w:val="left"/>
        <w:rPr>
          <w:sz w:val="18"/>
        </w:rPr>
      </w:pPr>
      <w:r>
        <w:rPr>
          <w:position w:val="7"/>
          <w:sz w:val="12"/>
        </w:rPr>
        <w:t>12   </w:t>
      </w:r>
      <w:r>
        <w:rPr>
          <w:sz w:val="18"/>
        </w:rPr>
        <w:t>Federación Española de Municipios y Provincias (FEMP):    </w:t>
      </w:r>
      <w:hyperlink r:id="rId10">
        <w:r>
          <w:rPr>
            <w:color w:val="0000FF"/>
            <w:sz w:val="18"/>
            <w:u w:val="single" w:color="0000FF"/>
          </w:rPr>
          <w:t>www.femp.es</w:t>
        </w:r>
        <w:r>
          <w:rPr>
            <w:sz w:val="18"/>
          </w:rPr>
          <w:t>.</w:t>
        </w:r>
      </w:hyperlink>
    </w:p>
    <w:p>
      <w:pPr>
        <w:spacing w:before="4"/>
        <w:ind w:left="1070" w:right="771" w:firstLine="0"/>
        <w:jc w:val="left"/>
        <w:rPr>
          <w:sz w:val="18"/>
        </w:rPr>
      </w:pPr>
      <w:r>
        <w:rPr>
          <w:position w:val="7"/>
          <w:sz w:val="12"/>
        </w:rPr>
        <w:t>13  </w:t>
      </w:r>
      <w:r>
        <w:rPr>
          <w:sz w:val="18"/>
        </w:rPr>
        <w:t>Directiva 85/337/CEE. Acerca de su aplicación, vid. Gómez Orea (1992).</w:t>
      </w:r>
    </w:p>
    <w:p>
      <w:pPr>
        <w:spacing w:after="0"/>
        <w:jc w:val="left"/>
        <w:rPr>
          <w:sz w:val="18"/>
        </w:rPr>
        <w:sectPr>
          <w:pgSz w:w="12240" w:h="15840"/>
          <w:pgMar w:top="1280" w:bottom="280" w:left="1720" w:right="1720"/>
        </w:sectPr>
      </w:pPr>
    </w:p>
    <w:p>
      <w:pPr>
        <w:pStyle w:val="BodyText"/>
        <w:spacing w:line="242" w:lineRule="auto" w:before="109"/>
        <w:ind w:left="395" w:right="433"/>
        <w:jc w:val="both"/>
      </w:pPr>
      <w:r>
        <w:rPr/>
        <w:t>La resistencia de las Administraciones local y sectorial, así como  de  </w:t>
      </w:r>
      <w:r>
        <w:rPr>
          <w:spacing w:val="-2"/>
        </w:rPr>
        <w:t>determinados  </w:t>
      </w:r>
      <w:r>
        <w:rPr/>
        <w:t>grupos inversores, a las determinaciones contenidas en los planes de ordenación, exigen   la adopción de medidas para garantizar su cumplimiento. Se trata de un campo muy desarrollado en Alemania (Scheid, 1996), una de cuyas herramientas de más éxito es la Evaluación de Impacto Territorial </w:t>
      </w:r>
      <w:r>
        <w:rPr>
          <w:spacing w:val="25"/>
        </w:rPr>
        <w:t> </w:t>
      </w:r>
      <w:r>
        <w:rPr>
          <w:spacing w:val="-6"/>
        </w:rPr>
        <w:t>(EIT).</w:t>
      </w:r>
    </w:p>
    <w:p>
      <w:pPr>
        <w:pStyle w:val="BodyText"/>
        <w:spacing w:before="5"/>
        <w:rPr>
          <w:sz w:val="23"/>
        </w:rPr>
      </w:pPr>
    </w:p>
    <w:p>
      <w:pPr>
        <w:pStyle w:val="BodyText"/>
        <w:spacing w:line="244" w:lineRule="auto"/>
        <w:ind w:left="395" w:right="418"/>
        <w:jc w:val="both"/>
      </w:pPr>
      <w:r>
        <w:rPr/>
        <w:t>La función de la EIT es garantizar la coherencia de las políticas sectoriales -entre sí y    con la ordenación integral del territorio - y la salvaguarda del principio de sostenibilidad ambiental, sin olvidar su equilibrio con las facetas económica y </w:t>
      </w:r>
      <w:r>
        <w:rPr>
          <w:spacing w:val="-8"/>
        </w:rPr>
        <w:t>social. </w:t>
      </w:r>
      <w:r>
        <w:rPr/>
        <w:t>Se aplica a proyectos de infraestructuras de transporte y comunicaciones, hidráulicas, actividades productivas y desarrollos urbanísticos, así como también a actuaciones de protección y mejora ambientales. De ellas se analizan sus efectos </w:t>
      </w:r>
      <w:r>
        <w:rPr>
          <w:spacing w:val="7"/>
        </w:rPr>
        <w:t>-o </w:t>
      </w:r>
      <w:r>
        <w:rPr>
          <w:spacing w:val="-7"/>
        </w:rPr>
        <w:t>impacto s- </w:t>
      </w:r>
      <w:r>
        <w:rPr/>
        <w:t>económicos, sociales, ambientales y sobre la estructura del territorio, determinándose la alternativa en función  de la evaluación de dichos efectos, y estableciéndose, finalmente, las  medidas preventivas, de acompañamiento y de </w:t>
      </w:r>
      <w:r>
        <w:rPr>
          <w:spacing w:val="23"/>
        </w:rPr>
        <w:t> </w:t>
      </w:r>
      <w:r>
        <w:rPr/>
        <w:t>seguimiento.</w:t>
      </w:r>
    </w:p>
    <w:p>
      <w:pPr>
        <w:pStyle w:val="BodyText"/>
        <w:spacing w:before="10"/>
        <w:rPr>
          <w:sz w:val="21"/>
        </w:rPr>
      </w:pPr>
    </w:p>
    <w:p>
      <w:pPr>
        <w:pStyle w:val="BodyText"/>
        <w:spacing w:line="249" w:lineRule="auto"/>
        <w:ind w:left="395" w:right="423"/>
        <w:jc w:val="both"/>
      </w:pPr>
      <w:r>
        <w:rPr/>
        <w:t>La aplicación de esta herramienta choca, sin embargo, con el problema de su propia inmadurez científico-técnica y de la falta de una base metodológica unánimemente aceptada. Es por ello que su aplicación, hasta el momento, ha sido escasa, en marcos informales, con carácter piloto - lo que, en compensación, permite desarrollos experimentales y abiertos-  y preferentemente sobre actuaciones de carácter   público.</w:t>
      </w:r>
    </w:p>
    <w:p>
      <w:pPr>
        <w:pStyle w:val="BodyText"/>
        <w:spacing w:before="6"/>
        <w:rPr>
          <w:sz w:val="21"/>
        </w:rPr>
      </w:pPr>
    </w:p>
    <w:p>
      <w:pPr>
        <w:pStyle w:val="BodyText"/>
        <w:spacing w:line="256" w:lineRule="exact"/>
        <w:ind w:left="395" w:right="423"/>
        <w:jc w:val="both"/>
      </w:pPr>
      <w:r>
        <w:rPr/>
        <w:t>La EIT es una herramienta diseñada para su aplicación a proyectos concretos, mostrándose ineficaz cuando se </w:t>
      </w:r>
      <w:r>
        <w:rPr>
          <w:spacing w:val="-5"/>
        </w:rPr>
        <w:t>aplica </w:t>
      </w:r>
      <w:r>
        <w:rPr/>
        <w:t>a </w:t>
      </w:r>
      <w:r>
        <w:rPr>
          <w:spacing w:val="-4"/>
        </w:rPr>
        <w:t>planes </w:t>
      </w:r>
      <w:r>
        <w:rPr/>
        <w:t>y </w:t>
      </w:r>
      <w:r>
        <w:rPr>
          <w:spacing w:val="-4"/>
        </w:rPr>
        <w:t>programas, </w:t>
      </w:r>
      <w:r>
        <w:rPr/>
        <w:t>lo </w:t>
      </w:r>
      <w:r>
        <w:rPr>
          <w:spacing w:val="-3"/>
        </w:rPr>
        <w:t>que </w:t>
      </w:r>
      <w:r>
        <w:rPr/>
        <w:t>ha  </w:t>
      </w:r>
      <w:r>
        <w:rPr>
          <w:spacing w:val="-4"/>
        </w:rPr>
        <w:t>llevado  al  </w:t>
      </w:r>
      <w:r>
        <w:rPr/>
        <w:t>desarrollo  de  la  Evaluación  Ambiental  Estratégica</w:t>
      </w:r>
      <w:r>
        <w:rPr>
          <w:spacing w:val="13"/>
        </w:rPr>
        <w:t> </w:t>
      </w:r>
      <w:r>
        <w:rPr>
          <w:spacing w:val="-4"/>
        </w:rPr>
        <w:t>(EAE)</w:t>
      </w:r>
      <w:r>
        <w:rPr>
          <w:spacing w:val="-4"/>
          <w:position w:val="10"/>
          <w:sz w:val="15"/>
        </w:rPr>
        <w:t>14</w:t>
      </w:r>
      <w:r>
        <w:rPr>
          <w:spacing w:val="-4"/>
        </w:rPr>
        <w:t>, </w:t>
      </w:r>
      <w:r>
        <w:rPr/>
        <w:t>que debe ser incorporada a</w:t>
      </w:r>
    </w:p>
    <w:p>
      <w:pPr>
        <w:pStyle w:val="BodyText"/>
        <w:spacing w:before="13"/>
        <w:ind w:left="395"/>
        <w:jc w:val="both"/>
      </w:pPr>
      <w:r>
        <w:rPr/>
        <w:t>las legislaciones nacionales antes de julio de</w:t>
      </w:r>
      <w:r>
        <w:rPr>
          <w:spacing w:val="52"/>
        </w:rPr>
        <w:t> </w:t>
      </w:r>
      <w:r>
        <w:rPr/>
        <w:t>2004.</w:t>
      </w:r>
    </w:p>
    <w:p>
      <w:pPr>
        <w:pStyle w:val="BodyText"/>
        <w:rPr>
          <w:sz w:val="24"/>
        </w:rPr>
      </w:pPr>
    </w:p>
    <w:p>
      <w:pPr>
        <w:pStyle w:val="BodyText"/>
        <w:spacing w:line="235" w:lineRule="auto"/>
        <w:ind w:left="395" w:right="430"/>
        <w:jc w:val="both"/>
      </w:pPr>
      <w:r>
        <w:rPr/>
        <w:t>Cualquiera de las tres herramientas señaladas se constituye en mucho más relevante aún cuando se aplica en Estados cuya formalización legislativa y posterior aplicación del sistema de planeamiento no está aún completada.</w:t>
      </w:r>
    </w:p>
    <w:p>
      <w:pPr>
        <w:pStyle w:val="BodyText"/>
        <w:spacing w:before="8"/>
        <w:rPr>
          <w:sz w:val="23"/>
        </w:rPr>
      </w:pPr>
    </w:p>
    <w:p>
      <w:pPr>
        <w:pStyle w:val="BodyText"/>
        <w:spacing w:line="244" w:lineRule="auto"/>
        <w:ind w:left="395" w:right="423"/>
        <w:jc w:val="both"/>
      </w:pPr>
      <w:r>
        <w:rPr/>
        <w:t>Aunque el planeamiento transfronterizo está aún completamente por  explotar  en  el  plano normativo, en </w:t>
      </w:r>
      <w:r>
        <w:rPr>
          <w:spacing w:val="-22"/>
        </w:rPr>
        <w:t>el</w:t>
      </w:r>
      <w:r>
        <w:rPr>
          <w:spacing w:val="11"/>
        </w:rPr>
        <w:t> </w:t>
      </w:r>
      <w:r>
        <w:rPr/>
        <w:t>ámbito de la UE se han dado ya algunos pasos previos de relevancia, articulados en torno a la iniciativa INTERREG. INTERREG se orienta al fomento de la cooperación transfronteriza y transnacional, cuya gestión independiente     no resulta coherente ni con el </w:t>
      </w:r>
      <w:r>
        <w:rPr>
          <w:spacing w:val="-3"/>
        </w:rPr>
        <w:t>marco comunitario </w:t>
      </w:r>
      <w:r>
        <w:rPr/>
        <w:t>ni </w:t>
      </w:r>
      <w:r>
        <w:rPr>
          <w:spacing w:val="-3"/>
        </w:rPr>
        <w:t>–en </w:t>
      </w:r>
      <w:r>
        <w:rPr/>
        <w:t>el caso de ecosistemas interfronterizos de alto valor ecológico- con los principios básicos de gestión  </w:t>
      </w:r>
      <w:r>
        <w:rPr>
          <w:spacing w:val="24"/>
        </w:rPr>
        <w:t> </w:t>
      </w:r>
      <w:r>
        <w:rPr/>
        <w:t>ambiental.</w:t>
      </w:r>
    </w:p>
    <w:p>
      <w:pPr>
        <w:pStyle w:val="BodyText"/>
        <w:spacing w:before="2"/>
        <w:rPr>
          <w:sz w:val="23"/>
        </w:rPr>
      </w:pPr>
    </w:p>
    <w:p>
      <w:pPr>
        <w:pStyle w:val="BodyText"/>
        <w:spacing w:line="244" w:lineRule="auto"/>
        <w:ind w:left="395" w:right="505"/>
      </w:pPr>
      <w:r>
        <w:rPr/>
        <w:t>INTERREG II </w:t>
      </w:r>
      <w:r>
        <w:rPr>
          <w:spacing w:val="2"/>
        </w:rPr>
        <w:t>(1994-99) </w:t>
      </w:r>
      <w:r>
        <w:rPr/>
        <w:t>recibió del Fondo Europeo de Desarrollo Regional (FEDER), que es su única fuente de </w:t>
      </w:r>
      <w:r>
        <w:rPr>
          <w:spacing w:val="-3"/>
        </w:rPr>
        <w:t>financiación, más </w:t>
      </w:r>
      <w:r>
        <w:rPr/>
        <w:t>de </w:t>
      </w:r>
      <w:r>
        <w:rPr>
          <w:spacing w:val="-4"/>
        </w:rPr>
        <w:t>3.500 millone </w:t>
      </w:r>
      <w:r>
        <w:rPr/>
        <w:t>s €, cantidad elevada a más   de 4.800 en INTERREG III (2000-2006). Se prevé que esta iniciativa no sólo se  mantenga, sino que aumente su importancia, pues con las próximas ampliaciones de la Unión se incrementará la longitud de las fronteras nacionales  </w:t>
      </w:r>
      <w:r>
        <w:rPr>
          <w:spacing w:val="20"/>
        </w:rPr>
        <w:t> </w:t>
      </w:r>
      <w:r>
        <w:rPr/>
        <w:t>internas.</w:t>
      </w:r>
    </w:p>
    <w:p>
      <w:pPr>
        <w:pStyle w:val="BodyText"/>
        <w:spacing w:before="10"/>
        <w:rPr>
          <w:sz w:val="21"/>
        </w:rPr>
      </w:pPr>
    </w:p>
    <w:p>
      <w:pPr>
        <w:pStyle w:val="BodyText"/>
        <w:spacing w:line="256" w:lineRule="auto"/>
        <w:ind w:left="395" w:right="423"/>
        <w:jc w:val="both"/>
      </w:pPr>
      <w:r>
        <w:rPr/>
        <w:t>INTERREG II favoreció que las autoridades de zonas beneficiadas  adquiriesen experiencia   en   cooperación   transfronteriza.   Como   principal   defecto   a   evitar    en</w:t>
      </w:r>
    </w:p>
    <w:p>
      <w:pPr>
        <w:pStyle w:val="BodyText"/>
        <w:rPr>
          <w:sz w:val="20"/>
        </w:rPr>
      </w:pPr>
    </w:p>
    <w:p>
      <w:pPr>
        <w:pStyle w:val="BodyText"/>
        <w:spacing w:before="8"/>
        <w:rPr>
          <w:sz w:val="12"/>
        </w:rPr>
      </w:pPr>
      <w:r>
        <w:rPr/>
        <w:pict>
          <v:line style="position:absolute;mso-position-horizontal-relative:page;mso-position-vertical-relative:paragraph;z-index:1528;mso-wrap-distance-left:0;mso-wrap-distance-right:0" from="105.75pt,9.643867pt" to="240.75pt,9.643867pt" stroked="true" strokeweight=".75pt" strokecolor="#000000">
            <w10:wrap type="topAndBottom"/>
          </v:line>
        </w:pict>
      </w:r>
    </w:p>
    <w:p>
      <w:pPr>
        <w:spacing w:line="261" w:lineRule="auto" w:before="44"/>
        <w:ind w:left="395" w:right="771" w:firstLine="675"/>
        <w:jc w:val="left"/>
        <w:rPr>
          <w:i/>
          <w:sz w:val="18"/>
        </w:rPr>
      </w:pPr>
      <w:r>
        <w:rPr>
          <w:position w:val="7"/>
          <w:sz w:val="12"/>
        </w:rPr>
        <w:t>14 </w:t>
      </w:r>
      <w:r>
        <w:rPr>
          <w:i/>
          <w:sz w:val="18"/>
        </w:rPr>
        <w:t>Directiva 2001/42/CE relativa a los efectos de determinados planes y programas en el medio </w:t>
      </w:r>
      <w:r>
        <w:rPr>
          <w:i/>
          <w:sz w:val="18"/>
        </w:rPr>
        <w:t>ambiente</w:t>
      </w:r>
    </w:p>
    <w:p>
      <w:pPr>
        <w:spacing w:after="0" w:line="261" w:lineRule="auto"/>
        <w:jc w:val="left"/>
        <w:rPr>
          <w:sz w:val="18"/>
        </w:rPr>
        <w:sectPr>
          <w:pgSz w:w="12240" w:h="15840"/>
          <w:pgMar w:top="1500" w:bottom="280" w:left="1720" w:right="1720"/>
        </w:sectPr>
      </w:pPr>
    </w:p>
    <w:p>
      <w:pPr>
        <w:pStyle w:val="BodyText"/>
        <w:spacing w:line="256" w:lineRule="auto" w:before="59"/>
        <w:ind w:left="395" w:right="422"/>
        <w:jc w:val="both"/>
      </w:pPr>
      <w:r>
        <w:rPr/>
        <w:t>actuaciones posteriores, evidenció el desarrollo ocasional de  proyectos  paralelos  a  </w:t>
      </w:r>
      <w:r>
        <w:rPr>
          <w:spacing w:val="-4"/>
        </w:rPr>
        <w:t>ambos  lado </w:t>
      </w:r>
      <w:r>
        <w:rPr/>
        <w:t>s de las </w:t>
      </w:r>
      <w:r>
        <w:rPr>
          <w:spacing w:val="-3"/>
        </w:rPr>
        <w:t>fronteras</w:t>
      </w:r>
      <w:r>
        <w:rPr>
          <w:spacing w:val="31"/>
        </w:rPr>
        <w:t> </w:t>
      </w:r>
      <w:r>
        <w:rPr>
          <w:spacing w:val="-3"/>
        </w:rPr>
        <w:t>afectadas.</w:t>
      </w:r>
    </w:p>
    <w:p>
      <w:pPr>
        <w:pStyle w:val="BodyText"/>
        <w:spacing w:before="10"/>
        <w:rPr>
          <w:sz w:val="20"/>
        </w:rPr>
      </w:pPr>
    </w:p>
    <w:p>
      <w:pPr>
        <w:pStyle w:val="BodyText"/>
        <w:spacing w:line="247" w:lineRule="auto"/>
        <w:ind w:left="395" w:right="419"/>
        <w:jc w:val="both"/>
      </w:pPr>
      <w:r>
        <w:rPr/>
        <w:t>Por su parte, INTERREG III se estructuró en tres capítulos. De ellos, los mejor dotados económicamente fueron el A (cooperación entre regiones fronterizas) y  el  B  </w:t>
      </w:r>
      <w:r>
        <w:rPr>
          <w:spacing w:val="-3"/>
        </w:rPr>
        <w:t>(cooperación transnacional </w:t>
      </w:r>
      <w:r>
        <w:rPr/>
        <w:t>a </w:t>
      </w:r>
      <w:r>
        <w:rPr>
          <w:spacing w:val="-3"/>
        </w:rPr>
        <w:t>escala </w:t>
      </w:r>
      <w:r>
        <w:rPr/>
        <w:t>de </w:t>
      </w:r>
      <w:r>
        <w:rPr>
          <w:spacing w:val="-3"/>
        </w:rPr>
        <w:t>toda </w:t>
      </w:r>
      <w:r>
        <w:rPr/>
        <w:t>la UE,  no  </w:t>
      </w:r>
      <w:r>
        <w:rPr>
          <w:spacing w:val="-3"/>
        </w:rPr>
        <w:t>solamente  </w:t>
      </w:r>
      <w:r>
        <w:rPr/>
        <w:t>entre  regiones limítrofes). Dentro del capítulo A se incluyó como temas prioritarios cuestiones como el desarrollo urbano, rural y costero, la protección ambiental –eficiencia energética y fomento del uso de energías renovables, planificación y gestión de espacios fronterizos incluidos en la Red Natura 2000, expansión de las superficies forestales arboladas, protección del medio ambiente costero compatibilizándolo con el desarrollo de  un  turismo de </w:t>
      </w:r>
      <w:r>
        <w:rPr>
          <w:spacing w:val="-3"/>
        </w:rPr>
        <w:t>calidad-  </w:t>
      </w:r>
      <w:r>
        <w:rPr/>
        <w:t>y la mejora de </w:t>
      </w:r>
      <w:r>
        <w:rPr>
          <w:spacing w:val="-3"/>
        </w:rPr>
        <w:t>redes  </w:t>
      </w:r>
      <w:r>
        <w:rPr/>
        <w:t>y </w:t>
      </w:r>
      <w:r>
        <w:rPr>
          <w:spacing w:val="-3"/>
        </w:rPr>
        <w:t>servicios  </w:t>
      </w:r>
      <w:r>
        <w:rPr/>
        <w:t>de transporte ytelecomunicaciones   de manera compatible con la protección ambiental, fomentando modos de transporte sostenibles.</w:t>
      </w:r>
    </w:p>
    <w:p>
      <w:pPr>
        <w:pStyle w:val="BodyText"/>
        <w:spacing w:before="8"/>
        <w:rPr>
          <w:sz w:val="21"/>
        </w:rPr>
      </w:pPr>
    </w:p>
    <w:p>
      <w:pPr>
        <w:pStyle w:val="BodyText"/>
        <w:spacing w:line="244" w:lineRule="auto"/>
        <w:ind w:left="395" w:right="418"/>
        <w:jc w:val="both"/>
      </w:pPr>
      <w:r>
        <w:rPr/>
        <w:t>Como temas prioritarios más sobresalientes del capítulo B (cooperación transnacional, especialmente entre regiones con desventajas comunes, como pueden ser  las  de  montaña) estuvieron todos los relacionados con la promoción del medio  ambiente  natural, en particular, los recursos hídricos y el fomento de sistemas de transporte </w:t>
      </w:r>
      <w:r>
        <w:rPr>
          <w:spacing w:val="-3"/>
        </w:rPr>
        <w:t>eficientes </w:t>
      </w:r>
      <w:r>
        <w:rPr/>
        <w:t>y </w:t>
      </w:r>
      <w:r>
        <w:rPr>
          <w:spacing w:val="-3"/>
        </w:rPr>
        <w:t>sostenibles, </w:t>
      </w:r>
      <w:r>
        <w:rPr/>
        <w:t>y la </w:t>
      </w:r>
      <w:r>
        <w:rPr>
          <w:spacing w:val="-3"/>
        </w:rPr>
        <w:t>conservación </w:t>
      </w:r>
      <w:r>
        <w:rPr/>
        <w:t>y </w:t>
      </w:r>
      <w:r>
        <w:rPr>
          <w:spacing w:val="-3"/>
        </w:rPr>
        <w:t>promoción </w:t>
      </w:r>
      <w:r>
        <w:rPr/>
        <w:t>del </w:t>
      </w:r>
      <w:r>
        <w:rPr>
          <w:spacing w:val="-3"/>
        </w:rPr>
        <w:t>medio </w:t>
      </w:r>
      <w:r>
        <w:rPr/>
        <w:t>amb </w:t>
      </w:r>
      <w:r>
        <w:rPr>
          <w:spacing w:val="-4"/>
        </w:rPr>
        <w:t>iente natural </w:t>
      </w:r>
      <w:r>
        <w:rPr/>
        <w:t>–en particular, de los recursos hídricos- y </w:t>
      </w:r>
      <w:r>
        <w:rPr>
          <w:spacing w:val="19"/>
        </w:rPr>
        <w:t> </w:t>
      </w:r>
      <w:r>
        <w:rPr>
          <w:spacing w:val="-4"/>
        </w:rPr>
        <w:t>cultural.</w:t>
      </w:r>
    </w:p>
    <w:p>
      <w:pPr>
        <w:pStyle w:val="BodyText"/>
        <w:spacing w:before="10"/>
        <w:rPr>
          <w:sz w:val="21"/>
        </w:rPr>
      </w:pPr>
    </w:p>
    <w:p>
      <w:pPr>
        <w:pStyle w:val="BodyText"/>
        <w:spacing w:line="247" w:lineRule="auto"/>
        <w:ind w:left="395" w:right="423"/>
        <w:jc w:val="both"/>
      </w:pPr>
      <w:r>
        <w:rPr/>
        <w:t>Dentro del campo de la cooperación transfronteriza, la integración de las cuestiones ambientales y culturales se ha convertido en objeto preferente, si bien aún no se han articulado los </w:t>
      </w:r>
      <w:r>
        <w:rPr>
          <w:spacing w:val="-5"/>
        </w:rPr>
        <w:t>canales </w:t>
      </w:r>
      <w:r>
        <w:rPr/>
        <w:t>necesarios para dicha cooperación sectorial. Hay que recordar la gran calidad ambiental –paisajes naturales, predominio  de  usos  rurales  (forestal, agrícola, ganadero), y presencia de patrimonio  histórico  (fortalezas)-  </w:t>
      </w:r>
      <w:r>
        <w:rPr>
          <w:spacing w:val="-3"/>
        </w:rPr>
        <w:t>que  </w:t>
      </w:r>
      <w:r>
        <w:rPr>
          <w:spacing w:val="-4"/>
        </w:rPr>
        <w:t>suelen </w:t>
      </w:r>
      <w:r>
        <w:rPr/>
        <w:t>conservar  los  </w:t>
      </w:r>
      <w:r>
        <w:rPr>
          <w:spacing w:val="-5"/>
        </w:rPr>
        <w:t>espacios  </w:t>
      </w:r>
      <w:r>
        <w:rPr/>
        <w:t>fronterizos, gracias</w:t>
      </w:r>
      <w:r>
        <w:rPr>
          <w:spacing w:val="-4"/>
        </w:rPr>
        <w:t> </w:t>
      </w:r>
      <w:r>
        <w:rPr/>
        <w:t>a:</w:t>
      </w:r>
    </w:p>
    <w:p>
      <w:pPr>
        <w:pStyle w:val="BodyText"/>
        <w:spacing w:before="8"/>
        <w:rPr>
          <w:sz w:val="21"/>
        </w:rPr>
      </w:pPr>
    </w:p>
    <w:p>
      <w:pPr>
        <w:pStyle w:val="ListParagraph"/>
        <w:numPr>
          <w:ilvl w:val="0"/>
          <w:numId w:val="7"/>
        </w:numPr>
        <w:tabs>
          <w:tab w:pos="2075" w:val="left" w:leader="none"/>
        </w:tabs>
        <w:spacing w:line="249" w:lineRule="auto" w:before="0" w:after="0"/>
        <w:ind w:left="2075" w:right="423" w:hanging="330"/>
        <w:jc w:val="both"/>
        <w:rPr>
          <w:sz w:val="22"/>
        </w:rPr>
      </w:pPr>
      <w:r>
        <w:rPr>
          <w:sz w:val="22"/>
        </w:rPr>
        <w:t>Apoyarse en elementos muy significativos desde el punto de vista de   la biodiversidad, como cursos fluviales </w:t>
      </w:r>
      <w:r>
        <w:rPr>
          <w:spacing w:val="-4"/>
          <w:sz w:val="22"/>
        </w:rPr>
        <w:t>–a </w:t>
      </w:r>
      <w:r>
        <w:rPr>
          <w:sz w:val="22"/>
        </w:rPr>
        <w:t>menudo de difícil accesibilidad- o cadenas</w:t>
      </w:r>
      <w:r>
        <w:rPr>
          <w:spacing w:val="36"/>
          <w:sz w:val="22"/>
        </w:rPr>
        <w:t> </w:t>
      </w:r>
      <w:r>
        <w:rPr>
          <w:sz w:val="22"/>
        </w:rPr>
        <w:t>montañosas,</w:t>
      </w:r>
    </w:p>
    <w:p>
      <w:pPr>
        <w:pStyle w:val="BodyText"/>
        <w:spacing w:before="9"/>
      </w:pPr>
    </w:p>
    <w:p>
      <w:pPr>
        <w:pStyle w:val="ListParagraph"/>
        <w:numPr>
          <w:ilvl w:val="0"/>
          <w:numId w:val="7"/>
        </w:numPr>
        <w:tabs>
          <w:tab w:pos="2075" w:val="left" w:leader="none"/>
        </w:tabs>
        <w:spacing w:line="242" w:lineRule="auto" w:before="0" w:after="0"/>
        <w:ind w:left="2075" w:right="422" w:hanging="330"/>
        <w:jc w:val="both"/>
        <w:rPr>
          <w:sz w:val="22"/>
        </w:rPr>
      </w:pPr>
      <w:r>
        <w:rPr>
          <w:sz w:val="22"/>
        </w:rPr>
        <w:t>Su carácter de </w:t>
      </w:r>
      <w:r>
        <w:rPr>
          <w:i/>
          <w:sz w:val="22"/>
        </w:rPr>
        <w:t>fondo de saco </w:t>
      </w:r>
      <w:r>
        <w:rPr>
          <w:sz w:val="22"/>
        </w:rPr>
        <w:t>desde el punto de vista de la actividad económica y de las infraestructuras viarias, </w:t>
      </w:r>
      <w:r>
        <w:rPr>
          <w:spacing w:val="39"/>
          <w:sz w:val="22"/>
        </w:rPr>
        <w:t> </w:t>
      </w:r>
      <w:r>
        <w:rPr>
          <w:sz w:val="22"/>
        </w:rPr>
        <w:t>y</w:t>
      </w:r>
    </w:p>
    <w:p>
      <w:pPr>
        <w:pStyle w:val="BodyText"/>
        <w:spacing w:before="1"/>
      </w:pPr>
    </w:p>
    <w:p>
      <w:pPr>
        <w:pStyle w:val="ListParagraph"/>
        <w:numPr>
          <w:ilvl w:val="0"/>
          <w:numId w:val="7"/>
        </w:numPr>
        <w:tabs>
          <w:tab w:pos="2074" w:val="left" w:leader="none"/>
          <w:tab w:pos="2075" w:val="left" w:leader="none"/>
        </w:tabs>
        <w:spacing w:line="240" w:lineRule="auto" w:before="0" w:after="0"/>
        <w:ind w:left="2075" w:right="0" w:hanging="330"/>
        <w:jc w:val="left"/>
        <w:rPr>
          <w:sz w:val="22"/>
        </w:rPr>
      </w:pPr>
      <w:r>
        <w:rPr>
          <w:sz w:val="22"/>
        </w:rPr>
        <w:t>Razones de defensa</w:t>
      </w:r>
      <w:r>
        <w:rPr>
          <w:spacing w:val="27"/>
          <w:sz w:val="22"/>
        </w:rPr>
        <w:t> </w:t>
      </w:r>
      <w:r>
        <w:rPr>
          <w:sz w:val="22"/>
        </w:rPr>
        <w:t>militar.</w:t>
      </w:r>
    </w:p>
    <w:p>
      <w:pPr>
        <w:pStyle w:val="BodyText"/>
        <w:spacing w:before="7"/>
        <w:rPr>
          <w:sz w:val="23"/>
        </w:rPr>
      </w:pPr>
    </w:p>
    <w:p>
      <w:pPr>
        <w:pStyle w:val="BodyText"/>
        <w:spacing w:line="247" w:lineRule="auto"/>
        <w:ind w:left="395" w:right="472"/>
      </w:pPr>
      <w:r>
        <w:rPr/>
        <w:t>Algunos de los proyectos desarrollados en el marco de INTERREG, como, por ejemplo,  el Douro-Duero, consisten en la elaboración conjunta de un Programa de  </w:t>
      </w:r>
      <w:r>
        <w:rPr>
          <w:spacing w:val="-2"/>
        </w:rPr>
        <w:t>Acción</w:t>
      </w:r>
      <w:r>
        <w:rPr>
          <w:spacing w:val="51"/>
        </w:rPr>
        <w:t> </w:t>
      </w:r>
      <w:r>
        <w:rPr>
          <w:spacing w:val="-4"/>
        </w:rPr>
        <w:t>Territoria </w:t>
      </w:r>
      <w:r>
        <w:rPr/>
        <w:t>l </w:t>
      </w:r>
      <w:r>
        <w:rPr>
          <w:spacing w:val="-3"/>
        </w:rPr>
        <w:t>que, aunque </w:t>
      </w:r>
      <w:r>
        <w:rPr/>
        <w:t>aún no </w:t>
      </w:r>
      <w:r>
        <w:rPr>
          <w:spacing w:val="-3"/>
        </w:rPr>
        <w:t>vinculante, puede servir </w:t>
      </w:r>
      <w:r>
        <w:rPr/>
        <w:t>de  </w:t>
      </w:r>
      <w:r>
        <w:rPr>
          <w:spacing w:val="-3"/>
        </w:rPr>
        <w:t>base  para  </w:t>
      </w:r>
      <w:r>
        <w:rPr/>
        <w:t>la  </w:t>
      </w:r>
      <w:r>
        <w:rPr>
          <w:spacing w:val="-3"/>
        </w:rPr>
        <w:t>posterior </w:t>
      </w:r>
      <w:r>
        <w:rPr/>
        <w:t>ordenación conjunta del territorio. Estas experiencias futuras habrán de aplicarse a  ámbitos no demasiado grandes </w:t>
      </w:r>
      <w:r>
        <w:rPr>
          <w:spacing w:val="-3"/>
        </w:rPr>
        <w:t>–entre </w:t>
      </w:r>
      <w:r>
        <w:rPr/>
        <w:t>otras cosas, para que el planeamiento pueda </w:t>
      </w:r>
      <w:r>
        <w:rPr>
          <w:spacing w:val="-2"/>
        </w:rPr>
        <w:t>ser </w:t>
      </w:r>
      <w:r>
        <w:rPr/>
        <w:t>suficientemente  flexible- (II Congreso Ibérico de Urbanismo, 1999, 101), en los </w:t>
      </w:r>
      <w:r>
        <w:rPr>
          <w:spacing w:val="-2"/>
        </w:rPr>
        <w:t>que</w:t>
      </w:r>
      <w:r>
        <w:rPr>
          <w:spacing w:val="51"/>
        </w:rPr>
        <w:t> </w:t>
      </w:r>
      <w:r>
        <w:rPr/>
        <w:t>habrá que fomentar las infraestructuras que permeabilicen la frontera y permitan desarrollar los flujos  comerciales entre  ambos lados. A  pesar  de  estas  expectativas, no se </w:t>
      </w:r>
      <w:r>
        <w:rPr>
          <w:spacing w:val="-3"/>
        </w:rPr>
        <w:t>está establecie </w:t>
      </w:r>
      <w:r>
        <w:rPr/>
        <w:t>ndo aún una coordinación efectiva  entre  las  Administraciones regionales de ordenación del territorio implicadas, por lo que la valoración final de INTERREG no puede ser completamente </w:t>
      </w:r>
      <w:r>
        <w:rPr>
          <w:spacing w:val="25"/>
        </w:rPr>
        <w:t> </w:t>
      </w:r>
      <w:r>
        <w:rPr/>
        <w:t>positiva.</w:t>
      </w:r>
    </w:p>
    <w:p>
      <w:pPr>
        <w:spacing w:after="0" w:line="247" w:lineRule="auto"/>
        <w:sectPr>
          <w:pgSz w:w="12240" w:h="15840"/>
          <w:pgMar w:top="1280" w:bottom="280" w:left="1720" w:right="1720"/>
        </w:sectPr>
      </w:pPr>
    </w:p>
    <w:p>
      <w:pPr>
        <w:pStyle w:val="BodyText"/>
        <w:spacing w:before="1"/>
        <w:rPr>
          <w:sz w:val="9"/>
        </w:rPr>
      </w:pPr>
    </w:p>
    <w:tbl>
      <w:tblPr>
        <w:tblW w:w="0" w:type="auto"/>
        <w:jc w:val="left"/>
        <w:tblInd w:w="2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25"/>
        <w:gridCol w:w="2025"/>
        <w:gridCol w:w="2025"/>
        <w:gridCol w:w="2025"/>
      </w:tblGrid>
      <w:tr>
        <w:trPr>
          <w:trHeight w:val="270" w:hRule="exact"/>
        </w:trPr>
        <w:tc>
          <w:tcPr>
            <w:tcW w:w="8100" w:type="dxa"/>
            <w:gridSpan w:val="4"/>
            <w:shd w:val="clear" w:color="auto" w:fill="E6E6E6"/>
          </w:tcPr>
          <w:p>
            <w:pPr>
              <w:pStyle w:val="TableParagraph"/>
              <w:spacing w:before="4"/>
              <w:rPr>
                <w:b/>
                <w:sz w:val="22"/>
              </w:rPr>
            </w:pPr>
            <w:r>
              <w:rPr>
                <w:b/>
                <w:sz w:val="22"/>
              </w:rPr>
              <w:t>PLANEAMIENTO  TERRITORIAL</w:t>
            </w:r>
          </w:p>
        </w:tc>
      </w:tr>
      <w:tr>
        <w:trPr>
          <w:trHeight w:val="270" w:hRule="exact"/>
        </w:trPr>
        <w:tc>
          <w:tcPr>
            <w:tcW w:w="4050" w:type="dxa"/>
            <w:gridSpan w:val="2"/>
            <w:shd w:val="clear" w:color="auto" w:fill="E6E6E6"/>
          </w:tcPr>
          <w:p>
            <w:pPr>
              <w:pStyle w:val="TableParagraph"/>
              <w:spacing w:line="243" w:lineRule="exact"/>
              <w:ind w:right="96"/>
              <w:rPr>
                <w:sz w:val="22"/>
              </w:rPr>
            </w:pPr>
            <w:r>
              <w:rPr>
                <w:sz w:val="22"/>
              </w:rPr>
              <w:t>FORTALEZAS</w:t>
            </w:r>
          </w:p>
        </w:tc>
        <w:tc>
          <w:tcPr>
            <w:tcW w:w="4050" w:type="dxa"/>
            <w:gridSpan w:val="2"/>
            <w:shd w:val="clear" w:color="auto" w:fill="E6E6E6"/>
          </w:tcPr>
          <w:p>
            <w:pPr>
              <w:pStyle w:val="TableParagraph"/>
              <w:spacing w:line="243" w:lineRule="exact"/>
              <w:ind w:right="96"/>
              <w:rPr>
                <w:sz w:val="22"/>
              </w:rPr>
            </w:pPr>
            <w:r>
              <w:rPr>
                <w:sz w:val="22"/>
              </w:rPr>
              <w:t>DEBILIDADES</w:t>
            </w:r>
          </w:p>
        </w:tc>
      </w:tr>
      <w:tr>
        <w:trPr>
          <w:trHeight w:val="3675" w:hRule="exact"/>
        </w:trPr>
        <w:tc>
          <w:tcPr>
            <w:tcW w:w="4050" w:type="dxa"/>
            <w:gridSpan w:val="2"/>
          </w:tcPr>
          <w:p>
            <w:pPr>
              <w:pStyle w:val="TableParagraph"/>
              <w:numPr>
                <w:ilvl w:val="0"/>
                <w:numId w:val="8"/>
              </w:numPr>
              <w:tabs>
                <w:tab w:pos="195" w:val="left" w:leader="none"/>
              </w:tabs>
              <w:spacing w:line="252" w:lineRule="auto" w:before="0" w:after="0"/>
              <w:ind w:left="90" w:right="185" w:firstLine="0"/>
              <w:jc w:val="left"/>
              <w:rPr>
                <w:sz w:val="18"/>
              </w:rPr>
            </w:pPr>
            <w:r>
              <w:rPr>
                <w:spacing w:val="-3"/>
                <w:sz w:val="18"/>
              </w:rPr>
              <w:t>Crecient </w:t>
            </w:r>
            <w:r>
              <w:rPr>
                <w:sz w:val="18"/>
              </w:rPr>
              <w:t>e demanda ciudadana de información y participación en el ámbito local, y de protección y mejora</w:t>
            </w:r>
            <w:r>
              <w:rPr>
                <w:spacing w:val="36"/>
                <w:sz w:val="18"/>
              </w:rPr>
              <w:t> </w:t>
            </w:r>
            <w:r>
              <w:rPr>
                <w:sz w:val="18"/>
              </w:rPr>
              <w:t>ambientales.</w:t>
            </w:r>
          </w:p>
          <w:p>
            <w:pPr>
              <w:pStyle w:val="TableParagraph"/>
              <w:numPr>
                <w:ilvl w:val="0"/>
                <w:numId w:val="8"/>
              </w:numPr>
              <w:tabs>
                <w:tab w:pos="202" w:val="left" w:leader="none"/>
              </w:tabs>
              <w:spacing w:line="252" w:lineRule="auto" w:before="0" w:after="0"/>
              <w:ind w:left="90" w:right="109" w:firstLine="0"/>
              <w:jc w:val="left"/>
              <w:rPr>
                <w:sz w:val="18"/>
              </w:rPr>
            </w:pPr>
            <w:r>
              <w:rPr>
                <w:sz w:val="18"/>
              </w:rPr>
              <w:t>Incorporación a la totalidad de los documentos de ordenación de la preservación del patrimonio  natural y cultural, con especial relevancia del  paisaje entendido en sentido amplio y a los arcos   del sistema de protección </w:t>
            </w:r>
            <w:r>
              <w:rPr>
                <w:spacing w:val="41"/>
                <w:sz w:val="18"/>
              </w:rPr>
              <w:t> </w:t>
            </w:r>
            <w:r>
              <w:rPr>
                <w:sz w:val="18"/>
              </w:rPr>
              <w:t>ambiental.</w:t>
            </w:r>
          </w:p>
          <w:p>
            <w:pPr>
              <w:pStyle w:val="TableParagraph"/>
              <w:numPr>
                <w:ilvl w:val="0"/>
                <w:numId w:val="8"/>
              </w:numPr>
              <w:tabs>
                <w:tab w:pos="195" w:val="left" w:leader="none"/>
              </w:tabs>
              <w:spacing w:line="242" w:lineRule="auto" w:before="8" w:after="0"/>
              <w:ind w:left="90" w:right="118" w:firstLine="0"/>
              <w:jc w:val="left"/>
              <w:rPr>
                <w:sz w:val="18"/>
              </w:rPr>
            </w:pPr>
            <w:r>
              <w:rPr>
                <w:sz w:val="18"/>
              </w:rPr>
              <w:t>Ordenación en positivo del Suelo No Urbanizable en  el  planeamiento</w:t>
            </w:r>
            <w:r>
              <w:rPr>
                <w:spacing w:val="-15"/>
                <w:sz w:val="18"/>
              </w:rPr>
              <w:t> </w:t>
            </w:r>
            <w:r>
              <w:rPr>
                <w:sz w:val="18"/>
              </w:rPr>
              <w:t>urbanístico.</w:t>
            </w:r>
          </w:p>
          <w:p>
            <w:pPr>
              <w:pStyle w:val="TableParagraph"/>
              <w:numPr>
                <w:ilvl w:val="0"/>
                <w:numId w:val="8"/>
              </w:numPr>
              <w:tabs>
                <w:tab w:pos="195" w:val="left" w:leader="none"/>
              </w:tabs>
              <w:spacing w:line="252" w:lineRule="auto" w:before="1" w:after="0"/>
              <w:ind w:left="90" w:right="153" w:firstLine="0"/>
              <w:jc w:val="left"/>
              <w:rPr>
                <w:sz w:val="18"/>
              </w:rPr>
            </w:pPr>
            <w:r>
              <w:rPr>
                <w:sz w:val="18"/>
              </w:rPr>
              <w:t>Creciente primacía del elemento político sobre el técnico, y de la </w:t>
            </w:r>
            <w:r>
              <w:rPr>
                <w:spacing w:val="2"/>
                <w:sz w:val="18"/>
              </w:rPr>
              <w:t>acción/ejecución </w:t>
            </w:r>
            <w:r>
              <w:rPr>
                <w:spacing w:val="-4"/>
                <w:sz w:val="18"/>
              </w:rPr>
              <w:t>sobre </w:t>
            </w:r>
            <w:r>
              <w:rPr>
                <w:sz w:val="18"/>
              </w:rPr>
              <w:t>la </w:t>
            </w:r>
            <w:r>
              <w:rPr>
                <w:spacing w:val="3"/>
                <w:sz w:val="18"/>
              </w:rPr>
              <w:t>regulación.</w:t>
            </w:r>
          </w:p>
          <w:p>
            <w:pPr>
              <w:pStyle w:val="TableParagraph"/>
              <w:numPr>
                <w:ilvl w:val="0"/>
                <w:numId w:val="8"/>
              </w:numPr>
              <w:tabs>
                <w:tab w:pos="202" w:val="left" w:leader="none"/>
              </w:tabs>
              <w:spacing w:line="261" w:lineRule="auto" w:before="0" w:after="0"/>
              <w:ind w:left="90" w:right="124" w:firstLine="0"/>
              <w:jc w:val="left"/>
              <w:rPr>
                <w:sz w:val="18"/>
              </w:rPr>
            </w:pPr>
            <w:r>
              <w:rPr>
                <w:sz w:val="18"/>
              </w:rPr>
              <w:t>Eficacia de las políticas de cohesión territorial en  el ámbito de la</w:t>
            </w:r>
            <w:r>
              <w:rPr>
                <w:spacing w:val="27"/>
                <w:sz w:val="18"/>
              </w:rPr>
              <w:t> </w:t>
            </w:r>
            <w:r>
              <w:rPr>
                <w:spacing w:val="-2"/>
                <w:sz w:val="18"/>
              </w:rPr>
              <w:t>UE.</w:t>
            </w:r>
          </w:p>
          <w:p>
            <w:pPr>
              <w:pStyle w:val="TableParagraph"/>
              <w:numPr>
                <w:ilvl w:val="0"/>
                <w:numId w:val="8"/>
              </w:numPr>
              <w:tabs>
                <w:tab w:pos="200" w:val="left" w:leader="none"/>
              </w:tabs>
              <w:spacing w:line="192" w:lineRule="exact" w:before="0" w:after="0"/>
              <w:ind w:left="200" w:right="0" w:hanging="110"/>
              <w:jc w:val="left"/>
              <w:rPr>
                <w:sz w:val="18"/>
              </w:rPr>
            </w:pPr>
            <w:r>
              <w:rPr>
                <w:sz w:val="18"/>
              </w:rPr>
              <w:t>Revalorización  de  modelos  urbanos</w:t>
            </w:r>
            <w:r>
              <w:rPr>
                <w:spacing w:val="-20"/>
                <w:sz w:val="18"/>
              </w:rPr>
              <w:t> </w:t>
            </w:r>
            <w:r>
              <w:rPr>
                <w:sz w:val="18"/>
              </w:rPr>
              <w:t>policéntricos</w:t>
            </w:r>
          </w:p>
          <w:p>
            <w:pPr>
              <w:pStyle w:val="TableParagraph"/>
              <w:spacing w:before="3"/>
              <w:ind w:right="96"/>
              <w:rPr>
                <w:sz w:val="18"/>
              </w:rPr>
            </w:pPr>
            <w:r>
              <w:rPr>
                <w:sz w:val="18"/>
              </w:rPr>
              <w:t>o mallados.</w:t>
            </w:r>
          </w:p>
        </w:tc>
        <w:tc>
          <w:tcPr>
            <w:tcW w:w="4050" w:type="dxa"/>
            <w:gridSpan w:val="2"/>
          </w:tcPr>
          <w:p>
            <w:pPr>
              <w:pStyle w:val="TableParagraph"/>
              <w:numPr>
                <w:ilvl w:val="0"/>
                <w:numId w:val="9"/>
              </w:numPr>
              <w:tabs>
                <w:tab w:pos="200" w:val="left" w:leader="none"/>
              </w:tabs>
              <w:spacing w:line="242" w:lineRule="auto" w:before="0" w:after="0"/>
              <w:ind w:left="90" w:right="392" w:firstLine="0"/>
              <w:jc w:val="left"/>
              <w:rPr>
                <w:sz w:val="18"/>
              </w:rPr>
            </w:pPr>
            <w:r>
              <w:rPr>
                <w:sz w:val="18"/>
              </w:rPr>
              <w:t>Inconcreción conceptual de la Ordenación del Territorio.</w:t>
            </w:r>
          </w:p>
          <w:p>
            <w:pPr>
              <w:pStyle w:val="TableParagraph"/>
              <w:numPr>
                <w:ilvl w:val="0"/>
                <w:numId w:val="9"/>
              </w:numPr>
              <w:tabs>
                <w:tab w:pos="203" w:val="left" w:leader="none"/>
              </w:tabs>
              <w:spacing w:line="242" w:lineRule="auto" w:before="16" w:after="0"/>
              <w:ind w:left="90" w:right="808" w:firstLine="0"/>
              <w:jc w:val="left"/>
              <w:rPr>
                <w:sz w:val="18"/>
              </w:rPr>
            </w:pPr>
            <w:r>
              <w:rPr>
                <w:sz w:val="18"/>
              </w:rPr>
              <w:t>Desigual aplicación real de los criterios ambientales incluidos en el  </w:t>
            </w:r>
            <w:r>
              <w:rPr>
                <w:spacing w:val="19"/>
                <w:sz w:val="18"/>
              </w:rPr>
              <w:t> </w:t>
            </w:r>
            <w:r>
              <w:rPr>
                <w:sz w:val="18"/>
              </w:rPr>
              <w:t>planeamiento.</w:t>
            </w:r>
          </w:p>
          <w:p>
            <w:pPr>
              <w:pStyle w:val="TableParagraph"/>
              <w:numPr>
                <w:ilvl w:val="0"/>
                <w:numId w:val="9"/>
              </w:numPr>
              <w:tabs>
                <w:tab w:pos="204" w:val="left" w:leader="none"/>
              </w:tabs>
              <w:spacing w:line="261" w:lineRule="auto" w:before="1" w:after="0"/>
              <w:ind w:left="90" w:right="441" w:firstLine="0"/>
              <w:jc w:val="left"/>
              <w:rPr>
                <w:sz w:val="18"/>
              </w:rPr>
            </w:pPr>
            <w:r>
              <w:rPr>
                <w:sz w:val="18"/>
              </w:rPr>
              <w:t>Escaso desarrollo efectivo de la participación ciudadana.</w:t>
            </w:r>
          </w:p>
          <w:p>
            <w:pPr>
              <w:pStyle w:val="TableParagraph"/>
              <w:numPr>
                <w:ilvl w:val="0"/>
                <w:numId w:val="9"/>
              </w:numPr>
              <w:tabs>
                <w:tab w:pos="198" w:val="left" w:leader="none"/>
              </w:tabs>
              <w:spacing w:line="242" w:lineRule="auto" w:before="0" w:after="0"/>
              <w:ind w:left="90" w:right="225" w:firstLine="0"/>
              <w:jc w:val="left"/>
              <w:rPr>
                <w:sz w:val="18"/>
              </w:rPr>
            </w:pPr>
            <w:r>
              <w:rPr>
                <w:sz w:val="18"/>
              </w:rPr>
              <w:t>Insuficiente coordinación (horizontal y vertical) entre </w:t>
            </w:r>
            <w:r>
              <w:rPr>
                <w:spacing w:val="2"/>
                <w:sz w:val="18"/>
              </w:rPr>
              <w:t> </w:t>
            </w:r>
            <w:r>
              <w:rPr>
                <w:sz w:val="18"/>
              </w:rPr>
              <w:t>Administraciones.</w:t>
            </w:r>
          </w:p>
          <w:p>
            <w:pPr>
              <w:pStyle w:val="TableParagraph"/>
              <w:numPr>
                <w:ilvl w:val="0"/>
                <w:numId w:val="9"/>
              </w:numPr>
              <w:tabs>
                <w:tab w:pos="203" w:val="left" w:leader="none"/>
              </w:tabs>
              <w:spacing w:line="240" w:lineRule="auto" w:before="16" w:after="0"/>
              <w:ind w:left="202" w:right="0" w:hanging="112"/>
              <w:jc w:val="left"/>
              <w:rPr>
                <w:sz w:val="18"/>
              </w:rPr>
            </w:pPr>
            <w:r>
              <w:rPr>
                <w:sz w:val="18"/>
              </w:rPr>
              <w:t>Conflictividad en la aplicación del  </w:t>
            </w:r>
            <w:r>
              <w:rPr>
                <w:spacing w:val="40"/>
                <w:sz w:val="18"/>
              </w:rPr>
              <w:t> </w:t>
            </w:r>
            <w:r>
              <w:rPr>
                <w:sz w:val="18"/>
              </w:rPr>
              <w:t>planeamiento.</w:t>
            </w:r>
          </w:p>
          <w:p>
            <w:pPr>
              <w:pStyle w:val="TableParagraph"/>
              <w:numPr>
                <w:ilvl w:val="0"/>
                <w:numId w:val="9"/>
              </w:numPr>
              <w:tabs>
                <w:tab w:pos="198" w:val="left" w:leader="none"/>
              </w:tabs>
              <w:spacing w:line="240" w:lineRule="auto" w:before="3" w:after="0"/>
              <w:ind w:left="198" w:right="0" w:hanging="108"/>
              <w:jc w:val="left"/>
              <w:rPr>
                <w:sz w:val="18"/>
              </w:rPr>
            </w:pPr>
            <w:r>
              <w:rPr>
                <w:sz w:val="18"/>
              </w:rPr>
              <w:t>Ineficacia real de la </w:t>
            </w:r>
            <w:r>
              <w:rPr>
                <w:spacing w:val="14"/>
                <w:sz w:val="18"/>
              </w:rPr>
              <w:t> </w:t>
            </w:r>
            <w:r>
              <w:rPr>
                <w:sz w:val="18"/>
              </w:rPr>
              <w:t>EIA.</w:t>
            </w:r>
          </w:p>
        </w:tc>
      </w:tr>
      <w:tr>
        <w:trPr>
          <w:trHeight w:val="270" w:hRule="exact"/>
        </w:trPr>
        <w:tc>
          <w:tcPr>
            <w:tcW w:w="4050" w:type="dxa"/>
            <w:gridSpan w:val="2"/>
            <w:shd w:val="clear" w:color="auto" w:fill="E6E6E6"/>
          </w:tcPr>
          <w:p>
            <w:pPr>
              <w:pStyle w:val="TableParagraph"/>
              <w:spacing w:line="243" w:lineRule="exact"/>
              <w:ind w:right="96"/>
              <w:rPr>
                <w:sz w:val="22"/>
              </w:rPr>
            </w:pPr>
            <w:r>
              <w:rPr>
                <w:sz w:val="22"/>
              </w:rPr>
              <w:t>OPORTUNIDADES</w:t>
            </w:r>
          </w:p>
        </w:tc>
        <w:tc>
          <w:tcPr>
            <w:tcW w:w="4050" w:type="dxa"/>
            <w:gridSpan w:val="2"/>
            <w:shd w:val="clear" w:color="auto" w:fill="E6E6E6"/>
          </w:tcPr>
          <w:p>
            <w:pPr>
              <w:pStyle w:val="TableParagraph"/>
              <w:spacing w:line="243" w:lineRule="exact"/>
              <w:ind w:right="96"/>
              <w:rPr>
                <w:sz w:val="22"/>
              </w:rPr>
            </w:pPr>
            <w:r>
              <w:rPr>
                <w:sz w:val="22"/>
              </w:rPr>
              <w:t>AMENAZAS</w:t>
            </w:r>
          </w:p>
        </w:tc>
      </w:tr>
      <w:tr>
        <w:trPr>
          <w:trHeight w:val="4320" w:hRule="exact"/>
        </w:trPr>
        <w:tc>
          <w:tcPr>
            <w:tcW w:w="4050" w:type="dxa"/>
            <w:gridSpan w:val="2"/>
            <w:tcBorders>
              <w:bottom w:val="nil"/>
            </w:tcBorders>
          </w:tcPr>
          <w:p>
            <w:pPr>
              <w:pStyle w:val="TableParagraph"/>
              <w:numPr>
                <w:ilvl w:val="0"/>
                <w:numId w:val="10"/>
              </w:numPr>
              <w:tabs>
                <w:tab w:pos="200" w:val="left" w:leader="none"/>
              </w:tabs>
              <w:spacing w:line="252" w:lineRule="auto" w:before="0" w:after="0"/>
              <w:ind w:left="90" w:right="407" w:firstLine="0"/>
              <w:jc w:val="left"/>
              <w:rPr>
                <w:sz w:val="18"/>
              </w:rPr>
            </w:pPr>
            <w:r>
              <w:rPr>
                <w:sz w:val="18"/>
              </w:rPr>
              <w:t>Dinamización de la Ordenación del Territorio gracias a la implementación de políticas sostenibles  a  diversas</w:t>
            </w:r>
            <w:r>
              <w:rPr>
                <w:spacing w:val="-14"/>
                <w:sz w:val="18"/>
              </w:rPr>
              <w:t> </w:t>
            </w:r>
            <w:r>
              <w:rPr>
                <w:sz w:val="18"/>
              </w:rPr>
              <w:t>escalas.</w:t>
            </w:r>
          </w:p>
          <w:p>
            <w:pPr>
              <w:pStyle w:val="TableParagraph"/>
              <w:numPr>
                <w:ilvl w:val="0"/>
                <w:numId w:val="10"/>
              </w:numPr>
              <w:tabs>
                <w:tab w:pos="200" w:val="left" w:leader="none"/>
              </w:tabs>
              <w:spacing w:line="261" w:lineRule="auto" w:before="0" w:after="0"/>
              <w:ind w:left="90" w:right="437" w:firstLine="0"/>
              <w:jc w:val="left"/>
              <w:rPr>
                <w:sz w:val="18"/>
              </w:rPr>
            </w:pPr>
            <w:r>
              <w:rPr>
                <w:sz w:val="18"/>
              </w:rPr>
              <w:t>Desarrollo de nuevas herramientas de control territorial: EIT y </w:t>
            </w:r>
            <w:r>
              <w:rPr>
                <w:spacing w:val="13"/>
                <w:sz w:val="18"/>
              </w:rPr>
              <w:t> </w:t>
            </w:r>
            <w:r>
              <w:rPr>
                <w:sz w:val="18"/>
              </w:rPr>
              <w:t>EAE.</w:t>
            </w:r>
          </w:p>
          <w:p>
            <w:pPr>
              <w:pStyle w:val="TableParagraph"/>
              <w:numPr>
                <w:ilvl w:val="0"/>
                <w:numId w:val="10"/>
              </w:numPr>
              <w:tabs>
                <w:tab w:pos="199" w:val="left" w:leader="none"/>
              </w:tabs>
              <w:spacing w:line="192" w:lineRule="exact" w:before="0" w:after="0"/>
              <w:ind w:left="198" w:right="0" w:hanging="108"/>
              <w:jc w:val="left"/>
              <w:rPr>
                <w:sz w:val="18"/>
              </w:rPr>
            </w:pPr>
            <w:r>
              <w:rPr>
                <w:sz w:val="18"/>
              </w:rPr>
              <w:t>Diversificación funcional de los espacios  </w:t>
            </w:r>
            <w:r>
              <w:rPr>
                <w:spacing w:val="20"/>
                <w:sz w:val="18"/>
              </w:rPr>
              <w:t> </w:t>
            </w:r>
            <w:r>
              <w:rPr>
                <w:sz w:val="18"/>
              </w:rPr>
              <w:t>rurales</w:t>
            </w:r>
          </w:p>
          <w:p>
            <w:pPr>
              <w:pStyle w:val="TableParagraph"/>
              <w:spacing w:before="3"/>
              <w:ind w:right="96"/>
              <w:rPr>
                <w:sz w:val="18"/>
              </w:rPr>
            </w:pPr>
            <w:r>
              <w:rPr>
                <w:sz w:val="18"/>
              </w:rPr>
              <w:t>y  nueva  relación campo-ciudad.</w:t>
            </w:r>
          </w:p>
          <w:p>
            <w:pPr>
              <w:pStyle w:val="TableParagraph"/>
              <w:numPr>
                <w:ilvl w:val="0"/>
                <w:numId w:val="10"/>
              </w:numPr>
              <w:tabs>
                <w:tab w:pos="198" w:val="left" w:leader="none"/>
              </w:tabs>
              <w:spacing w:line="249" w:lineRule="auto" w:before="18" w:after="0"/>
              <w:ind w:left="90" w:right="313" w:firstLine="0"/>
              <w:jc w:val="left"/>
              <w:rPr>
                <w:sz w:val="18"/>
              </w:rPr>
            </w:pPr>
            <w:r>
              <w:rPr>
                <w:sz w:val="18"/>
              </w:rPr>
              <w:t>Desarrollo de las ciudades medias, mediante conexión con la red de telecomunicaciones y centros metropolitanos, y conformación de redes de</w:t>
            </w:r>
            <w:r>
              <w:rPr>
                <w:spacing w:val="3"/>
                <w:sz w:val="18"/>
              </w:rPr>
              <w:t> </w:t>
            </w:r>
            <w:r>
              <w:rPr>
                <w:sz w:val="18"/>
              </w:rPr>
              <w:t>cooperación.</w:t>
            </w:r>
          </w:p>
          <w:p>
            <w:pPr>
              <w:pStyle w:val="TableParagraph"/>
              <w:numPr>
                <w:ilvl w:val="0"/>
                <w:numId w:val="10"/>
              </w:numPr>
              <w:tabs>
                <w:tab w:pos="195" w:val="left" w:leader="none"/>
              </w:tabs>
              <w:spacing w:line="202" w:lineRule="exact" w:before="0" w:after="0"/>
              <w:ind w:left="195" w:right="0" w:hanging="105"/>
              <w:jc w:val="left"/>
              <w:rPr>
                <w:sz w:val="18"/>
              </w:rPr>
            </w:pPr>
            <w:r>
              <w:rPr>
                <w:sz w:val="18"/>
              </w:rPr>
              <w:t>Cooperación </w:t>
            </w:r>
            <w:r>
              <w:rPr>
                <w:spacing w:val="40"/>
                <w:sz w:val="18"/>
              </w:rPr>
              <w:t> </w:t>
            </w:r>
            <w:r>
              <w:rPr>
                <w:sz w:val="18"/>
              </w:rPr>
              <w:t>transfronteriza.</w:t>
            </w:r>
          </w:p>
          <w:p>
            <w:pPr>
              <w:pStyle w:val="TableParagraph"/>
              <w:numPr>
                <w:ilvl w:val="0"/>
                <w:numId w:val="10"/>
              </w:numPr>
              <w:tabs>
                <w:tab w:pos="200" w:val="left" w:leader="none"/>
              </w:tabs>
              <w:spacing w:line="240" w:lineRule="auto" w:before="3" w:after="0"/>
              <w:ind w:left="200" w:right="0" w:hanging="110"/>
              <w:jc w:val="left"/>
              <w:rPr>
                <w:sz w:val="18"/>
              </w:rPr>
            </w:pPr>
            <w:r>
              <w:rPr>
                <w:sz w:val="18"/>
              </w:rPr>
              <w:t>Intercambio  de  </w:t>
            </w:r>
            <w:r>
              <w:rPr>
                <w:spacing w:val="3"/>
                <w:sz w:val="18"/>
              </w:rPr>
              <w:t>buenas</w:t>
            </w:r>
            <w:r>
              <w:rPr>
                <w:spacing w:val="-20"/>
                <w:sz w:val="18"/>
              </w:rPr>
              <w:t> </w:t>
            </w:r>
            <w:r>
              <w:rPr>
                <w:sz w:val="18"/>
              </w:rPr>
              <w:t>prácticas.</w:t>
            </w:r>
          </w:p>
        </w:tc>
        <w:tc>
          <w:tcPr>
            <w:tcW w:w="4050" w:type="dxa"/>
            <w:gridSpan w:val="2"/>
            <w:tcBorders>
              <w:bottom w:val="nil"/>
            </w:tcBorders>
          </w:tcPr>
          <w:p>
            <w:pPr>
              <w:pStyle w:val="TableParagraph"/>
              <w:numPr>
                <w:ilvl w:val="0"/>
                <w:numId w:val="11"/>
              </w:numPr>
              <w:tabs>
                <w:tab w:pos="195" w:val="left" w:leader="none"/>
              </w:tabs>
              <w:spacing w:line="261" w:lineRule="auto" w:before="0" w:after="0"/>
              <w:ind w:left="90" w:right="916" w:firstLine="0"/>
              <w:jc w:val="left"/>
              <w:rPr>
                <w:sz w:val="18"/>
              </w:rPr>
            </w:pPr>
            <w:r>
              <w:rPr>
                <w:sz w:val="18"/>
              </w:rPr>
              <w:t>Incertidumbre del entorno tecnológico, económico y</w:t>
            </w:r>
            <w:r>
              <w:rPr>
                <w:spacing w:val="41"/>
                <w:sz w:val="18"/>
              </w:rPr>
              <w:t> </w:t>
            </w:r>
            <w:r>
              <w:rPr>
                <w:sz w:val="18"/>
              </w:rPr>
              <w:t>geopolítico.</w:t>
            </w:r>
          </w:p>
          <w:p>
            <w:pPr>
              <w:pStyle w:val="TableParagraph"/>
              <w:numPr>
                <w:ilvl w:val="0"/>
                <w:numId w:val="11"/>
              </w:numPr>
              <w:tabs>
                <w:tab w:pos="195" w:val="left" w:leader="none"/>
              </w:tabs>
              <w:spacing w:line="192" w:lineRule="exact" w:before="0" w:after="0"/>
              <w:ind w:left="195" w:right="0" w:hanging="105"/>
              <w:jc w:val="left"/>
              <w:rPr>
                <w:sz w:val="18"/>
              </w:rPr>
            </w:pPr>
            <w:r>
              <w:rPr>
                <w:sz w:val="18"/>
              </w:rPr>
              <w:t>Problemas  ambientales  transnacionales </w:t>
            </w:r>
            <w:r>
              <w:rPr>
                <w:spacing w:val="5"/>
                <w:sz w:val="18"/>
              </w:rPr>
              <w:t> </w:t>
            </w:r>
            <w:r>
              <w:rPr>
                <w:sz w:val="18"/>
              </w:rPr>
              <w:t>(globales</w:t>
            </w:r>
          </w:p>
          <w:p>
            <w:pPr>
              <w:pStyle w:val="TableParagraph"/>
              <w:spacing w:before="3"/>
              <w:ind w:right="96"/>
              <w:rPr>
                <w:sz w:val="18"/>
              </w:rPr>
            </w:pPr>
            <w:r>
              <w:rPr>
                <w:sz w:val="18"/>
              </w:rPr>
              <w:t>o pluriestatales).</w:t>
            </w:r>
          </w:p>
          <w:p>
            <w:pPr>
              <w:pStyle w:val="TableParagraph"/>
              <w:numPr>
                <w:ilvl w:val="0"/>
                <w:numId w:val="11"/>
              </w:numPr>
              <w:tabs>
                <w:tab w:pos="200" w:val="left" w:leader="none"/>
              </w:tabs>
              <w:spacing w:line="242" w:lineRule="auto" w:before="18" w:after="0"/>
              <w:ind w:left="90" w:right="122" w:firstLine="0"/>
              <w:jc w:val="both"/>
              <w:rPr>
                <w:sz w:val="18"/>
              </w:rPr>
            </w:pPr>
            <w:r>
              <w:rPr>
                <w:sz w:val="18"/>
              </w:rPr>
              <w:t>Adopción de un enfoque puramente desarrollista que no contemple la sostenibilidad como elemento clave.</w:t>
            </w:r>
          </w:p>
          <w:p>
            <w:pPr>
              <w:pStyle w:val="TableParagraph"/>
              <w:numPr>
                <w:ilvl w:val="0"/>
                <w:numId w:val="11"/>
              </w:numPr>
              <w:tabs>
                <w:tab w:pos="193" w:val="left" w:leader="none"/>
              </w:tabs>
              <w:spacing w:line="247" w:lineRule="auto" w:before="16" w:after="0"/>
              <w:ind w:left="90" w:right="150" w:firstLine="0"/>
              <w:jc w:val="left"/>
              <w:rPr>
                <w:sz w:val="18"/>
              </w:rPr>
            </w:pPr>
            <w:r>
              <w:rPr>
                <w:sz w:val="18"/>
              </w:rPr>
              <w:t>Aumento de los desequilibrios interterritoriales </w:t>
            </w:r>
            <w:r>
              <w:rPr>
                <w:spacing w:val="3"/>
                <w:sz w:val="18"/>
              </w:rPr>
              <w:t>(incluyendo </w:t>
            </w:r>
            <w:r>
              <w:rPr>
                <w:sz w:val="18"/>
              </w:rPr>
              <w:t>el campo-ciudad) a causa de los procesos formales e informales (globalización) de integración económica, y de la primacía neoliberal de la competitividad sobre la  </w:t>
            </w:r>
            <w:r>
              <w:rPr>
                <w:spacing w:val="12"/>
                <w:sz w:val="18"/>
              </w:rPr>
              <w:t> </w:t>
            </w:r>
            <w:r>
              <w:rPr>
                <w:sz w:val="18"/>
              </w:rPr>
              <w:t>equidad.</w:t>
            </w:r>
          </w:p>
          <w:p>
            <w:pPr>
              <w:pStyle w:val="TableParagraph"/>
              <w:numPr>
                <w:ilvl w:val="0"/>
                <w:numId w:val="11"/>
              </w:numPr>
              <w:tabs>
                <w:tab w:pos="195" w:val="left" w:leader="none"/>
              </w:tabs>
              <w:spacing w:line="261" w:lineRule="auto" w:before="0" w:after="0"/>
              <w:ind w:left="90" w:right="356" w:firstLine="0"/>
              <w:jc w:val="left"/>
              <w:rPr>
                <w:sz w:val="18"/>
              </w:rPr>
            </w:pPr>
            <w:r>
              <w:rPr>
                <w:sz w:val="18"/>
              </w:rPr>
              <w:t>Desregulación urbanística e introducción en el planeamiento  de  consideraciones</w:t>
            </w:r>
            <w:r>
              <w:rPr>
                <w:spacing w:val="6"/>
                <w:sz w:val="18"/>
              </w:rPr>
              <w:t> </w:t>
            </w:r>
            <w:r>
              <w:rPr>
                <w:sz w:val="18"/>
              </w:rPr>
              <w:t>coyunturales.</w:t>
            </w:r>
          </w:p>
          <w:p>
            <w:pPr>
              <w:pStyle w:val="TableParagraph"/>
              <w:numPr>
                <w:ilvl w:val="0"/>
                <w:numId w:val="11"/>
              </w:numPr>
              <w:tabs>
                <w:tab w:pos="195" w:val="left" w:leader="none"/>
              </w:tabs>
              <w:spacing w:line="192" w:lineRule="exact" w:before="0" w:after="0"/>
              <w:ind w:left="195" w:right="0" w:hanging="105"/>
              <w:jc w:val="left"/>
              <w:rPr>
                <w:sz w:val="18"/>
              </w:rPr>
            </w:pPr>
            <w:r>
              <w:rPr>
                <w:sz w:val="18"/>
              </w:rPr>
              <w:t>Generación  de  efectos-frontera  intraestatales</w:t>
            </w:r>
            <w:r>
              <w:rPr>
                <w:spacing w:val="-3"/>
                <w:sz w:val="18"/>
              </w:rPr>
              <w:t> </w:t>
            </w:r>
            <w:r>
              <w:rPr>
                <w:spacing w:val="2"/>
                <w:sz w:val="18"/>
              </w:rPr>
              <w:t>por</w:t>
            </w:r>
          </w:p>
          <w:p>
            <w:pPr>
              <w:pStyle w:val="TableParagraph"/>
              <w:spacing w:line="261" w:lineRule="auto" w:before="3"/>
              <w:ind w:right="96"/>
              <w:rPr>
                <w:sz w:val="18"/>
              </w:rPr>
            </w:pPr>
            <w:r>
              <w:rPr>
                <w:sz w:val="18"/>
              </w:rPr>
              <w:t>procesos de descentralización político- administrativa.</w:t>
            </w:r>
          </w:p>
          <w:p>
            <w:pPr>
              <w:pStyle w:val="TableParagraph"/>
              <w:numPr>
                <w:ilvl w:val="0"/>
                <w:numId w:val="11"/>
              </w:numPr>
              <w:tabs>
                <w:tab w:pos="210" w:val="left" w:leader="none"/>
              </w:tabs>
              <w:spacing w:line="192" w:lineRule="exact" w:before="0" w:after="0"/>
              <w:ind w:left="210" w:right="0" w:hanging="120"/>
              <w:jc w:val="left"/>
              <w:rPr>
                <w:sz w:val="18"/>
              </w:rPr>
            </w:pPr>
            <w:r>
              <w:rPr>
                <w:sz w:val="18"/>
              </w:rPr>
              <w:t>Efecto-moda de los nuevos instrumentos </w:t>
            </w:r>
            <w:r>
              <w:rPr>
                <w:spacing w:val="31"/>
                <w:sz w:val="18"/>
              </w:rPr>
              <w:t> </w:t>
            </w:r>
            <w:r>
              <w:rPr>
                <w:sz w:val="18"/>
              </w:rPr>
              <w:t>de</w:t>
            </w:r>
          </w:p>
          <w:p>
            <w:pPr>
              <w:pStyle w:val="TableParagraph"/>
              <w:spacing w:before="18"/>
              <w:ind w:right="96"/>
              <w:rPr>
                <w:sz w:val="18"/>
              </w:rPr>
            </w:pPr>
            <w:r>
              <w:rPr>
                <w:sz w:val="18"/>
              </w:rPr>
              <w:t>planeamiento.</w:t>
            </w:r>
          </w:p>
          <w:p>
            <w:pPr>
              <w:pStyle w:val="TableParagraph"/>
              <w:numPr>
                <w:ilvl w:val="0"/>
                <w:numId w:val="11"/>
              </w:numPr>
              <w:tabs>
                <w:tab w:pos="205" w:val="left" w:leader="none"/>
              </w:tabs>
              <w:spacing w:line="240" w:lineRule="auto" w:before="18" w:after="0"/>
              <w:ind w:left="205" w:right="0" w:hanging="115"/>
              <w:jc w:val="left"/>
              <w:rPr>
                <w:sz w:val="18"/>
              </w:rPr>
            </w:pPr>
            <w:r>
              <w:rPr>
                <w:sz w:val="18"/>
              </w:rPr>
              <w:t>Elitismo del planeamiento </w:t>
            </w:r>
            <w:r>
              <w:rPr>
                <w:spacing w:val="18"/>
                <w:sz w:val="18"/>
              </w:rPr>
              <w:t> </w:t>
            </w:r>
            <w:r>
              <w:rPr>
                <w:sz w:val="18"/>
              </w:rPr>
              <w:t>estratégico.</w:t>
            </w:r>
          </w:p>
        </w:tc>
      </w:tr>
      <w:tr>
        <w:trPr>
          <w:trHeight w:val="210" w:hRule="exact"/>
        </w:trPr>
        <w:tc>
          <w:tcPr>
            <w:tcW w:w="2025" w:type="dxa"/>
            <w:tcBorders>
              <w:top w:val="nil"/>
            </w:tcBorders>
          </w:tcPr>
          <w:p>
            <w:pPr/>
          </w:p>
        </w:tc>
        <w:tc>
          <w:tcPr>
            <w:tcW w:w="4050" w:type="dxa"/>
            <w:gridSpan w:val="2"/>
          </w:tcPr>
          <w:p>
            <w:pPr>
              <w:pStyle w:val="TableParagraph"/>
              <w:spacing w:before="12"/>
              <w:ind w:right="96"/>
              <w:rPr>
                <w:sz w:val="18"/>
              </w:rPr>
            </w:pPr>
            <w:r>
              <w:rPr>
                <w:sz w:val="18"/>
              </w:rPr>
              <w:t>-  Flexibilización  del  planeamiento urbanístico.</w:t>
            </w:r>
          </w:p>
        </w:tc>
        <w:tc>
          <w:tcPr>
            <w:tcW w:w="2025" w:type="dxa"/>
            <w:tcBorders>
              <w:top w:val="nil"/>
            </w:tcBorders>
          </w:tcPr>
          <w:p>
            <w:pPr/>
          </w:p>
        </w:tc>
      </w:tr>
    </w:tbl>
    <w:p>
      <w:pPr>
        <w:pStyle w:val="BodyText"/>
        <w:rPr>
          <w:sz w:val="20"/>
        </w:rPr>
      </w:pPr>
    </w:p>
    <w:p>
      <w:pPr>
        <w:pStyle w:val="BodyText"/>
        <w:spacing w:before="2"/>
        <w:rPr>
          <w:sz w:val="18"/>
        </w:rPr>
      </w:pPr>
    </w:p>
    <w:p>
      <w:pPr>
        <w:pStyle w:val="Heading1"/>
        <w:spacing w:before="75"/>
        <w:ind w:left="740" w:right="771" w:firstLine="0"/>
      </w:pPr>
      <w:r>
        <w:rPr/>
        <w:t>REFERENCIAS BIBLIOGRÁFICAS</w:t>
      </w:r>
    </w:p>
    <w:p>
      <w:pPr>
        <w:pStyle w:val="BodyText"/>
        <w:spacing w:before="7"/>
        <w:rPr>
          <w:b/>
          <w:sz w:val="23"/>
        </w:rPr>
      </w:pPr>
    </w:p>
    <w:p>
      <w:pPr>
        <w:spacing w:line="242" w:lineRule="auto" w:before="0"/>
        <w:ind w:left="905" w:right="771" w:hanging="510"/>
        <w:jc w:val="left"/>
        <w:rPr>
          <w:sz w:val="22"/>
        </w:rPr>
      </w:pPr>
      <w:r>
        <w:rPr>
          <w:sz w:val="22"/>
        </w:rPr>
        <w:t>Acosta, G., y Burraco, M. (1998): </w:t>
      </w:r>
      <w:r>
        <w:rPr>
          <w:i/>
          <w:sz w:val="22"/>
        </w:rPr>
        <w:t>Glosario básico de la ordenación urbanística y </w:t>
      </w:r>
      <w:r>
        <w:rPr>
          <w:i/>
          <w:sz w:val="22"/>
        </w:rPr>
        <w:t>territorial</w:t>
      </w:r>
      <w:r>
        <w:rPr>
          <w:sz w:val="22"/>
        </w:rPr>
        <w:t>. Sevilla. COPT.</w:t>
      </w:r>
    </w:p>
    <w:p>
      <w:pPr>
        <w:spacing w:line="246" w:lineRule="exact" w:before="14"/>
        <w:ind w:left="395" w:right="0" w:firstLine="0"/>
        <w:jc w:val="left"/>
        <w:rPr>
          <w:sz w:val="22"/>
        </w:rPr>
      </w:pPr>
      <w:r>
        <w:rPr>
          <w:sz w:val="22"/>
        </w:rPr>
        <w:t>Allende, J. (2000):  </w:t>
      </w:r>
      <w:r>
        <w:rPr>
          <w:i/>
          <w:sz w:val="22"/>
        </w:rPr>
        <w:t>Medio ambiente, ordenación del territorio y    sostenibilidad</w:t>
      </w:r>
      <w:r>
        <w:rPr>
          <w:sz w:val="22"/>
        </w:rPr>
        <w:t>.  Bilbao.</w:t>
      </w:r>
    </w:p>
    <w:p>
      <w:pPr>
        <w:pStyle w:val="BodyText"/>
        <w:spacing w:line="246" w:lineRule="exact"/>
        <w:ind w:left="905" w:right="771"/>
      </w:pPr>
      <w:r>
        <w:rPr/>
        <w:t>Universidad  del País Vasco.</w:t>
      </w:r>
    </w:p>
    <w:p>
      <w:pPr>
        <w:spacing w:line="242" w:lineRule="auto" w:before="17"/>
        <w:ind w:left="905" w:right="771" w:hanging="510"/>
        <w:jc w:val="left"/>
        <w:rPr>
          <w:sz w:val="22"/>
        </w:rPr>
      </w:pPr>
      <w:r>
        <w:rPr>
          <w:sz w:val="22"/>
        </w:rPr>
        <w:t>Ávila, J.L. (1998): </w:t>
      </w:r>
      <w:r>
        <w:rPr>
          <w:i/>
          <w:sz w:val="22"/>
        </w:rPr>
        <w:t>El suelo como elemento ambiental. Perspectiva territorial y </w:t>
      </w:r>
      <w:r>
        <w:rPr>
          <w:i/>
          <w:sz w:val="22"/>
        </w:rPr>
        <w:t>urbanística</w:t>
      </w:r>
      <w:r>
        <w:rPr>
          <w:sz w:val="22"/>
        </w:rPr>
        <w:t>. Bilbao. Universidad de  Deusto.</w:t>
      </w:r>
    </w:p>
    <w:p>
      <w:pPr>
        <w:spacing w:line="253" w:lineRule="exact" w:before="0"/>
        <w:ind w:left="395" w:right="0" w:firstLine="0"/>
        <w:jc w:val="left"/>
        <w:rPr>
          <w:sz w:val="22"/>
        </w:rPr>
      </w:pPr>
      <w:r>
        <w:rPr>
          <w:sz w:val="22"/>
        </w:rPr>
        <w:t>Ayllón, M. (1995):  </w:t>
      </w:r>
      <w:r>
        <w:rPr>
          <w:i/>
          <w:sz w:val="22"/>
        </w:rPr>
        <w:t>La dictadura de los urbanistas. Un manifiesto  por una ciudad    libre</w:t>
      </w:r>
      <w:r>
        <w:rPr>
          <w:sz w:val="22"/>
        </w:rPr>
        <w:t>.</w:t>
      </w:r>
    </w:p>
    <w:p>
      <w:pPr>
        <w:pStyle w:val="BodyText"/>
        <w:spacing w:before="17"/>
        <w:ind w:left="905" w:right="771"/>
      </w:pPr>
      <w:r>
        <w:rPr/>
        <w:t>Madrid.  Temas de Hoy.</w:t>
      </w:r>
    </w:p>
    <w:p>
      <w:pPr>
        <w:spacing w:before="2"/>
        <w:ind w:left="395" w:right="771" w:firstLine="0"/>
        <w:jc w:val="left"/>
        <w:rPr>
          <w:sz w:val="22"/>
        </w:rPr>
      </w:pPr>
      <w:r>
        <w:rPr>
          <w:sz w:val="22"/>
        </w:rPr>
        <w:t>Bifani, P. (1988): </w:t>
      </w:r>
      <w:r>
        <w:rPr>
          <w:i/>
          <w:sz w:val="22"/>
        </w:rPr>
        <w:t>Desarrollo y medio ambiente</w:t>
      </w:r>
      <w:r>
        <w:rPr>
          <w:sz w:val="22"/>
        </w:rPr>
        <w:t>. Madrid.   MOPU.</w:t>
      </w:r>
    </w:p>
    <w:p>
      <w:pPr>
        <w:spacing w:after="0"/>
        <w:jc w:val="left"/>
        <w:rPr>
          <w:sz w:val="22"/>
        </w:rPr>
        <w:sectPr>
          <w:pgSz w:w="12240" w:h="15840"/>
          <w:pgMar w:top="1500" w:bottom="280" w:left="1720" w:right="1720"/>
        </w:sectPr>
      </w:pPr>
    </w:p>
    <w:p>
      <w:pPr>
        <w:spacing w:before="59"/>
        <w:ind w:left="395" w:right="0" w:firstLine="0"/>
        <w:jc w:val="left"/>
        <w:rPr>
          <w:sz w:val="22"/>
        </w:rPr>
      </w:pPr>
      <w:r>
        <w:rPr>
          <w:sz w:val="22"/>
        </w:rPr>
        <w:t>Comisión  Europea  (1990):   </w:t>
      </w:r>
      <w:r>
        <w:rPr>
          <w:i/>
          <w:sz w:val="22"/>
        </w:rPr>
        <w:t>Libro  Verde  sobre  Medio  Ambiente  Urbano</w:t>
      </w:r>
      <w:r>
        <w:rPr>
          <w:sz w:val="22"/>
        </w:rPr>
        <w:t>.     Bruselas.</w:t>
      </w:r>
    </w:p>
    <w:p>
      <w:pPr>
        <w:pStyle w:val="BodyText"/>
        <w:spacing w:line="246" w:lineRule="exact" w:before="17"/>
        <w:ind w:left="905" w:right="771"/>
      </w:pPr>
      <w:r>
        <w:rPr/>
        <w:t>Comunidades Europeas.</w:t>
      </w:r>
    </w:p>
    <w:p>
      <w:pPr>
        <w:pStyle w:val="BodyText"/>
        <w:spacing w:line="249" w:lineRule="auto"/>
        <w:ind w:left="905" w:right="423" w:hanging="510"/>
        <w:jc w:val="both"/>
      </w:pPr>
      <w:r>
        <w:rPr/>
        <w:t>CEMAT (Conferencia de Ministros Responsable s de Ordenación del Territorio) (1983): “Carta Europea de Ordenación del Territorio”. </w:t>
      </w:r>
      <w:r>
        <w:rPr>
          <w:i/>
        </w:rPr>
        <w:t>Estudios Territoriale </w:t>
      </w:r>
      <w:r>
        <w:rPr/>
        <w:t>s, 28, pág. 171-195.</w:t>
      </w:r>
    </w:p>
    <w:p>
      <w:pPr>
        <w:pStyle w:val="BodyText"/>
        <w:spacing w:line="256" w:lineRule="auto"/>
        <w:ind w:left="905" w:right="423" w:hanging="510"/>
        <w:jc w:val="both"/>
      </w:pPr>
      <w:r>
        <w:rPr/>
        <w:t>Clavero, J. (2001): “Especulación urbanística en Grazalema: crítica a la evaluación ambiental del planteamiento urbanístico”. </w:t>
      </w:r>
      <w:r>
        <w:rPr>
          <w:i/>
        </w:rPr>
        <w:t>El Ecologista</w:t>
      </w:r>
      <w:r>
        <w:rPr/>
        <w:t>, 29, pág.  54-57.</w:t>
      </w:r>
    </w:p>
    <w:p>
      <w:pPr>
        <w:spacing w:line="238" w:lineRule="exact" w:before="0"/>
        <w:ind w:left="395" w:right="0" w:firstLine="0"/>
        <w:jc w:val="left"/>
        <w:rPr>
          <w:sz w:val="22"/>
        </w:rPr>
      </w:pPr>
      <w:r>
        <w:rPr>
          <w:sz w:val="22"/>
        </w:rPr>
        <w:t>COPT  (1999):   </w:t>
      </w:r>
      <w:r>
        <w:rPr>
          <w:i/>
          <w:sz w:val="22"/>
        </w:rPr>
        <w:t>Plan  de  Ordenación  del  Territorio  de  la  Costa  Noroeste  de   Cádiz</w:t>
      </w:r>
      <w:r>
        <w:rPr>
          <w:sz w:val="22"/>
        </w:rPr>
        <w:t>.</w:t>
      </w:r>
    </w:p>
    <w:p>
      <w:pPr>
        <w:pStyle w:val="BodyText"/>
        <w:spacing w:line="246" w:lineRule="exact" w:before="17"/>
        <w:ind w:left="905" w:right="771"/>
      </w:pPr>
      <w:r>
        <w:rPr/>
        <w:t>Sevilla.  Junta  de Andalucía.</w:t>
      </w:r>
    </w:p>
    <w:p>
      <w:pPr>
        <w:spacing w:line="249" w:lineRule="auto" w:before="0"/>
        <w:ind w:left="905" w:right="423" w:hanging="510"/>
        <w:jc w:val="both"/>
        <w:rPr>
          <w:sz w:val="22"/>
        </w:rPr>
      </w:pPr>
      <w:r>
        <w:rPr>
          <w:sz w:val="22"/>
        </w:rPr>
        <w:t>De Mesones, J. (1999): “Hacia un nuevo paradigma del planeamiento espacial transfronterizo”. </w:t>
      </w:r>
      <w:r>
        <w:rPr>
          <w:i/>
          <w:sz w:val="22"/>
        </w:rPr>
        <w:t>II Congreso Ibérico de Urbanismo. Ordenación territorial </w:t>
      </w:r>
      <w:r>
        <w:rPr>
          <w:i/>
          <w:sz w:val="22"/>
        </w:rPr>
        <w:t>transfronteriza</w:t>
      </w:r>
      <w:r>
        <w:rPr>
          <w:sz w:val="22"/>
        </w:rPr>
        <w:t>, pág. 21-34. Valladolid. Junta de Castilla y   León.</w:t>
      </w:r>
    </w:p>
    <w:p>
      <w:pPr>
        <w:pStyle w:val="BodyText"/>
        <w:spacing w:line="256" w:lineRule="auto"/>
        <w:ind w:left="905" w:right="428" w:hanging="510"/>
        <w:jc w:val="both"/>
      </w:pPr>
      <w:r>
        <w:rPr/>
        <w:t>De Terán, F. (1997): “Resurgam (invocación para recuperar el urbanismo y continuar el planeamiento)”. </w:t>
      </w:r>
      <w:r>
        <w:rPr>
          <w:i/>
        </w:rPr>
        <w:t>Urban</w:t>
      </w:r>
      <w:r>
        <w:rPr/>
        <w:t>, 1, 9-28.</w:t>
      </w:r>
    </w:p>
    <w:p>
      <w:pPr>
        <w:spacing w:line="238" w:lineRule="exact" w:before="0"/>
        <w:ind w:left="395" w:right="0" w:firstLine="0"/>
        <w:jc w:val="left"/>
        <w:rPr>
          <w:i/>
          <w:sz w:val="22"/>
        </w:rPr>
      </w:pPr>
      <w:r>
        <w:rPr>
          <w:sz w:val="22"/>
        </w:rPr>
        <w:t>DG   Calidad   y   Evaluación   Ambiental   (2000):   </w:t>
      </w:r>
      <w:r>
        <w:rPr>
          <w:i/>
          <w:sz w:val="22"/>
        </w:rPr>
        <w:t>Sistema   español   de      indicadores</w:t>
      </w:r>
    </w:p>
    <w:p>
      <w:pPr>
        <w:spacing w:before="2"/>
        <w:ind w:left="905" w:right="771" w:firstLine="0"/>
        <w:jc w:val="left"/>
        <w:rPr>
          <w:sz w:val="22"/>
        </w:rPr>
      </w:pPr>
      <w:r>
        <w:rPr>
          <w:i/>
          <w:sz w:val="22"/>
        </w:rPr>
        <w:t>ambientales: área de medio ambiente urbano</w:t>
      </w:r>
      <w:r>
        <w:rPr>
          <w:sz w:val="22"/>
        </w:rPr>
        <w:t>. Madrid.   MMA.</w:t>
      </w:r>
    </w:p>
    <w:p>
      <w:pPr>
        <w:pStyle w:val="BodyText"/>
        <w:spacing w:line="242" w:lineRule="auto" w:before="2"/>
        <w:ind w:left="905" w:right="434" w:hanging="510"/>
        <w:jc w:val="both"/>
      </w:pPr>
      <w:r>
        <w:rPr/>
        <w:t>Ezquiaga, J.M. (1998): “¿Cambio de estilo o cambio de paradigma? Reflexiones sobre    la crisis del planeamiento urbano”. </w:t>
      </w:r>
      <w:r>
        <w:rPr>
          <w:i/>
        </w:rPr>
        <w:t>Urban</w:t>
      </w:r>
      <w:r>
        <w:rPr/>
        <w:t>, 2, pág. </w:t>
      </w:r>
      <w:r>
        <w:rPr>
          <w:spacing w:val="38"/>
        </w:rPr>
        <w:t> </w:t>
      </w:r>
      <w:r>
        <w:rPr>
          <w:spacing w:val="-3"/>
        </w:rPr>
        <w:t>7-36.</w:t>
      </w:r>
    </w:p>
    <w:p>
      <w:pPr>
        <w:spacing w:line="242" w:lineRule="auto" w:before="14"/>
        <w:ind w:left="1070" w:right="771" w:hanging="675"/>
        <w:jc w:val="left"/>
        <w:rPr>
          <w:sz w:val="22"/>
        </w:rPr>
      </w:pPr>
      <w:r>
        <w:rPr>
          <w:sz w:val="22"/>
        </w:rPr>
        <w:t>Feyerabend, P. (1986):  </w:t>
      </w:r>
      <w:r>
        <w:rPr>
          <w:i/>
          <w:sz w:val="22"/>
        </w:rPr>
        <w:t>Tratado contra el método. Esquema de una teoría anarquista   </w:t>
      </w:r>
      <w:r>
        <w:rPr>
          <w:i/>
          <w:sz w:val="22"/>
        </w:rPr>
        <w:t>del conocimiento</w:t>
      </w:r>
      <w:r>
        <w:rPr>
          <w:sz w:val="22"/>
        </w:rPr>
        <w:t>. Madrid.</w:t>
      </w:r>
      <w:r>
        <w:rPr>
          <w:spacing w:val="35"/>
          <w:sz w:val="22"/>
        </w:rPr>
        <w:t> </w:t>
      </w:r>
      <w:r>
        <w:rPr>
          <w:sz w:val="22"/>
        </w:rPr>
        <w:t>Tecnos.</w:t>
      </w:r>
    </w:p>
    <w:p>
      <w:pPr>
        <w:spacing w:line="253" w:lineRule="exact" w:before="0"/>
        <w:ind w:left="395" w:right="0" w:firstLine="0"/>
        <w:jc w:val="left"/>
        <w:rPr>
          <w:sz w:val="22"/>
        </w:rPr>
      </w:pPr>
      <w:r>
        <w:rPr>
          <w:sz w:val="22"/>
        </w:rPr>
        <w:t>Feyerabend,  P.  (1989):   </w:t>
      </w:r>
      <w:r>
        <w:rPr>
          <w:i/>
          <w:sz w:val="22"/>
        </w:rPr>
        <w:t>Límites  de  la  ciencia.  Explicación,  reducción  y    empirismo</w:t>
      </w:r>
      <w:r>
        <w:rPr>
          <w:sz w:val="22"/>
        </w:rPr>
        <w:t>.</w:t>
      </w:r>
    </w:p>
    <w:p>
      <w:pPr>
        <w:pStyle w:val="BodyText"/>
        <w:spacing w:line="246" w:lineRule="exact" w:before="17"/>
        <w:ind w:left="1070" w:right="771"/>
      </w:pPr>
      <w:r>
        <w:rPr/>
        <w:t>Barcelona.  Paidós/ICE-UAB.</w:t>
      </w:r>
    </w:p>
    <w:p>
      <w:pPr>
        <w:pStyle w:val="BodyText"/>
        <w:spacing w:line="256" w:lineRule="auto"/>
        <w:ind w:left="1070" w:right="505" w:hanging="675"/>
      </w:pPr>
      <w:r>
        <w:rPr/>
        <w:t>Font, A. (2001): “La experiencia reciente en Cataluña. Pla neamiento urbanístico para el siglo XXI”. </w:t>
      </w:r>
      <w:r>
        <w:rPr>
          <w:i/>
        </w:rPr>
        <w:t>Urban</w:t>
      </w:r>
      <w:r>
        <w:rPr/>
        <w:t>, 5, pág.  60-82.</w:t>
      </w:r>
    </w:p>
    <w:p>
      <w:pPr>
        <w:spacing w:line="238" w:lineRule="exact" w:before="0"/>
        <w:ind w:left="395" w:right="0" w:firstLine="0"/>
        <w:jc w:val="left"/>
        <w:rPr>
          <w:sz w:val="22"/>
        </w:rPr>
      </w:pPr>
      <w:r>
        <w:rPr>
          <w:sz w:val="22"/>
        </w:rPr>
        <w:t>Gómez Orea, D. (1992): </w:t>
      </w:r>
      <w:r>
        <w:rPr>
          <w:i/>
          <w:sz w:val="22"/>
        </w:rPr>
        <w:t>Evaluación  de  impacto  </w:t>
      </w:r>
      <w:r>
        <w:rPr>
          <w:i/>
          <w:spacing w:val="-3"/>
          <w:sz w:val="22"/>
        </w:rPr>
        <w:t>ambiental</w:t>
      </w:r>
      <w:r>
        <w:rPr>
          <w:spacing w:val="-3"/>
          <w:sz w:val="22"/>
        </w:rPr>
        <w:t>.  </w:t>
      </w:r>
      <w:r>
        <w:rPr>
          <w:sz w:val="22"/>
        </w:rPr>
        <w:t>Madrid.  Editorial</w:t>
      </w:r>
      <w:r>
        <w:rPr>
          <w:spacing w:val="54"/>
          <w:sz w:val="22"/>
        </w:rPr>
        <w:t> </w:t>
      </w:r>
      <w:r>
        <w:rPr>
          <w:sz w:val="22"/>
        </w:rPr>
        <w:t>Agrícola</w:t>
      </w:r>
    </w:p>
    <w:p>
      <w:pPr>
        <w:pStyle w:val="BodyText"/>
        <w:spacing w:before="2"/>
        <w:ind w:left="905" w:right="771"/>
      </w:pPr>
      <w:r>
        <w:rPr/>
        <w:t>Española.</w:t>
      </w:r>
    </w:p>
    <w:p>
      <w:pPr>
        <w:spacing w:line="242" w:lineRule="auto" w:before="17"/>
        <w:ind w:left="905" w:right="441" w:hanging="510"/>
        <w:jc w:val="both"/>
        <w:rPr>
          <w:sz w:val="22"/>
        </w:rPr>
      </w:pPr>
      <w:r>
        <w:rPr>
          <w:sz w:val="22"/>
        </w:rPr>
        <w:t>Grupo Aduar (2000): </w:t>
      </w:r>
      <w:r>
        <w:rPr>
          <w:i/>
          <w:sz w:val="22"/>
        </w:rPr>
        <w:t>Diccionario de geografía urbana, urbanismo y ordenación del </w:t>
      </w:r>
      <w:r>
        <w:rPr>
          <w:i/>
          <w:sz w:val="22"/>
        </w:rPr>
        <w:t>territorio</w:t>
      </w:r>
      <w:r>
        <w:rPr>
          <w:sz w:val="22"/>
        </w:rPr>
        <w:t>. Barcelo na.  Ariel.</w:t>
      </w:r>
    </w:p>
    <w:p>
      <w:pPr>
        <w:pStyle w:val="ListParagraph"/>
        <w:numPr>
          <w:ilvl w:val="0"/>
          <w:numId w:val="12"/>
        </w:numPr>
        <w:tabs>
          <w:tab w:pos="640" w:val="left" w:leader="none"/>
        </w:tabs>
        <w:spacing w:line="246" w:lineRule="exact" w:before="14" w:after="0"/>
        <w:ind w:left="905" w:right="0" w:hanging="510"/>
        <w:jc w:val="left"/>
        <w:rPr>
          <w:sz w:val="22"/>
        </w:rPr>
      </w:pPr>
      <w:r>
        <w:rPr>
          <w:i/>
          <w:sz w:val="22"/>
        </w:rPr>
        <w:t>Congreso  Ibérico  de  Urbanismo  </w:t>
      </w:r>
      <w:r>
        <w:rPr>
          <w:sz w:val="22"/>
        </w:rPr>
        <w:t>(1999):  “Conclusiones”,  pág.  99-103. </w:t>
      </w:r>
      <w:r>
        <w:rPr>
          <w:spacing w:val="12"/>
          <w:sz w:val="22"/>
        </w:rPr>
        <w:t> </w:t>
      </w:r>
      <w:r>
        <w:rPr>
          <w:sz w:val="22"/>
        </w:rPr>
        <w:t>Valladolid.</w:t>
      </w:r>
    </w:p>
    <w:p>
      <w:pPr>
        <w:pStyle w:val="BodyText"/>
        <w:spacing w:line="246" w:lineRule="exact"/>
        <w:ind w:left="905" w:right="771"/>
      </w:pPr>
      <w:r>
        <w:rPr/>
        <w:t>Junta de Castilla y León.</w:t>
      </w:r>
    </w:p>
    <w:p>
      <w:pPr>
        <w:pStyle w:val="ListParagraph"/>
        <w:numPr>
          <w:ilvl w:val="0"/>
          <w:numId w:val="12"/>
        </w:numPr>
        <w:tabs>
          <w:tab w:pos="676" w:val="left" w:leader="none"/>
        </w:tabs>
        <w:spacing w:line="256" w:lineRule="auto" w:before="2" w:after="0"/>
        <w:ind w:left="905" w:right="422" w:hanging="510"/>
        <w:jc w:val="both"/>
        <w:rPr>
          <w:sz w:val="22"/>
        </w:rPr>
      </w:pPr>
      <w:r>
        <w:rPr>
          <w:i/>
          <w:sz w:val="22"/>
        </w:rPr>
        <w:t>Congreso Internacional de Ordenación del Territorio</w:t>
      </w:r>
      <w:r>
        <w:rPr>
          <w:sz w:val="22"/>
        </w:rPr>
        <w:t>. Gijón (2001): “Conclusiones” </w:t>
      </w:r>
      <w:r>
        <w:rPr>
          <w:spacing w:val="-3"/>
          <w:sz w:val="22"/>
        </w:rPr>
        <w:t>(</w:t>
      </w:r>
      <w:r>
        <w:rPr>
          <w:color w:val="0000FF"/>
          <w:spacing w:val="-3"/>
          <w:sz w:val="22"/>
          <w:u w:val="single" w:color="0000FF"/>
        </w:rPr>
        <w:t>www.fundicot.org</w:t>
      </w:r>
      <w:r>
        <w:rPr>
          <w:spacing w:val="-3"/>
          <w:sz w:val="22"/>
        </w:rPr>
        <w:t>).</w:t>
      </w:r>
    </w:p>
    <w:p>
      <w:pPr>
        <w:pStyle w:val="BodyText"/>
        <w:spacing w:line="238" w:lineRule="exact"/>
        <w:ind w:left="905" w:hanging="510"/>
        <w:jc w:val="both"/>
      </w:pPr>
      <w:r>
        <w:rPr/>
        <w:t>Laborde,  P.  (1996):  “Dinámica  de  las  ciudades  medias  y  su  papel  de     reequilibrio</w:t>
      </w:r>
    </w:p>
    <w:p>
      <w:pPr>
        <w:spacing w:line="242" w:lineRule="auto" w:before="17"/>
        <w:ind w:left="905" w:right="505" w:firstLine="0"/>
        <w:jc w:val="left"/>
        <w:rPr>
          <w:sz w:val="22"/>
        </w:rPr>
      </w:pPr>
      <w:r>
        <w:rPr>
          <w:sz w:val="22"/>
        </w:rPr>
        <w:t>territorial”. López Trigal, L. (Dir.): </w:t>
      </w:r>
      <w:r>
        <w:rPr>
          <w:i/>
          <w:sz w:val="22"/>
        </w:rPr>
        <w:t>Ciudad y Alfoz. Jornadas de Estudio y Debate </w:t>
      </w:r>
      <w:r>
        <w:rPr>
          <w:i/>
          <w:sz w:val="22"/>
        </w:rPr>
        <w:t>Urbanos</w:t>
      </w:r>
      <w:r>
        <w:rPr>
          <w:sz w:val="22"/>
        </w:rPr>
        <w:t>, pág. 11-24. León. Universidad de  León.</w:t>
      </w:r>
    </w:p>
    <w:p>
      <w:pPr>
        <w:spacing w:line="253" w:lineRule="exact" w:before="0"/>
        <w:ind w:left="395" w:right="0" w:firstLine="0"/>
        <w:jc w:val="left"/>
        <w:rPr>
          <w:sz w:val="22"/>
        </w:rPr>
      </w:pPr>
      <w:r>
        <w:rPr>
          <w:sz w:val="22"/>
        </w:rPr>
        <w:t>Lakatos,   I.   (1993):   </w:t>
      </w:r>
      <w:r>
        <w:rPr>
          <w:i/>
          <w:sz w:val="22"/>
        </w:rPr>
        <w:t>La  metodología  de  los  programas  de  investigación    científica</w:t>
      </w:r>
      <w:r>
        <w:rPr>
          <w:sz w:val="22"/>
        </w:rPr>
        <w:t>.</w:t>
      </w:r>
    </w:p>
    <w:p>
      <w:pPr>
        <w:pStyle w:val="BodyText"/>
        <w:spacing w:before="2"/>
        <w:ind w:left="905" w:right="771"/>
      </w:pPr>
      <w:r>
        <w:rPr/>
        <w:t>Madrid. Alianza.</w:t>
      </w:r>
    </w:p>
    <w:p>
      <w:pPr>
        <w:spacing w:before="2"/>
        <w:ind w:left="395" w:right="771" w:firstLine="0"/>
        <w:jc w:val="left"/>
        <w:rPr>
          <w:sz w:val="22"/>
        </w:rPr>
      </w:pPr>
      <w:r>
        <w:rPr>
          <w:sz w:val="22"/>
        </w:rPr>
        <w:t>Nogué, J. (1998): </w:t>
      </w:r>
      <w:r>
        <w:rPr>
          <w:i/>
          <w:sz w:val="22"/>
        </w:rPr>
        <w:t>Nacionalismo y territorio</w:t>
      </w:r>
      <w:r>
        <w:rPr>
          <w:sz w:val="22"/>
        </w:rPr>
        <w:t>. Girona.  Milenio.</w:t>
      </w:r>
    </w:p>
    <w:p>
      <w:pPr>
        <w:spacing w:line="242" w:lineRule="auto" w:before="17"/>
        <w:ind w:left="905" w:right="422" w:hanging="510"/>
        <w:jc w:val="both"/>
        <w:rPr>
          <w:sz w:val="22"/>
        </w:rPr>
      </w:pPr>
      <w:r>
        <w:rPr>
          <w:sz w:val="22"/>
        </w:rPr>
        <w:t>Oficina del Plan de Sevilla (OPS) (2001): </w:t>
      </w:r>
      <w:r>
        <w:rPr>
          <w:i/>
          <w:sz w:val="22"/>
        </w:rPr>
        <w:t>Nuevo Plan General de Municipal de </w:t>
      </w:r>
      <w:r>
        <w:rPr>
          <w:i/>
          <w:sz w:val="22"/>
        </w:rPr>
        <w:t>Ordenación. Síntesis del documento oportunidades y estrategias para  la  ordenación urbana-territorial de Sevilla</w:t>
      </w:r>
      <w:r>
        <w:rPr>
          <w:sz w:val="22"/>
        </w:rPr>
        <w:t>. Sevilla. Gerencia de  </w:t>
      </w:r>
      <w:r>
        <w:rPr>
          <w:spacing w:val="20"/>
          <w:sz w:val="22"/>
        </w:rPr>
        <w:t> </w:t>
      </w:r>
      <w:r>
        <w:rPr>
          <w:sz w:val="22"/>
        </w:rPr>
        <w:t>Urbanismo.</w:t>
      </w:r>
    </w:p>
    <w:p>
      <w:pPr>
        <w:spacing w:line="242" w:lineRule="auto" w:before="14"/>
        <w:ind w:left="905" w:right="423" w:hanging="510"/>
        <w:jc w:val="both"/>
        <w:rPr>
          <w:sz w:val="22"/>
        </w:rPr>
      </w:pPr>
      <w:r>
        <w:rPr>
          <w:sz w:val="22"/>
        </w:rPr>
        <w:t>Parejo, L. (1988): “La organización administrativa de la ordenación del territorio”. </w:t>
      </w:r>
      <w:r>
        <w:rPr>
          <w:i/>
          <w:sz w:val="22"/>
        </w:rPr>
        <w:t>Ordenación del territorio y medio ambiente</w:t>
      </w:r>
      <w:r>
        <w:rPr>
          <w:sz w:val="22"/>
        </w:rPr>
        <w:t>, </w:t>
      </w:r>
      <w:r>
        <w:rPr>
          <w:spacing w:val="-3"/>
          <w:sz w:val="22"/>
        </w:rPr>
        <w:t>pág. </w:t>
      </w:r>
      <w:r>
        <w:rPr>
          <w:sz w:val="22"/>
        </w:rPr>
        <w:t>409-439. Bilbao. Instituto Vasco de Administración</w:t>
      </w:r>
      <w:r>
        <w:rPr>
          <w:spacing w:val="39"/>
          <w:sz w:val="22"/>
        </w:rPr>
        <w:t> </w:t>
      </w:r>
      <w:r>
        <w:rPr>
          <w:sz w:val="22"/>
        </w:rPr>
        <w:t>Pública.</w:t>
      </w:r>
    </w:p>
    <w:p>
      <w:pPr>
        <w:spacing w:line="242" w:lineRule="auto" w:before="0"/>
        <w:ind w:left="395" w:right="771" w:firstLine="0"/>
        <w:jc w:val="left"/>
        <w:rPr>
          <w:sz w:val="22"/>
        </w:rPr>
      </w:pPr>
      <w:r>
        <w:rPr>
          <w:sz w:val="22"/>
        </w:rPr>
        <w:t>Parejo, L. (1997): “La encrucijada actual del urbanismo”. </w:t>
      </w:r>
      <w:r>
        <w:rPr>
          <w:i/>
          <w:sz w:val="22"/>
        </w:rPr>
        <w:t>Urban</w:t>
      </w:r>
      <w:r>
        <w:rPr>
          <w:sz w:val="22"/>
        </w:rPr>
        <w:t>, 1, pág. 29-44. Popper, K.R. (1982): </w:t>
      </w:r>
      <w:r>
        <w:rPr>
          <w:i/>
          <w:sz w:val="22"/>
        </w:rPr>
        <w:t>La lógica de la investigación científica</w:t>
      </w:r>
      <w:r>
        <w:rPr>
          <w:sz w:val="22"/>
        </w:rPr>
        <w:t>. Madrid.   Tecnos.</w:t>
      </w:r>
    </w:p>
    <w:p>
      <w:pPr>
        <w:spacing w:line="249" w:lineRule="auto" w:before="14"/>
        <w:ind w:left="905" w:right="428" w:hanging="510"/>
        <w:jc w:val="both"/>
        <w:rPr>
          <w:sz w:val="22"/>
        </w:rPr>
      </w:pPr>
      <w:r>
        <w:rPr>
          <w:sz w:val="22"/>
        </w:rPr>
        <w:t>Precedo, A. (2003): “La ciudad en el territorio: nuevas redes, nuevas realidades”. AGE: </w:t>
      </w:r>
      <w:r>
        <w:rPr>
          <w:i/>
          <w:sz w:val="22"/>
        </w:rPr>
        <w:t>La ciudad. Nuevos procesos, nuevas respuestas</w:t>
      </w:r>
      <w:r>
        <w:rPr>
          <w:sz w:val="22"/>
        </w:rPr>
        <w:t>, </w:t>
      </w:r>
      <w:r>
        <w:rPr>
          <w:spacing w:val="-3"/>
          <w:sz w:val="22"/>
        </w:rPr>
        <w:t>pág. </w:t>
      </w:r>
      <w:r>
        <w:rPr>
          <w:sz w:val="22"/>
        </w:rPr>
        <w:t>15-33. León. Universidad de </w:t>
      </w:r>
      <w:r>
        <w:rPr>
          <w:spacing w:val="-8"/>
          <w:sz w:val="22"/>
        </w:rPr>
        <w:t>León.</w:t>
      </w:r>
    </w:p>
    <w:p>
      <w:pPr>
        <w:spacing w:line="230" w:lineRule="exact" w:before="0"/>
        <w:ind w:left="395" w:right="505" w:firstLine="0"/>
        <w:jc w:val="left"/>
        <w:rPr>
          <w:sz w:val="22"/>
        </w:rPr>
      </w:pPr>
      <w:r>
        <w:rPr>
          <w:sz w:val="22"/>
        </w:rPr>
        <w:t>Pujadas, R., y Font, J. (1998): </w:t>
      </w:r>
      <w:r>
        <w:rPr>
          <w:i/>
          <w:sz w:val="22"/>
        </w:rPr>
        <w:t>Ordenación y planificación territorial</w:t>
      </w:r>
      <w:r>
        <w:rPr>
          <w:sz w:val="22"/>
        </w:rPr>
        <w:t>. Madrid.   Síntesis.</w:t>
      </w:r>
    </w:p>
    <w:p>
      <w:pPr>
        <w:spacing w:after="0" w:line="230" w:lineRule="exact"/>
        <w:jc w:val="left"/>
        <w:rPr>
          <w:sz w:val="22"/>
        </w:rPr>
        <w:sectPr>
          <w:pgSz w:w="12240" w:h="15840"/>
          <w:pgMar w:top="1280" w:bottom="280" w:left="1720" w:right="1720"/>
        </w:sectPr>
      </w:pPr>
    </w:p>
    <w:p>
      <w:pPr>
        <w:pStyle w:val="BodyText"/>
        <w:spacing w:line="256" w:lineRule="auto" w:before="59"/>
        <w:ind w:left="395" w:right="454"/>
      </w:pPr>
      <w:r>
        <w:rPr/>
        <w:t>Quero, D. (2001): “Andalucía. Después del Tropicalismo”. </w:t>
      </w:r>
      <w:r>
        <w:rPr>
          <w:i/>
        </w:rPr>
        <w:t>Urban</w:t>
      </w:r>
      <w:r>
        <w:rPr/>
        <w:t>, 5, pág. </w:t>
      </w:r>
      <w:r>
        <w:rPr>
          <w:spacing w:val="-3"/>
        </w:rPr>
        <w:t>102-121.   </w:t>
      </w:r>
      <w:r>
        <w:rPr/>
        <w:t>Roch, F. (2001): “Hegemonía  inmobiliaria  y  desregulación  urbanística.  El  declive</w:t>
      </w:r>
      <w:r>
        <w:rPr>
          <w:spacing w:val="51"/>
        </w:rPr>
        <w:t> </w:t>
      </w:r>
      <w:r>
        <w:rPr>
          <w:spacing w:val="-2"/>
        </w:rPr>
        <w:t>del</w:t>
      </w:r>
    </w:p>
    <w:p>
      <w:pPr>
        <w:pStyle w:val="BodyText"/>
        <w:spacing w:line="223" w:lineRule="exact"/>
        <w:ind w:left="905"/>
        <w:jc w:val="both"/>
      </w:pPr>
      <w:r>
        <w:rPr/>
        <w:t>Plan Creador”. </w:t>
      </w:r>
      <w:r>
        <w:rPr>
          <w:i/>
        </w:rPr>
        <w:t>Urban</w:t>
      </w:r>
      <w:r>
        <w:rPr/>
        <w:t>, 6,</w:t>
      </w:r>
      <w:r>
        <w:rPr>
          <w:spacing w:val="50"/>
        </w:rPr>
        <w:t> </w:t>
      </w:r>
      <w:r>
        <w:rPr>
          <w:spacing w:val="-3"/>
        </w:rPr>
        <w:t>9-29.</w:t>
      </w:r>
    </w:p>
    <w:p>
      <w:pPr>
        <w:spacing w:line="247" w:lineRule="auto" w:before="17"/>
        <w:ind w:left="905" w:right="423" w:hanging="510"/>
        <w:jc w:val="both"/>
        <w:rPr>
          <w:sz w:val="22"/>
        </w:rPr>
      </w:pPr>
      <w:r>
        <w:rPr>
          <w:sz w:val="22"/>
        </w:rPr>
        <w:t>Rodríguez-Avial, L. </w:t>
      </w:r>
      <w:r>
        <w:rPr>
          <w:spacing w:val="-3"/>
          <w:sz w:val="22"/>
        </w:rPr>
        <w:t>(2002): </w:t>
      </w:r>
      <w:r>
        <w:rPr>
          <w:sz w:val="22"/>
        </w:rPr>
        <w:t>“El acercamiento actual entre los escenarios  del  </w:t>
      </w:r>
      <w:r>
        <w:rPr>
          <w:spacing w:val="-3"/>
          <w:sz w:val="22"/>
        </w:rPr>
        <w:t>Planeamiento </w:t>
      </w:r>
      <w:r>
        <w:rPr>
          <w:sz w:val="22"/>
        </w:rPr>
        <w:t>Territorial y Urbanístico </w:t>
      </w:r>
      <w:r>
        <w:rPr>
          <w:spacing w:val="-6"/>
          <w:sz w:val="22"/>
        </w:rPr>
        <w:t>”.  </w:t>
      </w:r>
      <w:r>
        <w:rPr>
          <w:i/>
          <w:sz w:val="22"/>
        </w:rPr>
        <w:t>III  Congreso  Internacional  de </w:t>
      </w:r>
      <w:r>
        <w:rPr>
          <w:i/>
          <w:sz w:val="22"/>
        </w:rPr>
        <w:t>Ordenación del Territorio. Política regional, urbanismo y medio ambiente </w:t>
      </w:r>
      <w:r>
        <w:rPr>
          <w:sz w:val="22"/>
        </w:rPr>
        <w:t>(</w:t>
      </w:r>
      <w:hyperlink r:id="rId11">
        <w:r>
          <w:rPr>
            <w:color w:val="0000FF"/>
            <w:sz w:val="22"/>
            <w:u w:val="single" w:color="0000FF"/>
          </w:rPr>
          <w:t>www.fundicot.org/grupo08.htm</w:t>
        </w:r>
        <w:r>
          <w:rPr>
            <w:sz w:val="22"/>
          </w:rPr>
          <w:t>).</w:t>
        </w:r>
      </w:hyperlink>
    </w:p>
    <w:p>
      <w:pPr>
        <w:pStyle w:val="BodyText"/>
        <w:spacing w:line="256" w:lineRule="auto"/>
        <w:ind w:left="905" w:right="436" w:hanging="510"/>
        <w:jc w:val="both"/>
      </w:pPr>
      <w:r>
        <w:rPr/>
        <w:t>Rullán, O. (1999): “La nueva Ley del Suelo de 1998 en el contexto del neoliberalismo posmoderno”. </w:t>
      </w:r>
      <w:r>
        <w:rPr>
          <w:i/>
        </w:rPr>
        <w:t>Investigaciones Geográficas</w:t>
      </w:r>
      <w:r>
        <w:rPr/>
        <w:t>, 22, pág. </w:t>
      </w:r>
      <w:r>
        <w:rPr>
          <w:spacing w:val="53"/>
        </w:rPr>
        <w:t> </w:t>
      </w:r>
      <w:r>
        <w:rPr>
          <w:spacing w:val="-3"/>
        </w:rPr>
        <w:t>5-21.</w:t>
      </w:r>
    </w:p>
    <w:p>
      <w:pPr>
        <w:pStyle w:val="BodyText"/>
        <w:spacing w:line="223" w:lineRule="exact"/>
        <w:ind w:left="905" w:hanging="510"/>
        <w:jc w:val="both"/>
      </w:pPr>
      <w:r>
        <w:rPr/>
        <w:t>Rullán, O. (2003): “Economía y sostenibilidad de las ciudades: entre la desregulación y</w:t>
      </w:r>
    </w:p>
    <w:p>
      <w:pPr>
        <w:spacing w:before="2"/>
        <w:ind w:left="905" w:right="0" w:firstLine="0"/>
        <w:jc w:val="both"/>
        <w:rPr>
          <w:sz w:val="22"/>
        </w:rPr>
      </w:pPr>
      <w:r>
        <w:rPr>
          <w:sz w:val="22"/>
        </w:rPr>
        <w:t>la planificación”. AGE: </w:t>
      </w:r>
      <w:r>
        <w:rPr>
          <w:i/>
          <w:sz w:val="22"/>
        </w:rPr>
        <w:t>La ciudad. Nuevos procesos, nuevas respuestas</w:t>
      </w:r>
      <w:r>
        <w:rPr>
          <w:sz w:val="22"/>
        </w:rPr>
        <w:t>, pág.    151-</w:t>
      </w:r>
    </w:p>
    <w:p>
      <w:pPr>
        <w:pStyle w:val="BodyText"/>
        <w:spacing w:before="17"/>
        <w:ind w:left="905"/>
        <w:jc w:val="both"/>
      </w:pPr>
      <w:r>
        <w:rPr/>
        <w:t>168. León. Universidad de  León.</w:t>
      </w:r>
    </w:p>
    <w:p>
      <w:pPr>
        <w:pStyle w:val="BodyText"/>
        <w:spacing w:line="256" w:lineRule="auto" w:before="2"/>
        <w:ind w:left="905" w:right="477" w:hanging="510"/>
        <w:jc w:val="both"/>
      </w:pPr>
      <w:r>
        <w:rPr/>
        <w:t>Sáenz de Buruaga, G. (1982): “Sentido de la Ordenación Territorial en  la  </w:t>
      </w:r>
      <w:r>
        <w:rPr>
          <w:spacing w:val="-2"/>
        </w:rPr>
        <w:t>España</w:t>
      </w:r>
      <w:r>
        <w:rPr>
          <w:spacing w:val="51"/>
        </w:rPr>
        <w:t> </w:t>
      </w:r>
      <w:r>
        <w:rPr>
          <w:spacing w:val="-3"/>
        </w:rPr>
        <w:t>actual”. </w:t>
      </w:r>
      <w:r>
        <w:rPr>
          <w:i/>
        </w:rPr>
        <w:t>Estudios Territoriale</w:t>
      </w:r>
      <w:r>
        <w:rPr/>
        <w:t>s, 7, </w:t>
      </w:r>
      <w:r>
        <w:rPr>
          <w:spacing w:val="-3"/>
        </w:rPr>
        <w:t>pág. </w:t>
      </w:r>
      <w:r>
        <w:rPr>
          <w:spacing w:val="35"/>
        </w:rPr>
        <w:t> </w:t>
      </w:r>
      <w:r>
        <w:rPr/>
        <w:t>62-88.</w:t>
      </w:r>
    </w:p>
    <w:p>
      <w:pPr>
        <w:spacing w:line="238" w:lineRule="exact" w:before="0"/>
        <w:ind w:left="395" w:right="0" w:firstLine="0"/>
        <w:jc w:val="left"/>
        <w:rPr>
          <w:sz w:val="22"/>
        </w:rPr>
      </w:pPr>
      <w:r>
        <w:rPr>
          <w:sz w:val="22"/>
        </w:rPr>
        <w:t>Scheid,   A.H.   (1996):   </w:t>
      </w:r>
      <w:r>
        <w:rPr>
          <w:i/>
          <w:sz w:val="22"/>
        </w:rPr>
        <w:t>Política   de   ordenación   del   territorio   en   Europa</w:t>
      </w:r>
      <w:r>
        <w:rPr>
          <w:sz w:val="22"/>
        </w:rPr>
        <w:t>.   Sevilla.</w:t>
      </w:r>
    </w:p>
    <w:p>
      <w:pPr>
        <w:pStyle w:val="BodyText"/>
        <w:spacing w:before="2"/>
        <w:ind w:left="1070" w:right="771"/>
      </w:pPr>
      <w:r>
        <w:rPr/>
        <w:t>Universidad de Sevilla-COPT.</w:t>
      </w:r>
    </w:p>
    <w:p>
      <w:pPr>
        <w:pStyle w:val="BodyText"/>
        <w:spacing w:line="242" w:lineRule="auto" w:before="2"/>
        <w:ind w:left="395" w:right="461"/>
      </w:pPr>
      <w:r>
        <w:rPr/>
        <w:t>Serrano, A. (1981): </w:t>
      </w:r>
      <w:r>
        <w:rPr>
          <w:i/>
        </w:rPr>
        <w:t>Ordenación del Territorio I</w:t>
      </w:r>
      <w:r>
        <w:rPr/>
        <w:t>. Valencia. Universidad Politécnica. Servet,  R.,  y  Martínez  Azarola,  N.  (2002):   “Evaluación  de  Impacto  Ambiental   del</w:t>
      </w:r>
    </w:p>
    <w:p>
      <w:pPr>
        <w:spacing w:line="247" w:lineRule="auto" w:before="14"/>
        <w:ind w:left="905" w:right="423" w:firstLine="0"/>
        <w:jc w:val="both"/>
        <w:rPr>
          <w:sz w:val="22"/>
        </w:rPr>
      </w:pPr>
      <w:r>
        <w:rPr>
          <w:sz w:val="22"/>
        </w:rPr>
        <w:t>Planeamiento Urbanístico. La cuestionabilidad de un procedimiento y una metodología de prevención medioambiental”. </w:t>
      </w:r>
      <w:r>
        <w:rPr>
          <w:i/>
          <w:sz w:val="22"/>
        </w:rPr>
        <w:t>III Congreso Internacional de </w:t>
      </w:r>
      <w:r>
        <w:rPr>
          <w:i/>
          <w:sz w:val="22"/>
        </w:rPr>
        <w:t>Ordenación del Territorio. Política regional, urbanismo y medio ambiente </w:t>
      </w:r>
      <w:r>
        <w:rPr>
          <w:sz w:val="22"/>
        </w:rPr>
        <w:t>(</w:t>
      </w:r>
      <w:hyperlink r:id="rId11">
        <w:r>
          <w:rPr>
            <w:color w:val="0000FF"/>
            <w:sz w:val="22"/>
            <w:u w:val="single" w:color="0000FF"/>
          </w:rPr>
          <w:t>www.fundicot.org/grupo08.htm</w:t>
        </w:r>
        <w:r>
          <w:rPr>
            <w:sz w:val="22"/>
          </w:rPr>
          <w:t>).</w:t>
        </w:r>
      </w:hyperlink>
    </w:p>
    <w:p>
      <w:pPr>
        <w:pStyle w:val="BodyText"/>
        <w:spacing w:line="233" w:lineRule="exact"/>
        <w:ind w:left="395" w:right="505"/>
      </w:pPr>
      <w:r>
        <w:rPr/>
        <w:t>Parejo, L. (1997): “New instruments of urbanism in a new urban epoch”. </w:t>
      </w:r>
      <w:r>
        <w:rPr>
          <w:i/>
        </w:rPr>
        <w:t>Urban</w:t>
      </w:r>
      <w:r>
        <w:rPr/>
        <w:t>, 1, pág.</w:t>
      </w:r>
    </w:p>
    <w:p>
      <w:pPr>
        <w:pStyle w:val="BodyText"/>
        <w:spacing w:before="17"/>
        <w:ind w:left="905"/>
        <w:jc w:val="both"/>
      </w:pPr>
      <w:r>
        <w:rPr/>
        <w:t>45-64.</w:t>
      </w:r>
    </w:p>
    <w:p>
      <w:pPr>
        <w:spacing w:line="249" w:lineRule="auto" w:before="2"/>
        <w:ind w:left="905" w:right="423" w:hanging="510"/>
        <w:jc w:val="both"/>
        <w:rPr>
          <w:sz w:val="22"/>
        </w:rPr>
      </w:pPr>
      <w:r>
        <w:rPr>
          <w:sz w:val="22"/>
        </w:rPr>
        <w:t>Troitiño, M.A. (1998): “Crecimiento urbano y conflictividad territorial”. </w:t>
      </w:r>
      <w:r>
        <w:rPr>
          <w:i/>
          <w:sz w:val="22"/>
        </w:rPr>
        <w:t>Actas de la </w:t>
      </w:r>
      <w:r>
        <w:rPr>
          <w:i/>
          <w:sz w:val="22"/>
        </w:rPr>
        <w:t>Octava Conferencia sobre Investigación Urbana y Regional</w:t>
      </w:r>
      <w:r>
        <w:rPr>
          <w:sz w:val="22"/>
        </w:rPr>
        <w:t>, pág.  201-206.  Madrid.  </w:t>
      </w:r>
      <w:r>
        <w:rPr>
          <w:spacing w:val="-3"/>
          <w:sz w:val="22"/>
        </w:rPr>
        <w:t>UN/ECE-HBP </w:t>
      </w:r>
      <w:r>
        <w:rPr>
          <w:sz w:val="22"/>
        </w:rPr>
        <w:t>y Ministerio de</w:t>
      </w:r>
      <w:r>
        <w:rPr>
          <w:spacing w:val="52"/>
          <w:sz w:val="22"/>
        </w:rPr>
        <w:t> </w:t>
      </w:r>
      <w:r>
        <w:rPr>
          <w:sz w:val="22"/>
        </w:rPr>
        <w:t>Fomento.</w:t>
      </w:r>
    </w:p>
    <w:p>
      <w:pPr>
        <w:spacing w:line="242" w:lineRule="auto" w:before="0"/>
        <w:ind w:left="905" w:right="409" w:hanging="510"/>
        <w:jc w:val="both"/>
        <w:rPr>
          <w:sz w:val="22"/>
        </w:rPr>
      </w:pPr>
      <w:r>
        <w:rPr>
          <w:sz w:val="22"/>
        </w:rPr>
        <w:t>Urkidi, P. (2002): “La dimensión ambiental de la Planificación Territorial: el caso de las Directrices de Ordenación del Territorio en la Comunidad del País Vasco”. </w:t>
      </w:r>
      <w:r>
        <w:rPr>
          <w:i/>
          <w:sz w:val="22"/>
        </w:rPr>
        <w:t>III </w:t>
      </w:r>
      <w:r>
        <w:rPr>
          <w:i/>
          <w:sz w:val="22"/>
        </w:rPr>
        <w:t>Congreso Internacional de Ordenación del Territorio.  Política  regional,  urbanismo y medio ambiente</w:t>
      </w:r>
      <w:r>
        <w:rPr>
          <w:sz w:val="22"/>
        </w:rPr>
        <w:t>, </w:t>
      </w:r>
      <w:r>
        <w:rPr>
          <w:spacing w:val="-3"/>
          <w:sz w:val="22"/>
        </w:rPr>
        <w:t>pág. </w:t>
      </w:r>
      <w:r>
        <w:rPr>
          <w:spacing w:val="42"/>
          <w:sz w:val="22"/>
        </w:rPr>
        <w:t> </w:t>
      </w:r>
      <w:r>
        <w:rPr>
          <w:sz w:val="22"/>
        </w:rPr>
        <w:t>469-498.</w:t>
      </w:r>
    </w:p>
    <w:p>
      <w:pPr>
        <w:spacing w:line="249" w:lineRule="auto" w:before="14"/>
        <w:ind w:left="905" w:right="423" w:hanging="510"/>
        <w:jc w:val="both"/>
        <w:rPr>
          <w:sz w:val="22"/>
        </w:rPr>
      </w:pPr>
      <w:r>
        <w:rPr>
          <w:sz w:val="22"/>
        </w:rPr>
        <w:t>Vega, G. (2002): “Reflexiones sobre el escaso desarrollo de las Leyes de Ordenación      del Territorio en España”. </w:t>
      </w:r>
      <w:r>
        <w:rPr>
          <w:i/>
          <w:sz w:val="22"/>
        </w:rPr>
        <w:t>III Congreso Internacional de  Ordenación  del </w:t>
      </w:r>
      <w:r>
        <w:rPr>
          <w:i/>
          <w:sz w:val="22"/>
        </w:rPr>
        <w:t>Territorio. Política regional, urbanismo y medio ambiente</w:t>
      </w:r>
      <w:r>
        <w:rPr>
          <w:sz w:val="22"/>
        </w:rPr>
        <w:t>, pág. </w:t>
      </w:r>
      <w:r>
        <w:rPr>
          <w:spacing w:val="38"/>
          <w:sz w:val="22"/>
        </w:rPr>
        <w:t> </w:t>
      </w:r>
      <w:r>
        <w:rPr>
          <w:sz w:val="22"/>
        </w:rPr>
        <w:t>271-276.</w:t>
      </w:r>
    </w:p>
    <w:p>
      <w:pPr>
        <w:spacing w:line="242" w:lineRule="auto" w:before="0"/>
        <w:ind w:left="905" w:right="436" w:hanging="510"/>
        <w:jc w:val="both"/>
        <w:rPr>
          <w:sz w:val="22"/>
        </w:rPr>
      </w:pPr>
      <w:r>
        <w:rPr>
          <w:sz w:val="22"/>
        </w:rPr>
        <w:t>Vegara, A. (1993): “Cultura urbana y cultura del territorio. Los retos del urbanismo del siglo  XXI”. </w:t>
      </w:r>
      <w:r>
        <w:rPr>
          <w:i/>
          <w:sz w:val="22"/>
        </w:rPr>
        <w:t>Ciudad y Territorio/Estudios Territoriales</w:t>
      </w:r>
      <w:r>
        <w:rPr>
          <w:sz w:val="22"/>
        </w:rPr>
        <w:t>, 95-96, pág.  245-256.</w:t>
      </w:r>
    </w:p>
    <w:p>
      <w:pPr>
        <w:pStyle w:val="BodyText"/>
        <w:spacing w:line="253" w:lineRule="exact"/>
        <w:ind w:left="395" w:right="771"/>
      </w:pPr>
      <w:r>
        <w:rPr/>
        <w:t>Zoido, F. (1998): “Geografía y ordenación del territorio”. </w:t>
      </w:r>
      <w:r>
        <w:rPr>
          <w:i/>
        </w:rPr>
        <w:t>IBER</w:t>
      </w:r>
      <w:r>
        <w:rPr/>
        <w:t>, 16,   pág.19-31.</w:t>
      </w:r>
    </w:p>
    <w:sectPr>
      <w:pgSz w:w="12240" w:h="15840"/>
      <w:pgMar w:top="128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2"/>
      <w:numFmt w:val="upperRoman"/>
      <w:lvlText w:val="%1"/>
      <w:lvlJc w:val="left"/>
      <w:pPr>
        <w:ind w:left="905" w:hanging="245"/>
        <w:jc w:val="left"/>
      </w:pPr>
      <w:rPr>
        <w:rFonts w:hint="default" w:ascii="Times New Roman" w:hAnsi="Times New Roman" w:eastAsia="Times New Roman" w:cs="Times New Roman"/>
        <w:i/>
        <w:w w:val="102"/>
        <w:sz w:val="22"/>
        <w:szCs w:val="22"/>
      </w:rPr>
    </w:lvl>
    <w:lvl w:ilvl="1">
      <w:start w:val="1"/>
      <w:numFmt w:val="bullet"/>
      <w:lvlText w:val="•"/>
      <w:lvlJc w:val="left"/>
      <w:pPr>
        <w:ind w:left="1690" w:hanging="245"/>
      </w:pPr>
      <w:rPr>
        <w:rFonts w:hint="default"/>
      </w:rPr>
    </w:lvl>
    <w:lvl w:ilvl="2">
      <w:start w:val="1"/>
      <w:numFmt w:val="bullet"/>
      <w:lvlText w:val="•"/>
      <w:lvlJc w:val="left"/>
      <w:pPr>
        <w:ind w:left="2480" w:hanging="245"/>
      </w:pPr>
      <w:rPr>
        <w:rFonts w:hint="default"/>
      </w:rPr>
    </w:lvl>
    <w:lvl w:ilvl="3">
      <w:start w:val="1"/>
      <w:numFmt w:val="bullet"/>
      <w:lvlText w:val="•"/>
      <w:lvlJc w:val="left"/>
      <w:pPr>
        <w:ind w:left="3270" w:hanging="245"/>
      </w:pPr>
      <w:rPr>
        <w:rFonts w:hint="default"/>
      </w:rPr>
    </w:lvl>
    <w:lvl w:ilvl="4">
      <w:start w:val="1"/>
      <w:numFmt w:val="bullet"/>
      <w:lvlText w:val="•"/>
      <w:lvlJc w:val="left"/>
      <w:pPr>
        <w:ind w:left="4060" w:hanging="245"/>
      </w:pPr>
      <w:rPr>
        <w:rFonts w:hint="default"/>
      </w:rPr>
    </w:lvl>
    <w:lvl w:ilvl="5">
      <w:start w:val="1"/>
      <w:numFmt w:val="bullet"/>
      <w:lvlText w:val="•"/>
      <w:lvlJc w:val="left"/>
      <w:pPr>
        <w:ind w:left="4850" w:hanging="245"/>
      </w:pPr>
      <w:rPr>
        <w:rFonts w:hint="default"/>
      </w:rPr>
    </w:lvl>
    <w:lvl w:ilvl="6">
      <w:start w:val="1"/>
      <w:numFmt w:val="bullet"/>
      <w:lvlText w:val="•"/>
      <w:lvlJc w:val="left"/>
      <w:pPr>
        <w:ind w:left="5640" w:hanging="245"/>
      </w:pPr>
      <w:rPr>
        <w:rFonts w:hint="default"/>
      </w:rPr>
    </w:lvl>
    <w:lvl w:ilvl="7">
      <w:start w:val="1"/>
      <w:numFmt w:val="bullet"/>
      <w:lvlText w:val="•"/>
      <w:lvlJc w:val="left"/>
      <w:pPr>
        <w:ind w:left="6430" w:hanging="245"/>
      </w:pPr>
      <w:rPr>
        <w:rFonts w:hint="default"/>
      </w:rPr>
    </w:lvl>
    <w:lvl w:ilvl="8">
      <w:start w:val="1"/>
      <w:numFmt w:val="bullet"/>
      <w:lvlText w:val="•"/>
      <w:lvlJc w:val="left"/>
      <w:pPr>
        <w:ind w:left="7220" w:hanging="245"/>
      </w:pPr>
      <w:rPr>
        <w:rFonts w:hint="default"/>
      </w:rPr>
    </w:lvl>
  </w:abstractNum>
  <w:abstractNum w:abstractNumId="10">
    <w:multiLevelType w:val="hybridMultilevel"/>
    <w:lvl w:ilvl="0">
      <w:start w:val="1"/>
      <w:numFmt w:val="bullet"/>
      <w:lvlText w:val="-"/>
      <w:lvlJc w:val="left"/>
      <w:pPr>
        <w:ind w:left="90" w:hanging="105"/>
      </w:pPr>
      <w:rPr>
        <w:rFonts w:hint="default" w:ascii="Times New Roman" w:hAnsi="Times New Roman" w:eastAsia="Times New Roman" w:cs="Times New Roman"/>
        <w:w w:val="101"/>
        <w:sz w:val="18"/>
        <w:szCs w:val="18"/>
      </w:rPr>
    </w:lvl>
    <w:lvl w:ilvl="1">
      <w:start w:val="1"/>
      <w:numFmt w:val="bullet"/>
      <w:lvlText w:val="•"/>
      <w:lvlJc w:val="left"/>
      <w:pPr>
        <w:ind w:left="493" w:hanging="105"/>
      </w:pPr>
      <w:rPr>
        <w:rFonts w:hint="default"/>
      </w:rPr>
    </w:lvl>
    <w:lvl w:ilvl="2">
      <w:start w:val="1"/>
      <w:numFmt w:val="bullet"/>
      <w:lvlText w:val="•"/>
      <w:lvlJc w:val="left"/>
      <w:pPr>
        <w:ind w:left="887" w:hanging="105"/>
      </w:pPr>
      <w:rPr>
        <w:rFonts w:hint="default"/>
      </w:rPr>
    </w:lvl>
    <w:lvl w:ilvl="3">
      <w:start w:val="1"/>
      <w:numFmt w:val="bullet"/>
      <w:lvlText w:val="•"/>
      <w:lvlJc w:val="left"/>
      <w:pPr>
        <w:ind w:left="1280" w:hanging="105"/>
      </w:pPr>
      <w:rPr>
        <w:rFonts w:hint="default"/>
      </w:rPr>
    </w:lvl>
    <w:lvl w:ilvl="4">
      <w:start w:val="1"/>
      <w:numFmt w:val="bullet"/>
      <w:lvlText w:val="•"/>
      <w:lvlJc w:val="left"/>
      <w:pPr>
        <w:ind w:left="1674" w:hanging="105"/>
      </w:pPr>
      <w:rPr>
        <w:rFonts w:hint="default"/>
      </w:rPr>
    </w:lvl>
    <w:lvl w:ilvl="5">
      <w:start w:val="1"/>
      <w:numFmt w:val="bullet"/>
      <w:lvlText w:val="•"/>
      <w:lvlJc w:val="left"/>
      <w:pPr>
        <w:ind w:left="2067" w:hanging="105"/>
      </w:pPr>
      <w:rPr>
        <w:rFonts w:hint="default"/>
      </w:rPr>
    </w:lvl>
    <w:lvl w:ilvl="6">
      <w:start w:val="1"/>
      <w:numFmt w:val="bullet"/>
      <w:lvlText w:val="•"/>
      <w:lvlJc w:val="left"/>
      <w:pPr>
        <w:ind w:left="2461" w:hanging="105"/>
      </w:pPr>
      <w:rPr>
        <w:rFonts w:hint="default"/>
      </w:rPr>
    </w:lvl>
    <w:lvl w:ilvl="7">
      <w:start w:val="1"/>
      <w:numFmt w:val="bullet"/>
      <w:lvlText w:val="•"/>
      <w:lvlJc w:val="left"/>
      <w:pPr>
        <w:ind w:left="2854" w:hanging="105"/>
      </w:pPr>
      <w:rPr>
        <w:rFonts w:hint="default"/>
      </w:rPr>
    </w:lvl>
    <w:lvl w:ilvl="8">
      <w:start w:val="1"/>
      <w:numFmt w:val="bullet"/>
      <w:lvlText w:val="•"/>
      <w:lvlJc w:val="left"/>
      <w:pPr>
        <w:ind w:left="3248" w:hanging="105"/>
      </w:pPr>
      <w:rPr>
        <w:rFonts w:hint="default"/>
      </w:rPr>
    </w:lvl>
  </w:abstractNum>
  <w:abstractNum w:abstractNumId="9">
    <w:multiLevelType w:val="hybridMultilevel"/>
    <w:lvl w:ilvl="0">
      <w:start w:val="1"/>
      <w:numFmt w:val="bullet"/>
      <w:lvlText w:val="-"/>
      <w:lvlJc w:val="left"/>
      <w:pPr>
        <w:ind w:left="90" w:hanging="110"/>
      </w:pPr>
      <w:rPr>
        <w:rFonts w:hint="default" w:ascii="Times New Roman" w:hAnsi="Times New Roman" w:eastAsia="Times New Roman" w:cs="Times New Roman"/>
        <w:w w:val="101"/>
        <w:sz w:val="18"/>
        <w:szCs w:val="18"/>
      </w:rPr>
    </w:lvl>
    <w:lvl w:ilvl="1">
      <w:start w:val="1"/>
      <w:numFmt w:val="bullet"/>
      <w:lvlText w:val="•"/>
      <w:lvlJc w:val="left"/>
      <w:pPr>
        <w:ind w:left="493" w:hanging="110"/>
      </w:pPr>
      <w:rPr>
        <w:rFonts w:hint="default"/>
      </w:rPr>
    </w:lvl>
    <w:lvl w:ilvl="2">
      <w:start w:val="1"/>
      <w:numFmt w:val="bullet"/>
      <w:lvlText w:val="•"/>
      <w:lvlJc w:val="left"/>
      <w:pPr>
        <w:ind w:left="887" w:hanging="110"/>
      </w:pPr>
      <w:rPr>
        <w:rFonts w:hint="default"/>
      </w:rPr>
    </w:lvl>
    <w:lvl w:ilvl="3">
      <w:start w:val="1"/>
      <w:numFmt w:val="bullet"/>
      <w:lvlText w:val="•"/>
      <w:lvlJc w:val="left"/>
      <w:pPr>
        <w:ind w:left="1280" w:hanging="110"/>
      </w:pPr>
      <w:rPr>
        <w:rFonts w:hint="default"/>
      </w:rPr>
    </w:lvl>
    <w:lvl w:ilvl="4">
      <w:start w:val="1"/>
      <w:numFmt w:val="bullet"/>
      <w:lvlText w:val="•"/>
      <w:lvlJc w:val="left"/>
      <w:pPr>
        <w:ind w:left="1674" w:hanging="110"/>
      </w:pPr>
      <w:rPr>
        <w:rFonts w:hint="default"/>
      </w:rPr>
    </w:lvl>
    <w:lvl w:ilvl="5">
      <w:start w:val="1"/>
      <w:numFmt w:val="bullet"/>
      <w:lvlText w:val="•"/>
      <w:lvlJc w:val="left"/>
      <w:pPr>
        <w:ind w:left="2067" w:hanging="110"/>
      </w:pPr>
      <w:rPr>
        <w:rFonts w:hint="default"/>
      </w:rPr>
    </w:lvl>
    <w:lvl w:ilvl="6">
      <w:start w:val="1"/>
      <w:numFmt w:val="bullet"/>
      <w:lvlText w:val="•"/>
      <w:lvlJc w:val="left"/>
      <w:pPr>
        <w:ind w:left="2461" w:hanging="110"/>
      </w:pPr>
      <w:rPr>
        <w:rFonts w:hint="default"/>
      </w:rPr>
    </w:lvl>
    <w:lvl w:ilvl="7">
      <w:start w:val="1"/>
      <w:numFmt w:val="bullet"/>
      <w:lvlText w:val="•"/>
      <w:lvlJc w:val="left"/>
      <w:pPr>
        <w:ind w:left="2854" w:hanging="110"/>
      </w:pPr>
      <w:rPr>
        <w:rFonts w:hint="default"/>
      </w:rPr>
    </w:lvl>
    <w:lvl w:ilvl="8">
      <w:start w:val="1"/>
      <w:numFmt w:val="bullet"/>
      <w:lvlText w:val="•"/>
      <w:lvlJc w:val="left"/>
      <w:pPr>
        <w:ind w:left="3248" w:hanging="110"/>
      </w:pPr>
      <w:rPr>
        <w:rFonts w:hint="default"/>
      </w:rPr>
    </w:lvl>
  </w:abstractNum>
  <w:abstractNum w:abstractNumId="8">
    <w:multiLevelType w:val="hybridMultilevel"/>
    <w:lvl w:ilvl="0">
      <w:start w:val="1"/>
      <w:numFmt w:val="bullet"/>
      <w:lvlText w:val="-"/>
      <w:lvlJc w:val="left"/>
      <w:pPr>
        <w:ind w:left="90" w:hanging="110"/>
      </w:pPr>
      <w:rPr>
        <w:rFonts w:hint="default" w:ascii="Times New Roman" w:hAnsi="Times New Roman" w:eastAsia="Times New Roman" w:cs="Times New Roman"/>
        <w:w w:val="101"/>
        <w:sz w:val="18"/>
        <w:szCs w:val="18"/>
      </w:rPr>
    </w:lvl>
    <w:lvl w:ilvl="1">
      <w:start w:val="1"/>
      <w:numFmt w:val="bullet"/>
      <w:lvlText w:val="•"/>
      <w:lvlJc w:val="left"/>
      <w:pPr>
        <w:ind w:left="493" w:hanging="110"/>
      </w:pPr>
      <w:rPr>
        <w:rFonts w:hint="default"/>
      </w:rPr>
    </w:lvl>
    <w:lvl w:ilvl="2">
      <w:start w:val="1"/>
      <w:numFmt w:val="bullet"/>
      <w:lvlText w:val="•"/>
      <w:lvlJc w:val="left"/>
      <w:pPr>
        <w:ind w:left="887" w:hanging="110"/>
      </w:pPr>
      <w:rPr>
        <w:rFonts w:hint="default"/>
      </w:rPr>
    </w:lvl>
    <w:lvl w:ilvl="3">
      <w:start w:val="1"/>
      <w:numFmt w:val="bullet"/>
      <w:lvlText w:val="•"/>
      <w:lvlJc w:val="left"/>
      <w:pPr>
        <w:ind w:left="1280" w:hanging="110"/>
      </w:pPr>
      <w:rPr>
        <w:rFonts w:hint="default"/>
      </w:rPr>
    </w:lvl>
    <w:lvl w:ilvl="4">
      <w:start w:val="1"/>
      <w:numFmt w:val="bullet"/>
      <w:lvlText w:val="•"/>
      <w:lvlJc w:val="left"/>
      <w:pPr>
        <w:ind w:left="1674" w:hanging="110"/>
      </w:pPr>
      <w:rPr>
        <w:rFonts w:hint="default"/>
      </w:rPr>
    </w:lvl>
    <w:lvl w:ilvl="5">
      <w:start w:val="1"/>
      <w:numFmt w:val="bullet"/>
      <w:lvlText w:val="•"/>
      <w:lvlJc w:val="left"/>
      <w:pPr>
        <w:ind w:left="2067" w:hanging="110"/>
      </w:pPr>
      <w:rPr>
        <w:rFonts w:hint="default"/>
      </w:rPr>
    </w:lvl>
    <w:lvl w:ilvl="6">
      <w:start w:val="1"/>
      <w:numFmt w:val="bullet"/>
      <w:lvlText w:val="•"/>
      <w:lvlJc w:val="left"/>
      <w:pPr>
        <w:ind w:left="2461" w:hanging="110"/>
      </w:pPr>
      <w:rPr>
        <w:rFonts w:hint="default"/>
      </w:rPr>
    </w:lvl>
    <w:lvl w:ilvl="7">
      <w:start w:val="1"/>
      <w:numFmt w:val="bullet"/>
      <w:lvlText w:val="•"/>
      <w:lvlJc w:val="left"/>
      <w:pPr>
        <w:ind w:left="2854" w:hanging="110"/>
      </w:pPr>
      <w:rPr>
        <w:rFonts w:hint="default"/>
      </w:rPr>
    </w:lvl>
    <w:lvl w:ilvl="8">
      <w:start w:val="1"/>
      <w:numFmt w:val="bullet"/>
      <w:lvlText w:val="•"/>
      <w:lvlJc w:val="left"/>
      <w:pPr>
        <w:ind w:left="3248" w:hanging="110"/>
      </w:pPr>
      <w:rPr>
        <w:rFonts w:hint="default"/>
      </w:rPr>
    </w:lvl>
  </w:abstractNum>
  <w:abstractNum w:abstractNumId="7">
    <w:multiLevelType w:val="hybridMultilevel"/>
    <w:lvl w:ilvl="0">
      <w:start w:val="1"/>
      <w:numFmt w:val="bullet"/>
      <w:lvlText w:val="-"/>
      <w:lvlJc w:val="left"/>
      <w:pPr>
        <w:ind w:left="90" w:hanging="105"/>
      </w:pPr>
      <w:rPr>
        <w:rFonts w:hint="default" w:ascii="Times New Roman" w:hAnsi="Times New Roman" w:eastAsia="Times New Roman" w:cs="Times New Roman"/>
        <w:w w:val="101"/>
        <w:sz w:val="18"/>
        <w:szCs w:val="18"/>
      </w:rPr>
    </w:lvl>
    <w:lvl w:ilvl="1">
      <w:start w:val="1"/>
      <w:numFmt w:val="bullet"/>
      <w:lvlText w:val="•"/>
      <w:lvlJc w:val="left"/>
      <w:pPr>
        <w:ind w:left="493" w:hanging="105"/>
      </w:pPr>
      <w:rPr>
        <w:rFonts w:hint="default"/>
      </w:rPr>
    </w:lvl>
    <w:lvl w:ilvl="2">
      <w:start w:val="1"/>
      <w:numFmt w:val="bullet"/>
      <w:lvlText w:val="•"/>
      <w:lvlJc w:val="left"/>
      <w:pPr>
        <w:ind w:left="887" w:hanging="105"/>
      </w:pPr>
      <w:rPr>
        <w:rFonts w:hint="default"/>
      </w:rPr>
    </w:lvl>
    <w:lvl w:ilvl="3">
      <w:start w:val="1"/>
      <w:numFmt w:val="bullet"/>
      <w:lvlText w:val="•"/>
      <w:lvlJc w:val="left"/>
      <w:pPr>
        <w:ind w:left="1280" w:hanging="105"/>
      </w:pPr>
      <w:rPr>
        <w:rFonts w:hint="default"/>
      </w:rPr>
    </w:lvl>
    <w:lvl w:ilvl="4">
      <w:start w:val="1"/>
      <w:numFmt w:val="bullet"/>
      <w:lvlText w:val="•"/>
      <w:lvlJc w:val="left"/>
      <w:pPr>
        <w:ind w:left="1674" w:hanging="105"/>
      </w:pPr>
      <w:rPr>
        <w:rFonts w:hint="default"/>
      </w:rPr>
    </w:lvl>
    <w:lvl w:ilvl="5">
      <w:start w:val="1"/>
      <w:numFmt w:val="bullet"/>
      <w:lvlText w:val="•"/>
      <w:lvlJc w:val="left"/>
      <w:pPr>
        <w:ind w:left="2067" w:hanging="105"/>
      </w:pPr>
      <w:rPr>
        <w:rFonts w:hint="default"/>
      </w:rPr>
    </w:lvl>
    <w:lvl w:ilvl="6">
      <w:start w:val="1"/>
      <w:numFmt w:val="bullet"/>
      <w:lvlText w:val="•"/>
      <w:lvlJc w:val="left"/>
      <w:pPr>
        <w:ind w:left="2461" w:hanging="105"/>
      </w:pPr>
      <w:rPr>
        <w:rFonts w:hint="default"/>
      </w:rPr>
    </w:lvl>
    <w:lvl w:ilvl="7">
      <w:start w:val="1"/>
      <w:numFmt w:val="bullet"/>
      <w:lvlText w:val="•"/>
      <w:lvlJc w:val="left"/>
      <w:pPr>
        <w:ind w:left="2854" w:hanging="105"/>
      </w:pPr>
      <w:rPr>
        <w:rFonts w:hint="default"/>
      </w:rPr>
    </w:lvl>
    <w:lvl w:ilvl="8">
      <w:start w:val="1"/>
      <w:numFmt w:val="bullet"/>
      <w:lvlText w:val="•"/>
      <w:lvlJc w:val="left"/>
      <w:pPr>
        <w:ind w:left="3248" w:hanging="105"/>
      </w:pPr>
      <w:rPr>
        <w:rFonts w:hint="default"/>
      </w:rPr>
    </w:lvl>
  </w:abstractNum>
  <w:abstractNum w:abstractNumId="6">
    <w:multiLevelType w:val="hybridMultilevel"/>
    <w:lvl w:ilvl="0">
      <w:start w:val="1"/>
      <w:numFmt w:val="bullet"/>
      <w:lvlText w:val="-"/>
      <w:lvlJc w:val="left"/>
      <w:pPr>
        <w:ind w:left="2075" w:hanging="330"/>
      </w:pPr>
      <w:rPr>
        <w:rFonts w:hint="default" w:ascii="Times New Roman" w:hAnsi="Times New Roman" w:eastAsia="Times New Roman" w:cs="Times New Roman"/>
        <w:w w:val="102"/>
        <w:sz w:val="22"/>
        <w:szCs w:val="22"/>
      </w:rPr>
    </w:lvl>
    <w:lvl w:ilvl="1">
      <w:start w:val="1"/>
      <w:numFmt w:val="bullet"/>
      <w:lvlText w:val="•"/>
      <w:lvlJc w:val="left"/>
      <w:pPr>
        <w:ind w:left="2752" w:hanging="330"/>
      </w:pPr>
      <w:rPr>
        <w:rFonts w:hint="default"/>
      </w:rPr>
    </w:lvl>
    <w:lvl w:ilvl="2">
      <w:start w:val="1"/>
      <w:numFmt w:val="bullet"/>
      <w:lvlText w:val="•"/>
      <w:lvlJc w:val="left"/>
      <w:pPr>
        <w:ind w:left="3424" w:hanging="330"/>
      </w:pPr>
      <w:rPr>
        <w:rFonts w:hint="default"/>
      </w:rPr>
    </w:lvl>
    <w:lvl w:ilvl="3">
      <w:start w:val="1"/>
      <w:numFmt w:val="bullet"/>
      <w:lvlText w:val="•"/>
      <w:lvlJc w:val="left"/>
      <w:pPr>
        <w:ind w:left="4096" w:hanging="330"/>
      </w:pPr>
      <w:rPr>
        <w:rFonts w:hint="default"/>
      </w:rPr>
    </w:lvl>
    <w:lvl w:ilvl="4">
      <w:start w:val="1"/>
      <w:numFmt w:val="bullet"/>
      <w:lvlText w:val="•"/>
      <w:lvlJc w:val="left"/>
      <w:pPr>
        <w:ind w:left="4768" w:hanging="330"/>
      </w:pPr>
      <w:rPr>
        <w:rFonts w:hint="default"/>
      </w:rPr>
    </w:lvl>
    <w:lvl w:ilvl="5">
      <w:start w:val="1"/>
      <w:numFmt w:val="bullet"/>
      <w:lvlText w:val="•"/>
      <w:lvlJc w:val="left"/>
      <w:pPr>
        <w:ind w:left="5440" w:hanging="330"/>
      </w:pPr>
      <w:rPr>
        <w:rFonts w:hint="default"/>
      </w:rPr>
    </w:lvl>
    <w:lvl w:ilvl="6">
      <w:start w:val="1"/>
      <w:numFmt w:val="bullet"/>
      <w:lvlText w:val="•"/>
      <w:lvlJc w:val="left"/>
      <w:pPr>
        <w:ind w:left="6112" w:hanging="330"/>
      </w:pPr>
      <w:rPr>
        <w:rFonts w:hint="default"/>
      </w:rPr>
    </w:lvl>
    <w:lvl w:ilvl="7">
      <w:start w:val="1"/>
      <w:numFmt w:val="bullet"/>
      <w:lvlText w:val="•"/>
      <w:lvlJc w:val="left"/>
      <w:pPr>
        <w:ind w:left="6784" w:hanging="330"/>
      </w:pPr>
      <w:rPr>
        <w:rFonts w:hint="default"/>
      </w:rPr>
    </w:lvl>
    <w:lvl w:ilvl="8">
      <w:start w:val="1"/>
      <w:numFmt w:val="bullet"/>
      <w:lvlText w:val="•"/>
      <w:lvlJc w:val="left"/>
      <w:pPr>
        <w:ind w:left="7456" w:hanging="330"/>
      </w:pPr>
      <w:rPr>
        <w:rFonts w:hint="default"/>
      </w:rPr>
    </w:lvl>
  </w:abstractNum>
  <w:abstractNum w:abstractNumId="5">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4">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3">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2">
    <w:multiLevelType w:val="hybridMultilevel"/>
    <w:lvl w:ilvl="0">
      <w:start w:val="2"/>
      <w:numFmt w:val="decimal"/>
      <w:lvlText w:val="%1"/>
      <w:lvlJc w:val="left"/>
      <w:pPr>
        <w:ind w:left="791" w:hanging="397"/>
        <w:jc w:val="left"/>
      </w:pPr>
      <w:rPr>
        <w:rFonts w:hint="default"/>
      </w:rPr>
    </w:lvl>
    <w:lvl w:ilvl="1">
      <w:start w:val="1"/>
      <w:numFmt w:val="decimal"/>
      <w:lvlText w:val="%1.%2."/>
      <w:lvlJc w:val="left"/>
      <w:pPr>
        <w:ind w:left="791" w:hanging="397"/>
        <w:jc w:val="left"/>
      </w:pPr>
      <w:rPr>
        <w:rFonts w:hint="default" w:ascii="Times New Roman" w:hAnsi="Times New Roman" w:eastAsia="Times New Roman" w:cs="Times New Roman"/>
        <w:b/>
        <w:bCs/>
        <w:spacing w:val="-1"/>
        <w:w w:val="102"/>
        <w:sz w:val="22"/>
        <w:szCs w:val="22"/>
      </w:rPr>
    </w:lvl>
    <w:lvl w:ilvl="2">
      <w:start w:val="1"/>
      <w:numFmt w:val="decimal"/>
      <w:lvlText w:val="%1.%2.%3."/>
      <w:lvlJc w:val="left"/>
      <w:pPr>
        <w:ind w:left="1640" w:hanging="570"/>
        <w:jc w:val="left"/>
      </w:pPr>
      <w:rPr>
        <w:rFonts w:hint="default" w:ascii="Times New Roman" w:hAnsi="Times New Roman" w:eastAsia="Times New Roman" w:cs="Times New Roman"/>
        <w:b/>
        <w:bCs/>
        <w:w w:val="102"/>
        <w:sz w:val="22"/>
        <w:szCs w:val="22"/>
      </w:rPr>
    </w:lvl>
    <w:lvl w:ilvl="3">
      <w:start w:val="1"/>
      <w:numFmt w:val="bullet"/>
      <w:lvlText w:val="•"/>
      <w:lvlJc w:val="left"/>
      <w:pPr>
        <w:ind w:left="3231" w:hanging="570"/>
      </w:pPr>
      <w:rPr>
        <w:rFonts w:hint="default"/>
      </w:rPr>
    </w:lvl>
    <w:lvl w:ilvl="4">
      <w:start w:val="1"/>
      <w:numFmt w:val="bullet"/>
      <w:lvlText w:val="•"/>
      <w:lvlJc w:val="left"/>
      <w:pPr>
        <w:ind w:left="4026" w:hanging="570"/>
      </w:pPr>
      <w:rPr>
        <w:rFonts w:hint="default"/>
      </w:rPr>
    </w:lvl>
    <w:lvl w:ilvl="5">
      <w:start w:val="1"/>
      <w:numFmt w:val="bullet"/>
      <w:lvlText w:val="•"/>
      <w:lvlJc w:val="left"/>
      <w:pPr>
        <w:ind w:left="4822" w:hanging="570"/>
      </w:pPr>
      <w:rPr>
        <w:rFonts w:hint="default"/>
      </w:rPr>
    </w:lvl>
    <w:lvl w:ilvl="6">
      <w:start w:val="1"/>
      <w:numFmt w:val="bullet"/>
      <w:lvlText w:val="•"/>
      <w:lvlJc w:val="left"/>
      <w:pPr>
        <w:ind w:left="5617" w:hanging="570"/>
      </w:pPr>
      <w:rPr>
        <w:rFonts w:hint="default"/>
      </w:rPr>
    </w:lvl>
    <w:lvl w:ilvl="7">
      <w:start w:val="1"/>
      <w:numFmt w:val="bullet"/>
      <w:lvlText w:val="•"/>
      <w:lvlJc w:val="left"/>
      <w:pPr>
        <w:ind w:left="6413" w:hanging="570"/>
      </w:pPr>
      <w:rPr>
        <w:rFonts w:hint="default"/>
      </w:rPr>
    </w:lvl>
    <w:lvl w:ilvl="8">
      <w:start w:val="1"/>
      <w:numFmt w:val="bullet"/>
      <w:lvlText w:val="•"/>
      <w:lvlJc w:val="left"/>
      <w:pPr>
        <w:ind w:left="7208" w:hanging="570"/>
      </w:pPr>
      <w:rPr>
        <w:rFonts w:hint="default"/>
      </w:rPr>
    </w:lvl>
  </w:abstractNum>
  <w:abstractNum w:abstractNumId="1">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0">
    <w:multiLevelType w:val="hybridMultilevel"/>
    <w:lvl w:ilvl="0">
      <w:start w:val="1"/>
      <w:numFmt w:val="decimal"/>
      <w:lvlText w:val="%1."/>
      <w:lvlJc w:val="left"/>
      <w:pPr>
        <w:ind w:left="1070" w:hanging="330"/>
        <w:jc w:val="left"/>
      </w:pPr>
      <w:rPr>
        <w:rFonts w:hint="default" w:ascii="Times New Roman" w:hAnsi="Times New Roman" w:eastAsia="Times New Roman" w:cs="Times New Roman"/>
        <w:b/>
        <w:bCs/>
        <w:spacing w:val="-10"/>
        <w:w w:val="102"/>
        <w:sz w:val="22"/>
        <w:szCs w:val="22"/>
      </w:rPr>
    </w:lvl>
    <w:lvl w:ilvl="1">
      <w:start w:val="1"/>
      <w:numFmt w:val="bullet"/>
      <w:lvlText w:val="•"/>
      <w:lvlJc w:val="left"/>
      <w:pPr>
        <w:ind w:left="1360" w:hanging="330"/>
      </w:pPr>
      <w:rPr>
        <w:rFonts w:hint="default"/>
      </w:rPr>
    </w:lvl>
    <w:lvl w:ilvl="2">
      <w:start w:val="1"/>
      <w:numFmt w:val="bullet"/>
      <w:lvlText w:val="•"/>
      <w:lvlJc w:val="left"/>
      <w:pPr>
        <w:ind w:left="2186" w:hanging="330"/>
      </w:pPr>
      <w:rPr>
        <w:rFonts w:hint="default"/>
      </w:rPr>
    </w:lvl>
    <w:lvl w:ilvl="3">
      <w:start w:val="1"/>
      <w:numFmt w:val="bullet"/>
      <w:lvlText w:val="•"/>
      <w:lvlJc w:val="left"/>
      <w:pPr>
        <w:ind w:left="3013" w:hanging="330"/>
      </w:pPr>
      <w:rPr>
        <w:rFonts w:hint="default"/>
      </w:rPr>
    </w:lvl>
    <w:lvl w:ilvl="4">
      <w:start w:val="1"/>
      <w:numFmt w:val="bullet"/>
      <w:lvlText w:val="•"/>
      <w:lvlJc w:val="left"/>
      <w:pPr>
        <w:ind w:left="3840" w:hanging="330"/>
      </w:pPr>
      <w:rPr>
        <w:rFonts w:hint="default"/>
      </w:rPr>
    </w:lvl>
    <w:lvl w:ilvl="5">
      <w:start w:val="1"/>
      <w:numFmt w:val="bullet"/>
      <w:lvlText w:val="•"/>
      <w:lvlJc w:val="left"/>
      <w:pPr>
        <w:ind w:left="4666" w:hanging="330"/>
      </w:pPr>
      <w:rPr>
        <w:rFonts w:hint="default"/>
      </w:rPr>
    </w:lvl>
    <w:lvl w:ilvl="6">
      <w:start w:val="1"/>
      <w:numFmt w:val="bullet"/>
      <w:lvlText w:val="•"/>
      <w:lvlJc w:val="left"/>
      <w:pPr>
        <w:ind w:left="5493" w:hanging="330"/>
      </w:pPr>
      <w:rPr>
        <w:rFonts w:hint="default"/>
      </w:rPr>
    </w:lvl>
    <w:lvl w:ilvl="7">
      <w:start w:val="1"/>
      <w:numFmt w:val="bullet"/>
      <w:lvlText w:val="•"/>
      <w:lvlJc w:val="left"/>
      <w:pPr>
        <w:ind w:left="6320" w:hanging="330"/>
      </w:pPr>
      <w:rPr>
        <w:rFonts w:hint="default"/>
      </w:rPr>
    </w:lvl>
    <w:lvl w:ilvl="8">
      <w:start w:val="1"/>
      <w:numFmt w:val="bullet"/>
      <w:lvlText w:val="•"/>
      <w:lvlJc w:val="left"/>
      <w:pPr>
        <w:ind w:left="7146" w:hanging="33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070" w:hanging="330"/>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400" w:hanging="330"/>
      <w:jc w:val="both"/>
    </w:pPr>
    <w:rPr>
      <w:rFonts w:ascii="Times New Roman" w:hAnsi="Times New Roman" w:eastAsia="Times New Roman" w:cs="Times New Roman"/>
    </w:rPr>
  </w:style>
  <w:style w:styleId="TableParagraph" w:type="paragraph">
    <w:name w:val="Table Paragraph"/>
    <w:basedOn w:val="Normal"/>
    <w:uiPriority w:val="1"/>
    <w:qFormat/>
    <w:pPr>
      <w:ind w:left="9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adoctor@uhu.es" TargetMode="External"/><Relationship Id="rId6" Type="http://schemas.openxmlformats.org/officeDocument/2006/relationships/hyperlink" Target="http://www.rur.it/" TargetMode="External"/><Relationship Id="rId7" Type="http://schemas.openxmlformats.org/officeDocument/2006/relationships/hyperlink" Target="http://www.europa.eu.int/comm/environment/life" TargetMode="External"/><Relationship Id="rId8" Type="http://schemas.openxmlformats.org/officeDocument/2006/relationships/hyperlink" Target="http://www.sustainable-cities.org/" TargetMode="External"/><Relationship Id="rId9" Type="http://schemas.openxmlformats.org/officeDocument/2006/relationships/hyperlink" Target="http://www.ava.es/" TargetMode="External"/><Relationship Id="rId10" Type="http://schemas.openxmlformats.org/officeDocument/2006/relationships/hyperlink" Target="http://www.femp.es/" TargetMode="External"/><Relationship Id="rId11" Type="http://schemas.openxmlformats.org/officeDocument/2006/relationships/hyperlink" Target="http://www.fundicot.org/grupo08.htm)"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Ordenación del Territorio Conceptualización_&amp;_Alfonso Doct…</dc:title>
  <dcterms:created xsi:type="dcterms:W3CDTF">2017-06-07T19:26:05Z</dcterms:created>
  <dcterms:modified xsi:type="dcterms:W3CDTF">2017-06-07T19:26:05Z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Ordenación del Territorio Conceptualización_&amp;_Alfonso Doctor - Microsoft Word</vt:lpwstr>
  </property>
  <property fmtid="{D5CDD505-2E9C-101B-9397-08002B2CF9AE}" pid="4" name="LastSaved">
    <vt:filetime>2017-06-07T00:00:00Z</vt:filetime>
  </property>
</Properties>
</file>