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footer2.xml" ContentType="application/vnd.openxmlformats-officedocument.wordprocessingml.footer+xml"/>
  <Default Extension="png" ContentType="image/png"/>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line="270" w:lineRule="exact" w:before="59"/>
        <w:ind w:left="415" w:firstLine="165"/>
        <w:jc w:val="left"/>
      </w:pPr>
      <w:r>
        <w:rPr>
          <w:shadow/>
        </w:rPr>
        <w:t>LOGROS Y RETOS DEL PROGRAMA DE ORDENAMIENTO ECOLÓGICO REGIONAL DE LA SUBCUENCA DE VALLE DE BRAVO - AMANALCO</w:t>
      </w:r>
      <w:r>
        <w:rPr>
          <w:shadow w:val="0"/>
        </w:rPr>
        <w:t>POR:</w:t>
      </w:r>
    </w:p>
    <w:p>
      <w:pPr>
        <w:spacing w:line="267" w:lineRule="exact" w:before="0"/>
        <w:ind w:left="6205" w:right="0" w:firstLine="0"/>
        <w:jc w:val="left"/>
        <w:rPr>
          <w:b/>
          <w:sz w:val="24"/>
        </w:rPr>
      </w:pPr>
      <w:r>
        <w:rPr>
          <w:b/>
          <w:sz w:val="24"/>
        </w:rPr>
        <w:t>EUGENIA ROSAS VILCHIS</w:t>
      </w:r>
    </w:p>
    <w:p>
      <w:pPr>
        <w:spacing w:before="9"/>
        <w:ind w:left="115" w:right="0" w:firstLine="0"/>
        <w:jc w:val="both"/>
        <w:rPr>
          <w:b/>
          <w:sz w:val="24"/>
        </w:rPr>
      </w:pPr>
      <w:r>
        <w:rPr>
          <w:b/>
          <w:sz w:val="24"/>
        </w:rPr>
        <w:t>INTRODUCCIÓN</w:t>
      </w:r>
    </w:p>
    <w:p>
      <w:pPr>
        <w:pStyle w:val="BodyText"/>
        <w:spacing w:before="5"/>
        <w:rPr>
          <w:b/>
          <w:sz w:val="20"/>
        </w:rPr>
      </w:pPr>
    </w:p>
    <w:p>
      <w:pPr>
        <w:pStyle w:val="BodyText"/>
        <w:spacing w:line="252" w:lineRule="auto" w:before="1"/>
        <w:ind w:left="115" w:right="104"/>
        <w:jc w:val="both"/>
      </w:pPr>
      <w:r>
        <w:rPr>
          <w:w w:val="105"/>
        </w:rPr>
        <w:t>El Programa de Ordenamiento Ecológico de la Subcuenca de Valle de Bravo – Amanalco elaborado durante el periodo de 2001 a 2003, marcó un parteaguas en la manera de gestionar este tipo de instrumentos por parte de la Secretaría de Ecología del Gobierno del Estado de México y presumiblemente a nivel nacional.</w:t>
      </w:r>
    </w:p>
    <w:p>
      <w:pPr>
        <w:pStyle w:val="BodyText"/>
        <w:spacing w:before="5"/>
        <w:rPr>
          <w:sz w:val="20"/>
        </w:rPr>
      </w:pPr>
    </w:p>
    <w:p>
      <w:pPr>
        <w:pStyle w:val="BodyText"/>
        <w:spacing w:line="252" w:lineRule="auto" w:before="1"/>
        <w:ind w:left="115" w:right="104"/>
        <w:jc w:val="both"/>
      </w:pPr>
      <w:r>
        <w:rPr>
          <w:w w:val="105"/>
        </w:rPr>
        <w:t>Es por ello que con este trabajo se  pretende  compartir las experiencias institucionales desde una visión personal de los factores que influyeron en la elaboración del estudio técnico del ordenamiento, así como también se hará un recuento de los logros del programa hasta la fecha y los retos para el futuro.</w:t>
      </w:r>
    </w:p>
    <w:p>
      <w:pPr>
        <w:pStyle w:val="BodyText"/>
        <w:spacing w:before="11"/>
        <w:rPr>
          <w:sz w:val="22"/>
        </w:rPr>
      </w:pPr>
    </w:p>
    <w:p>
      <w:pPr>
        <w:pStyle w:val="Heading1"/>
      </w:pPr>
      <w:r>
        <w:rPr/>
        <w:t>CONTENIDO</w:t>
      </w:r>
    </w:p>
    <w:p>
      <w:pPr>
        <w:pStyle w:val="BodyText"/>
        <w:spacing w:before="9"/>
        <w:rPr>
          <w:b/>
          <w:sz w:val="21"/>
        </w:rPr>
      </w:pPr>
    </w:p>
    <w:p>
      <w:pPr>
        <w:pStyle w:val="ListParagraph"/>
        <w:numPr>
          <w:ilvl w:val="0"/>
          <w:numId w:val="1"/>
        </w:numPr>
        <w:tabs>
          <w:tab w:pos="475" w:val="left" w:leader="none"/>
        </w:tabs>
        <w:spacing w:line="240" w:lineRule="auto" w:before="0" w:after="0"/>
        <w:ind w:left="475" w:right="0" w:hanging="360"/>
        <w:jc w:val="both"/>
        <w:rPr>
          <w:sz w:val="19"/>
        </w:rPr>
      </w:pPr>
      <w:r>
        <w:rPr>
          <w:w w:val="105"/>
          <w:sz w:val="19"/>
        </w:rPr>
        <w:t>Marco de referencia durante la</w:t>
      </w:r>
      <w:r>
        <w:rPr>
          <w:spacing w:val="-32"/>
          <w:w w:val="105"/>
          <w:sz w:val="19"/>
        </w:rPr>
        <w:t> </w:t>
      </w:r>
      <w:r>
        <w:rPr>
          <w:w w:val="105"/>
          <w:sz w:val="19"/>
        </w:rPr>
        <w:t>elaboración</w:t>
      </w:r>
    </w:p>
    <w:p>
      <w:pPr>
        <w:pStyle w:val="ListParagraph"/>
        <w:numPr>
          <w:ilvl w:val="0"/>
          <w:numId w:val="1"/>
        </w:numPr>
        <w:tabs>
          <w:tab w:pos="475" w:val="left" w:leader="none"/>
        </w:tabs>
        <w:spacing w:line="240" w:lineRule="auto" w:before="6" w:after="0"/>
        <w:ind w:left="475" w:right="0" w:hanging="360"/>
        <w:jc w:val="both"/>
        <w:rPr>
          <w:sz w:val="19"/>
        </w:rPr>
      </w:pPr>
      <w:r>
        <w:rPr>
          <w:w w:val="105"/>
          <w:sz w:val="19"/>
        </w:rPr>
        <w:t>Importancia y problemática de la</w:t>
      </w:r>
      <w:r>
        <w:rPr>
          <w:spacing w:val="-9"/>
          <w:w w:val="105"/>
          <w:sz w:val="19"/>
        </w:rPr>
        <w:t> </w:t>
      </w:r>
      <w:r>
        <w:rPr>
          <w:w w:val="105"/>
          <w:sz w:val="19"/>
        </w:rPr>
        <w:t>subcuenca</w:t>
      </w:r>
    </w:p>
    <w:p>
      <w:pPr>
        <w:pStyle w:val="ListParagraph"/>
        <w:numPr>
          <w:ilvl w:val="0"/>
          <w:numId w:val="1"/>
        </w:numPr>
        <w:tabs>
          <w:tab w:pos="475" w:val="left" w:leader="none"/>
        </w:tabs>
        <w:spacing w:line="240" w:lineRule="auto" w:before="6" w:after="0"/>
        <w:ind w:left="475" w:right="0" w:hanging="360"/>
        <w:jc w:val="both"/>
        <w:rPr>
          <w:sz w:val="19"/>
        </w:rPr>
      </w:pPr>
      <w:r>
        <w:rPr>
          <w:w w:val="105"/>
          <w:sz w:val="19"/>
        </w:rPr>
        <w:t>Proceso de</w:t>
      </w:r>
      <w:r>
        <w:rPr>
          <w:spacing w:val="-4"/>
          <w:w w:val="105"/>
          <w:sz w:val="19"/>
        </w:rPr>
        <w:t> </w:t>
      </w:r>
      <w:r>
        <w:rPr>
          <w:w w:val="105"/>
          <w:sz w:val="19"/>
        </w:rPr>
        <w:t>ordenamiento</w:t>
      </w:r>
    </w:p>
    <w:p>
      <w:pPr>
        <w:pStyle w:val="ListParagraph"/>
        <w:numPr>
          <w:ilvl w:val="0"/>
          <w:numId w:val="1"/>
        </w:numPr>
        <w:tabs>
          <w:tab w:pos="475" w:val="left" w:leader="none"/>
        </w:tabs>
        <w:spacing w:line="240" w:lineRule="auto" w:before="21" w:after="0"/>
        <w:ind w:left="475" w:right="0" w:hanging="360"/>
        <w:jc w:val="both"/>
        <w:rPr>
          <w:sz w:val="19"/>
        </w:rPr>
      </w:pPr>
      <w:r>
        <w:rPr>
          <w:w w:val="105"/>
          <w:sz w:val="19"/>
        </w:rPr>
        <w:t>Participación de sectores - actores y su</w:t>
      </w:r>
      <w:r>
        <w:rPr>
          <w:spacing w:val="-17"/>
          <w:w w:val="105"/>
          <w:sz w:val="19"/>
        </w:rPr>
        <w:t> </w:t>
      </w:r>
      <w:r>
        <w:rPr>
          <w:w w:val="105"/>
          <w:sz w:val="19"/>
        </w:rPr>
        <w:t>interacción</w:t>
      </w:r>
    </w:p>
    <w:p>
      <w:pPr>
        <w:pStyle w:val="ListParagraph"/>
        <w:numPr>
          <w:ilvl w:val="0"/>
          <w:numId w:val="1"/>
        </w:numPr>
        <w:tabs>
          <w:tab w:pos="475" w:val="left" w:leader="none"/>
        </w:tabs>
        <w:spacing w:line="240" w:lineRule="auto" w:before="6" w:after="0"/>
        <w:ind w:left="475" w:right="0" w:hanging="360"/>
        <w:jc w:val="both"/>
        <w:rPr>
          <w:sz w:val="19"/>
        </w:rPr>
      </w:pPr>
      <w:r>
        <w:rPr>
          <w:w w:val="105"/>
          <w:sz w:val="19"/>
        </w:rPr>
        <w:t>Apropiación del</w:t>
      </w:r>
      <w:r>
        <w:rPr>
          <w:spacing w:val="2"/>
          <w:w w:val="105"/>
          <w:sz w:val="19"/>
        </w:rPr>
        <w:t> </w:t>
      </w:r>
      <w:r>
        <w:rPr>
          <w:w w:val="105"/>
          <w:sz w:val="19"/>
        </w:rPr>
        <w:t>programa</w:t>
      </w:r>
    </w:p>
    <w:p>
      <w:pPr>
        <w:pStyle w:val="ListParagraph"/>
        <w:numPr>
          <w:ilvl w:val="0"/>
          <w:numId w:val="1"/>
        </w:numPr>
        <w:tabs>
          <w:tab w:pos="475" w:val="left" w:leader="none"/>
        </w:tabs>
        <w:spacing w:line="240" w:lineRule="auto" w:before="6" w:after="0"/>
        <w:ind w:left="475" w:right="0" w:hanging="360"/>
        <w:jc w:val="both"/>
        <w:rPr>
          <w:sz w:val="19"/>
        </w:rPr>
      </w:pPr>
      <w:r>
        <w:rPr>
          <w:w w:val="105"/>
          <w:sz w:val="19"/>
        </w:rPr>
        <w:t>Marco de referencia</w:t>
      </w:r>
      <w:r>
        <w:rPr>
          <w:spacing w:val="-14"/>
          <w:w w:val="105"/>
          <w:sz w:val="19"/>
        </w:rPr>
        <w:t> </w:t>
      </w:r>
      <w:r>
        <w:rPr>
          <w:w w:val="105"/>
          <w:sz w:val="19"/>
        </w:rPr>
        <w:t>actual</w:t>
      </w:r>
    </w:p>
    <w:p>
      <w:pPr>
        <w:pStyle w:val="Heading1"/>
        <w:numPr>
          <w:ilvl w:val="0"/>
          <w:numId w:val="1"/>
        </w:numPr>
        <w:tabs>
          <w:tab w:pos="475" w:val="left" w:leader="none"/>
        </w:tabs>
        <w:spacing w:line="240" w:lineRule="auto" w:before="4" w:after="0"/>
        <w:ind w:left="475" w:right="0" w:hanging="360"/>
        <w:jc w:val="both"/>
      </w:pPr>
      <w:r>
        <w:rPr>
          <w:b w:val="0"/>
          <w:sz w:val="19"/>
        </w:rPr>
        <w:t>Retos </w:t>
      </w:r>
      <w:r>
        <w:rPr>
          <w:spacing w:val="-3"/>
        </w:rPr>
        <w:t>1.- </w:t>
      </w:r>
      <w:r>
        <w:rPr>
          <w:spacing w:val="2"/>
        </w:rPr>
        <w:t>MARCO </w:t>
      </w:r>
      <w:r>
        <w:rPr/>
        <w:t>DE REFERENCIA DURANTE LA</w:t>
      </w:r>
      <w:r>
        <w:rPr>
          <w:spacing w:val="-19"/>
        </w:rPr>
        <w:t> </w:t>
      </w:r>
      <w:r>
        <w:rPr/>
        <w:t>ELABORACIÓN</w:t>
      </w:r>
    </w:p>
    <w:p>
      <w:pPr>
        <w:pStyle w:val="BodyText"/>
        <w:spacing w:before="5"/>
        <w:rPr>
          <w:b/>
          <w:sz w:val="20"/>
        </w:rPr>
      </w:pPr>
    </w:p>
    <w:p>
      <w:pPr>
        <w:pStyle w:val="BodyText"/>
        <w:spacing w:line="252" w:lineRule="auto" w:before="1"/>
        <w:ind w:left="115" w:right="106"/>
        <w:jc w:val="both"/>
      </w:pPr>
      <w:r>
        <w:rPr>
          <w:w w:val="105"/>
        </w:rPr>
        <w:t>Para entender como se dio el proceso de ordenamiento, destacaremos que, por lo general, la directriz o forma de conducir un estudio de ordenamiento la establecían unidireccionalmente las autoridades competentes, esto es la SEMARNAT, los gobiernos estatales o los ayuntamientos de acuerdo a la categoría del ordenamiento es decir, nacional, marino, regional o local.</w:t>
      </w:r>
    </w:p>
    <w:p>
      <w:pPr>
        <w:pStyle w:val="BodyText"/>
        <w:spacing w:before="5"/>
        <w:rPr>
          <w:sz w:val="20"/>
        </w:rPr>
      </w:pPr>
    </w:p>
    <w:p>
      <w:pPr>
        <w:pStyle w:val="BodyText"/>
        <w:spacing w:line="254" w:lineRule="auto" w:before="1"/>
        <w:ind w:left="115" w:right="103"/>
        <w:jc w:val="both"/>
      </w:pPr>
      <w:r>
        <w:rPr>
          <w:w w:val="105"/>
        </w:rPr>
        <w:t>Sin embargo, en particular en esta zona, se detectaron factores que desde el inicio del proyecto fueron determinantes y cambiaron las formas tradicionales de hacer un ordenamiento, entre estos factores podemos citar los siguientes:</w:t>
      </w:r>
    </w:p>
    <w:p>
      <w:pPr>
        <w:pStyle w:val="BodyText"/>
      </w:pPr>
    </w:p>
    <w:p>
      <w:pPr>
        <w:pStyle w:val="BodyText"/>
        <w:spacing w:line="264" w:lineRule="auto"/>
        <w:ind w:left="460" w:right="105" w:hanging="345"/>
        <w:jc w:val="both"/>
      </w:pPr>
      <w:r>
        <w:rPr>
          <w:rFonts w:ascii="Wingdings" w:hAnsi="Wingdings"/>
          <w:w w:val="105"/>
        </w:rPr>
        <w:t></w:t>
      </w:r>
      <w:r>
        <w:rPr>
          <w:rFonts w:ascii="Times New Roman" w:hAnsi="Times New Roman"/>
          <w:w w:val="105"/>
        </w:rPr>
        <w:t> </w:t>
      </w:r>
      <w:r>
        <w:rPr>
          <w:w w:val="105"/>
        </w:rPr>
        <w:t>Se concibió como una demanda de la sociedad civil organizada de Valle de Bravo, con una </w:t>
      </w:r>
      <w:r>
        <w:rPr>
          <w:spacing w:val="2"/>
          <w:w w:val="105"/>
        </w:rPr>
        <w:t>visión  </w:t>
      </w:r>
      <w:r>
        <w:rPr>
          <w:w w:val="105"/>
        </w:rPr>
        <w:t>de</w:t>
      </w:r>
      <w:r>
        <w:rPr>
          <w:spacing w:val="-6"/>
          <w:w w:val="105"/>
        </w:rPr>
        <w:t> </w:t>
      </w:r>
      <w:r>
        <w:rPr>
          <w:w w:val="105"/>
        </w:rPr>
        <w:t>manejo</w:t>
      </w:r>
      <w:r>
        <w:rPr>
          <w:spacing w:val="-6"/>
          <w:w w:val="105"/>
        </w:rPr>
        <w:t> </w:t>
      </w:r>
      <w:r>
        <w:rPr>
          <w:w w:val="105"/>
        </w:rPr>
        <w:t>de</w:t>
      </w:r>
      <w:r>
        <w:rPr>
          <w:spacing w:val="-6"/>
          <w:w w:val="105"/>
        </w:rPr>
        <w:t> </w:t>
      </w:r>
      <w:r>
        <w:rPr>
          <w:w w:val="105"/>
        </w:rPr>
        <w:t>cuenca,</w:t>
      </w:r>
      <w:r>
        <w:rPr>
          <w:spacing w:val="-6"/>
          <w:w w:val="105"/>
        </w:rPr>
        <w:t> </w:t>
      </w:r>
      <w:r>
        <w:rPr>
          <w:w w:val="105"/>
        </w:rPr>
        <w:t>por</w:t>
      </w:r>
      <w:r>
        <w:rPr>
          <w:spacing w:val="-6"/>
          <w:w w:val="105"/>
        </w:rPr>
        <w:t> </w:t>
      </w:r>
      <w:r>
        <w:rPr>
          <w:w w:val="105"/>
        </w:rPr>
        <w:t>lo</w:t>
      </w:r>
      <w:r>
        <w:rPr>
          <w:spacing w:val="-6"/>
          <w:w w:val="105"/>
        </w:rPr>
        <w:t> </w:t>
      </w:r>
      <w:r>
        <w:rPr>
          <w:w w:val="105"/>
        </w:rPr>
        <w:t>que</w:t>
      </w:r>
      <w:r>
        <w:rPr>
          <w:spacing w:val="-6"/>
          <w:w w:val="105"/>
        </w:rPr>
        <w:t> </w:t>
      </w:r>
      <w:r>
        <w:rPr>
          <w:w w:val="105"/>
        </w:rPr>
        <w:t>se</w:t>
      </w:r>
      <w:r>
        <w:rPr>
          <w:spacing w:val="-6"/>
          <w:w w:val="105"/>
        </w:rPr>
        <w:t> </w:t>
      </w:r>
      <w:r>
        <w:rPr>
          <w:w w:val="105"/>
        </w:rPr>
        <w:t>convirtió en compromiso del Gobernador.</w:t>
      </w:r>
    </w:p>
    <w:p>
      <w:pPr>
        <w:pStyle w:val="BodyText"/>
        <w:spacing w:before="3"/>
        <w:rPr>
          <w:sz w:val="18"/>
        </w:rPr>
      </w:pPr>
    </w:p>
    <w:p>
      <w:pPr>
        <w:pStyle w:val="BodyText"/>
        <w:spacing w:line="254" w:lineRule="auto"/>
        <w:ind w:left="460" w:right="103" w:hanging="345"/>
        <w:jc w:val="both"/>
      </w:pPr>
      <w:r>
        <w:rPr>
          <w:rFonts w:ascii="Wingdings" w:hAnsi="Wingdings"/>
          <w:w w:val="105"/>
        </w:rPr>
        <w:t></w:t>
      </w:r>
      <w:r>
        <w:rPr>
          <w:rFonts w:ascii="Times New Roman" w:hAnsi="Times New Roman"/>
          <w:w w:val="105"/>
        </w:rPr>
        <w:t> </w:t>
      </w:r>
      <w:r>
        <w:rPr>
          <w:w w:val="105"/>
        </w:rPr>
        <w:t>Durante su periodo de elaboración, la SEMARNAT desarrolla innovaciones </w:t>
      </w:r>
      <w:r>
        <w:rPr>
          <w:spacing w:val="2"/>
          <w:w w:val="105"/>
        </w:rPr>
        <w:t>metodológicas </w:t>
      </w:r>
      <w:r>
        <w:rPr>
          <w:w w:val="105"/>
        </w:rPr>
        <w:t>y conceptuales para elaborar ordenamientos, el problema es que no están reglamentadas  ni</w:t>
      </w:r>
      <w:r>
        <w:rPr>
          <w:spacing w:val="55"/>
          <w:w w:val="105"/>
        </w:rPr>
        <w:t> </w:t>
      </w:r>
      <w:r>
        <w:rPr>
          <w:w w:val="105"/>
        </w:rPr>
        <w:t>siquiera establecidas en un manual similar al de SEDESOL en</w:t>
      </w:r>
      <w:r>
        <w:rPr>
          <w:spacing w:val="-12"/>
          <w:w w:val="105"/>
        </w:rPr>
        <w:t> </w:t>
      </w:r>
      <w:r>
        <w:rPr>
          <w:w w:val="105"/>
        </w:rPr>
        <w:t>1988.</w:t>
      </w:r>
    </w:p>
    <w:p>
      <w:pPr>
        <w:pStyle w:val="BodyText"/>
        <w:spacing w:before="3"/>
        <w:rPr>
          <w:sz w:val="20"/>
        </w:rPr>
      </w:pPr>
    </w:p>
    <w:p>
      <w:pPr>
        <w:pStyle w:val="BodyText"/>
        <w:spacing w:line="252" w:lineRule="auto" w:before="1"/>
        <w:ind w:left="460" w:right="103" w:hanging="345"/>
        <w:jc w:val="both"/>
      </w:pPr>
      <w:r>
        <w:rPr>
          <w:rFonts w:ascii="Wingdings" w:hAnsi="Wingdings"/>
          <w:w w:val="105"/>
        </w:rPr>
        <w:t></w:t>
      </w:r>
      <w:r>
        <w:rPr>
          <w:rFonts w:ascii="Times New Roman" w:hAnsi="Times New Roman"/>
          <w:w w:val="105"/>
        </w:rPr>
        <w:t> </w:t>
      </w:r>
      <w:r>
        <w:rPr>
          <w:w w:val="105"/>
        </w:rPr>
        <w:t>En concordancia con lo anterior, la SEMARNAT inicia el anteproyecto de Reglamento de la </w:t>
      </w:r>
      <w:r>
        <w:rPr>
          <w:spacing w:val="2"/>
          <w:w w:val="105"/>
        </w:rPr>
        <w:t>Ley </w:t>
      </w:r>
      <w:r>
        <w:rPr>
          <w:w w:val="105"/>
        </w:rPr>
        <w:t>General del Equilibrio Ecológico y Protección del Ambiente en Materia de Ordenamiento Ecológico (decretado en el Diario Oficial de la Federación el 08 de agosto de 2003) y decide que el estudio</w:t>
      </w:r>
      <w:r>
        <w:rPr>
          <w:spacing w:val="55"/>
          <w:w w:val="105"/>
        </w:rPr>
        <w:t> </w:t>
      </w:r>
      <w:r>
        <w:rPr>
          <w:w w:val="105"/>
        </w:rPr>
        <w:t>de la cuenca será pionero en la aplicación de este instrumento, lo que implicaba hacer adecuaciones al</w:t>
      </w:r>
      <w:r>
        <w:rPr>
          <w:spacing w:val="-18"/>
          <w:w w:val="105"/>
        </w:rPr>
        <w:t> </w:t>
      </w:r>
      <w:r>
        <w:rPr>
          <w:w w:val="105"/>
        </w:rPr>
        <w:t>mismo.</w:t>
      </w:r>
    </w:p>
    <w:p>
      <w:pPr>
        <w:pStyle w:val="BodyText"/>
        <w:spacing w:before="5"/>
        <w:rPr>
          <w:sz w:val="20"/>
        </w:rPr>
      </w:pPr>
    </w:p>
    <w:p>
      <w:pPr>
        <w:pStyle w:val="BodyText"/>
        <w:spacing w:line="247" w:lineRule="auto" w:before="1"/>
        <w:ind w:left="460" w:right="121" w:hanging="345"/>
        <w:jc w:val="both"/>
      </w:pPr>
      <w:r>
        <w:rPr>
          <w:rFonts w:ascii="Wingdings" w:hAnsi="Wingdings"/>
          <w:w w:val="105"/>
        </w:rPr>
        <w:t></w:t>
      </w:r>
      <w:r>
        <w:rPr>
          <w:rFonts w:ascii="Times New Roman" w:hAnsi="Times New Roman"/>
          <w:spacing w:val="49"/>
          <w:w w:val="105"/>
        </w:rPr>
        <w:t> </w:t>
      </w:r>
      <w:r>
        <w:rPr>
          <w:w w:val="105"/>
        </w:rPr>
        <w:t>Además, en este lapso de tiempo la actual SEDESOL promueve los ordenamientos territoriales   con enfoque urbano, provocando series controversias con los ordenamientos ecológicos, sobre todo en las metodologías</w:t>
      </w:r>
      <w:r>
        <w:rPr>
          <w:spacing w:val="-14"/>
          <w:w w:val="105"/>
        </w:rPr>
        <w:t> </w:t>
      </w:r>
      <w:r>
        <w:rPr>
          <w:w w:val="105"/>
        </w:rPr>
        <w:t>utilizadas.</w:t>
      </w:r>
    </w:p>
    <w:p>
      <w:pPr>
        <w:pStyle w:val="BodyText"/>
        <w:spacing w:line="247" w:lineRule="auto" w:before="15"/>
        <w:ind w:left="460" w:right="106" w:hanging="345"/>
        <w:jc w:val="both"/>
      </w:pPr>
      <w:r>
        <w:rPr>
          <w:rFonts w:ascii="Wingdings" w:hAnsi="Wingdings"/>
          <w:w w:val="105"/>
        </w:rPr>
        <w:t></w:t>
      </w:r>
      <w:r>
        <w:rPr>
          <w:rFonts w:ascii="Times New Roman" w:hAnsi="Times New Roman"/>
          <w:w w:val="105"/>
        </w:rPr>
        <w:t> </w:t>
      </w:r>
      <w:r>
        <w:rPr>
          <w:w w:val="105"/>
        </w:rPr>
        <w:t>Existe una presión muy fuerte por parte de las organizaciones no gubernamentales ambientalistas para que el programa se realice con plena participación ciudadana y encontramos que no había reglas escritas ni metodologías para validar socialmente ordenamientos.</w:t>
      </w:r>
    </w:p>
    <w:p>
      <w:pPr>
        <w:spacing w:after="0" w:line="247" w:lineRule="auto"/>
        <w:jc w:val="both"/>
        <w:sectPr>
          <w:footerReference w:type="default" r:id="rId5"/>
          <w:type w:val="continuous"/>
          <w:pgSz w:w="12240" w:h="15840"/>
          <w:pgMar w:footer="711" w:top="1360" w:bottom="900" w:left="1580" w:right="1320"/>
        </w:sectPr>
      </w:pPr>
    </w:p>
    <w:p>
      <w:pPr>
        <w:pStyle w:val="BodyText"/>
        <w:spacing w:line="247" w:lineRule="auto" w:before="66"/>
        <w:ind w:left="460" w:right="183" w:hanging="345"/>
        <w:jc w:val="both"/>
      </w:pPr>
      <w:r>
        <w:rPr>
          <w:rFonts w:ascii="Wingdings" w:hAnsi="Wingdings"/>
          <w:w w:val="105"/>
        </w:rPr>
        <w:t></w:t>
      </w:r>
      <w:r>
        <w:rPr>
          <w:rFonts w:ascii="Times New Roman" w:hAnsi="Times New Roman"/>
          <w:w w:val="105"/>
        </w:rPr>
        <w:t> </w:t>
      </w:r>
      <w:r>
        <w:rPr>
          <w:w w:val="105"/>
        </w:rPr>
        <w:t>La heterogeneidad social, cultural y política de esta zona se observa en muy pocos lugares de la República Mexicana. En un mismo espacio geográfico conviven extranjeros, grupos étnicos, campesinos, turistas de todo el país, clase media, políticos y empresarios de renombre, etcétera.</w:t>
      </w:r>
    </w:p>
    <w:p>
      <w:pPr>
        <w:pStyle w:val="BodyText"/>
        <w:spacing w:before="10"/>
        <w:rPr>
          <w:sz w:val="20"/>
        </w:rPr>
      </w:pPr>
    </w:p>
    <w:p>
      <w:pPr>
        <w:pStyle w:val="BodyText"/>
        <w:spacing w:line="254" w:lineRule="auto"/>
        <w:ind w:left="460" w:right="183" w:hanging="345"/>
        <w:jc w:val="both"/>
      </w:pPr>
      <w:r>
        <w:rPr>
          <w:rFonts w:ascii="Wingdings" w:hAnsi="Wingdings"/>
          <w:w w:val="105"/>
        </w:rPr>
        <w:t></w:t>
      </w:r>
      <w:r>
        <w:rPr>
          <w:rFonts w:ascii="Times New Roman" w:hAnsi="Times New Roman"/>
          <w:w w:val="105"/>
        </w:rPr>
        <w:t> </w:t>
      </w:r>
      <w:r>
        <w:rPr>
          <w:w w:val="105"/>
        </w:rPr>
        <w:t>En los últimos dos años, la creciente concientización sobre la problemática del agua a todos los niveles, local, regional, estatal, nacional e internacional permite que la subcuenca sea considerada zona de atención prioritaria.</w:t>
      </w:r>
    </w:p>
    <w:p>
      <w:pPr>
        <w:pStyle w:val="BodyText"/>
      </w:pPr>
    </w:p>
    <w:p>
      <w:pPr>
        <w:pStyle w:val="BodyText"/>
        <w:spacing w:line="252" w:lineRule="auto"/>
        <w:ind w:left="460" w:right="183" w:hanging="345"/>
        <w:jc w:val="both"/>
      </w:pPr>
      <w:r>
        <w:rPr>
          <w:rFonts w:ascii="Wingdings" w:hAnsi="Wingdings"/>
          <w:w w:val="105"/>
        </w:rPr>
        <w:t></w:t>
      </w:r>
      <w:r>
        <w:rPr>
          <w:rFonts w:ascii="Times New Roman" w:hAnsi="Times New Roman"/>
          <w:w w:val="105"/>
        </w:rPr>
        <w:t> </w:t>
      </w:r>
      <w:r>
        <w:rPr>
          <w:w w:val="105"/>
        </w:rPr>
        <w:t>Se contaba con antecedentes de comisiones intersecretariales para promover la restauración ambiental de la cuenca, sin embargo, en la práctica, cada sector continuaba haciendo lo que le correspondía sin tener un eje rector que visualizara los conflictos ambientales que diversas políticas gubernamentales estaban generando en el territorio.</w:t>
      </w:r>
    </w:p>
    <w:p>
      <w:pPr>
        <w:pStyle w:val="BodyText"/>
        <w:spacing w:before="5"/>
        <w:rPr>
          <w:sz w:val="20"/>
        </w:rPr>
      </w:pPr>
    </w:p>
    <w:p>
      <w:pPr>
        <w:pStyle w:val="BodyText"/>
        <w:spacing w:line="247" w:lineRule="auto" w:before="1"/>
        <w:ind w:left="115" w:right="212"/>
        <w:jc w:val="both"/>
      </w:pPr>
      <w:r>
        <w:rPr>
          <w:w w:val="105"/>
        </w:rPr>
        <w:t>De esta manera lo anteriormente expuesto justifica los modos y procesos del ordenamiento de la subcuenca.</w:t>
      </w:r>
    </w:p>
    <w:p>
      <w:pPr>
        <w:pStyle w:val="BodyText"/>
        <w:rPr>
          <w:sz w:val="20"/>
        </w:rPr>
      </w:pPr>
    </w:p>
    <w:p>
      <w:pPr>
        <w:pStyle w:val="BodyText"/>
        <w:spacing w:before="11"/>
        <w:rPr>
          <w:sz w:val="18"/>
        </w:rPr>
      </w:pPr>
    </w:p>
    <w:p>
      <w:pPr>
        <w:pStyle w:val="Heading1"/>
      </w:pPr>
      <w:r>
        <w:rPr/>
        <w:t>2.- IMPORTANCIA Y PROBLEMÁTICA DE LA SUBCUENCA</w:t>
      </w:r>
    </w:p>
    <w:p>
      <w:pPr>
        <w:pStyle w:val="BodyText"/>
        <w:spacing w:before="3"/>
        <w:rPr>
          <w:b/>
          <w:sz w:val="24"/>
        </w:rPr>
      </w:pPr>
    </w:p>
    <w:p>
      <w:pPr>
        <w:spacing w:before="0"/>
        <w:ind w:left="115" w:right="0" w:firstLine="0"/>
        <w:jc w:val="both"/>
        <w:rPr>
          <w:b/>
          <w:sz w:val="24"/>
        </w:rPr>
      </w:pPr>
      <w:r>
        <w:rPr>
          <w:b/>
          <w:sz w:val="24"/>
        </w:rPr>
        <w:t>2.1.- Delimitación de la subcuenca</w:t>
      </w:r>
    </w:p>
    <w:p>
      <w:pPr>
        <w:pStyle w:val="BodyText"/>
        <w:spacing w:before="6"/>
        <w:rPr>
          <w:b/>
          <w:sz w:val="21"/>
        </w:rPr>
      </w:pPr>
    </w:p>
    <w:p>
      <w:pPr>
        <w:pStyle w:val="BodyText"/>
        <w:spacing w:line="226" w:lineRule="exact" w:before="1"/>
        <w:ind w:left="115" w:right="183"/>
        <w:jc w:val="both"/>
      </w:pPr>
      <w:r>
        <w:rPr>
          <w:w w:val="105"/>
        </w:rPr>
        <w:t>La subcuenca de Valle de Bravo-Amanalco pertenece a la Cuenca del Balsas, se ubica en la región poniente del Estado de México y tiene una superficie de 775.6 Km</w:t>
      </w:r>
      <w:r>
        <w:rPr>
          <w:w w:val="105"/>
          <w:position w:val="10"/>
          <w:sz w:val="13"/>
        </w:rPr>
        <w:t>2</w:t>
      </w:r>
      <w:r>
        <w:rPr>
          <w:w w:val="105"/>
        </w:rPr>
        <w:t>, lo que representa aproximadamente el 3.44% del territorio estatal. La población estimada de la subcuenca para el  2002</w:t>
      </w:r>
    </w:p>
    <w:p>
      <w:pPr>
        <w:pStyle w:val="BodyText"/>
        <w:spacing w:before="16"/>
        <w:ind w:left="115"/>
        <w:jc w:val="both"/>
      </w:pPr>
      <w:r>
        <w:rPr>
          <w:w w:val="105"/>
        </w:rPr>
        <w:t>es de 96,416 personas en 124 localidades.</w:t>
      </w:r>
    </w:p>
    <w:p>
      <w:pPr>
        <w:pStyle w:val="BodyText"/>
        <w:rPr>
          <w:sz w:val="20"/>
        </w:rPr>
      </w:pPr>
    </w:p>
    <w:p>
      <w:pPr>
        <w:pStyle w:val="BodyText"/>
        <w:spacing w:before="10"/>
        <w:rPr>
          <w:sz w:val="10"/>
        </w:rPr>
      </w:pPr>
      <w:r>
        <w:rPr/>
        <w:pict>
          <v:group style="position:absolute;margin-left:113.25pt;margin-top:8.237793pt;width:412.5pt;height:270pt;mso-position-horizontal-relative:page;mso-position-vertical-relative:paragraph;z-index:0;mso-wrap-distance-left:0;mso-wrap-distance-right:0" coordorigin="2265,165" coordsize="8250,5400">
            <v:shape style="position:absolute;left:2265;top:3720;width:1905;height:1845" type="#_x0000_t75" stroked="false">
              <v:imagedata r:id="rId7" o:title=""/>
            </v:shape>
            <v:shape style="position:absolute;left:4290;top:225;width:5790;height:4335" type="#_x0000_t75" stroked="false">
              <v:imagedata r:id="rId8" o:title=""/>
            </v:shape>
            <v:rect style="position:absolute;left:4230;top:165;width:1785;height:1140" filled="true" fillcolor="#ffffff" stroked="false">
              <v:fill type="solid"/>
            </v:rect>
            <v:rect style="position:absolute;left:5790;top:165;width:4455;height:165" filled="true" fillcolor="#ffffff" stroked="false">
              <v:fill type="solid"/>
            </v:rect>
            <v:rect style="position:absolute;left:8190;top:330;width:2325;height:330" filled="true" fillcolor="#ffffff" stroked="false">
              <v:fill type="solid"/>
            </v:rect>
            <v:rect style="position:absolute;left:8070;top:660;width:2115;height:270" filled="true" fillcolor="#ffffff" stroked="false">
              <v:fill type="solid"/>
            </v:rect>
            <v:rect style="position:absolute;left:8190;top:870;width:2055;height:105" filled="true" fillcolor="#ffffff" stroked="false">
              <v:fill type="solid"/>
            </v:rect>
            <v:rect style="position:absolute;left:9960;top:930;width:285;height:3630" filled="true" fillcolor="#ffffff" stroked="false">
              <v:fill type="solid"/>
            </v:rect>
            <v:rect style="position:absolute;left:8460;top:4020;width:1560;height:375" filled="true" fillcolor="#ffffff" stroked="false">
              <v:fill type="solid"/>
            </v:rect>
            <v:rect style="position:absolute;left:4290;top:4395;width:5835;height:330" filled="true" fillcolor="#ffffff" stroked="false">
              <v:fill type="solid"/>
            </v:rect>
            <v:rect style="position:absolute;left:4170;top:1260;width:345;height:3195" filled="true" fillcolor="#ffffff" stroked="false">
              <v:fill type="solid"/>
            </v:rect>
            <v:rect style="position:absolute;left:4455;top:1260;width:780;height:705" filled="true" fillcolor="#ffffff" stroked="false">
              <v:fill type="solid"/>
            </v:rect>
            <v:rect style="position:absolute;left:5295;top:1410;width:495;height:285" filled="true" fillcolor="#ffffff" stroked="false">
              <v:fill type="solid"/>
            </v:rect>
            <v:rect style="position:absolute;left:5295;top:1695;width:330;height:105" filled="true" fillcolor="#ffffff" stroked="false">
              <v:fill type="solid"/>
            </v:rect>
            <v:rect style="position:absolute;left:5340;top:1365;width:555;height:270" filled="true" fillcolor="#ffffff" stroked="false">
              <v:fill type="solid"/>
            </v:rect>
            <v:shape style="position:absolute;left:2760;top:3510;width:2730;height:1335" coordorigin="2760,3510" coordsize="2730,1335" path="m3060,4635l2760,4770,2805,4845,3090,4710,3060,4635xm3555,4395l3270,4530,3300,4605,3600,4470,3555,4395xm4065,4155l3780,4290,3810,4365,4095,4230,4065,4155xm4575,3915l4275,4050,4320,4125,4605,3990,4575,3915xm5070,3675l4785,3810,4815,3885,5115,3750,5070,3675xm5220,3510l5325,3735,5490,3525,5220,3510xe" filled="true" fillcolor="#ffcc99" stroked="false">
              <v:path arrowok="t"/>
              <v:fill type="solid"/>
            </v:shape>
            <w10:wrap type="topAndBottom"/>
          </v:group>
        </w:pict>
      </w:r>
    </w:p>
    <w:p>
      <w:pPr>
        <w:pStyle w:val="BodyText"/>
        <w:spacing w:before="5"/>
        <w:rPr>
          <w:sz w:val="18"/>
        </w:rPr>
      </w:pPr>
    </w:p>
    <w:p>
      <w:pPr>
        <w:pStyle w:val="BodyText"/>
        <w:spacing w:line="247" w:lineRule="auto"/>
        <w:ind w:left="115" w:right="232"/>
        <w:jc w:val="both"/>
      </w:pPr>
      <w:r>
        <w:rPr>
          <w:w w:val="105"/>
        </w:rPr>
        <w:t>El territorio ocupado por la Subcuenca de Valle de Bravo-Amanalco incluye a ocho municipios mexiquenses, como a continuación se describe:</w:t>
      </w:r>
    </w:p>
    <w:p>
      <w:pPr>
        <w:pStyle w:val="BodyText"/>
        <w:spacing w:before="4"/>
        <w:rPr>
          <w:sz w:val="15"/>
        </w:rPr>
      </w:pPr>
      <w:r>
        <w:rPr/>
        <w:pict>
          <v:group style="position:absolute;margin-left:84.75pt;margin-top:10.793418pt;width:459.4pt;height:74.25pt;mso-position-horizontal-relative:page;mso-position-vertical-relative:paragraph;z-index:1120;mso-wrap-distance-left:0;mso-wrap-distance-right:0" coordorigin="1695,216" coordsize="9188,1485">
            <v:shape style="position:absolute;left:2115;top:223;width:8760;height:1470" coordorigin="2115,223" coordsize="8760,1470" path="m2115,223l10710,223,10740,238,10755,253,10770,253,10800,268,10845,313,10845,328,10860,358,10875,373,10875,1693e" filled="false" stroked="true" strokeweight=".75pt" strokecolor="#1f1a17">
              <v:path arrowok="t"/>
            </v:shape>
            <v:shape style="position:absolute;left:1875;top:223;width:240;height:1470" coordorigin="1875,223" coordsize="240,1470" path="m1875,1693l1875,433,1890,418,1890,373,1905,358,1905,328,1980,253,2010,253,2025,238,2055,223,2115,223e" filled="false" stroked="true" strokeweight=".75pt" strokecolor="#1f1a17">
              <v:path arrowok="t"/>
            </v:shape>
            <v:shape style="position:absolute;left:4703;top:351;width:5160;height:1350" type="#_x0000_t75" stroked="false">
              <v:imagedata r:id="rId9" o:title=""/>
            </v:shape>
            <v:shape style="position:absolute;left:1695;top:1143;width:4326;height:180" type="#_x0000_t202" filled="false" stroked="false">
              <v:textbox inset="0,0,0,0">
                <w:txbxContent>
                  <w:p>
                    <w:pPr>
                      <w:spacing w:line="180" w:lineRule="exact" w:before="0"/>
                      <w:ind w:left="0" w:right="0" w:firstLine="0"/>
                      <w:jc w:val="left"/>
                      <w:rPr>
                        <w:sz w:val="18"/>
                      </w:rPr>
                    </w:pPr>
                    <w:r>
                      <w:rPr>
                        <w:sz w:val="18"/>
                      </w:rPr>
                      <w:t>II Congreso Internacional de Ordenación del Territorio</w:t>
                    </w:r>
                  </w:p>
                </w:txbxContent>
              </v:textbox>
              <w10:wrap type="none"/>
            </v:shape>
            <v:shape style="position:absolute;left:6450;top:1143;width:3990;height:508" type="#_x0000_t202" filled="false" stroked="false">
              <v:textbox inset="0,0,0,0">
                <w:txbxContent>
                  <w:p>
                    <w:pPr>
                      <w:spacing w:line="184" w:lineRule="exact" w:before="0"/>
                      <w:ind w:left="340" w:right="-9" w:firstLine="0"/>
                      <w:jc w:val="left"/>
                      <w:rPr>
                        <w:sz w:val="18"/>
                      </w:rPr>
                    </w:pPr>
                    <w:r>
                      <w:rPr>
                        <w:sz w:val="18"/>
                      </w:rPr>
                      <w:t>Toluca, </w:t>
                    </w:r>
                    <w:r>
                      <w:rPr>
                        <w:spacing w:val="-7"/>
                        <w:sz w:val="18"/>
                      </w:rPr>
                      <w:t>Mé </w:t>
                    </w:r>
                    <w:r>
                      <w:rPr>
                        <w:sz w:val="18"/>
                      </w:rPr>
                      <w:t>xico; 26-28 de Noviembre de</w:t>
                    </w:r>
                    <w:r>
                      <w:rPr>
                        <w:spacing w:val="-33"/>
                        <w:sz w:val="18"/>
                      </w:rPr>
                      <w:t> </w:t>
                    </w:r>
                    <w:r>
                      <w:rPr>
                        <w:sz w:val="18"/>
                      </w:rPr>
                      <w:t>2003</w:t>
                    </w:r>
                  </w:p>
                  <w:p>
                    <w:pPr>
                      <w:spacing w:line="181" w:lineRule="exact" w:before="141"/>
                      <w:ind w:left="0" w:right="-9" w:firstLine="0"/>
                      <w:jc w:val="left"/>
                      <w:rPr>
                        <w:b/>
                        <w:sz w:val="16"/>
                      </w:rPr>
                    </w:pPr>
                    <w:r>
                      <w:rPr>
                        <w:b/>
                        <w:color w:val="1F1A17"/>
                        <w:sz w:val="16"/>
                      </w:rPr>
                      <w:t>VILLA VICTORIA</w:t>
                    </w:r>
                  </w:p>
                </w:txbxContent>
              </v:textbox>
              <w10:wrap type="none"/>
            </v:shape>
            <v:shape style="position:absolute;left:10695;top:1155;width:120;height:240" type="#_x0000_t202" filled="false" stroked="false">
              <v:textbox inset="0,0,0,0">
                <w:txbxContent>
                  <w:p>
                    <w:pPr>
                      <w:spacing w:line="240" w:lineRule="exact" w:before="0"/>
                      <w:ind w:left="0" w:right="0" w:firstLine="0"/>
                      <w:jc w:val="left"/>
                      <w:rPr>
                        <w:rFonts w:ascii="Times New Roman"/>
                        <w:sz w:val="24"/>
                      </w:rPr>
                    </w:pPr>
                    <w:r>
                      <w:rPr>
                        <w:rFonts w:ascii="Times New Roman"/>
                        <w:sz w:val="24"/>
                      </w:rPr>
                      <w:t>2</w:t>
                    </w:r>
                  </w:p>
                </w:txbxContent>
              </v:textbox>
              <w10:wrap type="none"/>
            </v:shape>
            <w10:wrap type="topAndBottom"/>
          </v:group>
        </w:pict>
      </w:r>
    </w:p>
    <w:p>
      <w:pPr>
        <w:spacing w:after="0"/>
        <w:rPr>
          <w:sz w:val="15"/>
        </w:rPr>
        <w:sectPr>
          <w:footerReference w:type="default" r:id="rId6"/>
          <w:pgSz w:w="12240" w:h="15840"/>
          <w:pgMar w:footer="0" w:header="0" w:top="1360" w:bottom="0" w:left="1580" w:right="12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BodyText"/>
        <w:spacing w:before="79"/>
        <w:ind w:left="195"/>
      </w:pPr>
      <w:r>
        <w:rPr>
          <w:w w:val="105"/>
        </w:rPr>
        <w:t>TABLA 1: Municipios que integran la subcuenca</w:t>
      </w:r>
    </w:p>
    <w:p>
      <w:pPr>
        <w:pStyle w:val="BodyText"/>
        <w:spacing w:before="3"/>
        <w:rPr>
          <w:sz w:val="21"/>
        </w:rPr>
      </w:pPr>
    </w:p>
    <w:tbl>
      <w:tblPr>
        <w:tblW w:w="0" w:type="auto"/>
        <w:jc w:val="left"/>
        <w:tblInd w:w="1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235"/>
        <w:gridCol w:w="4860"/>
        <w:gridCol w:w="2160"/>
      </w:tblGrid>
      <w:tr>
        <w:trPr>
          <w:trHeight w:val="300" w:hRule="exact"/>
        </w:trPr>
        <w:tc>
          <w:tcPr>
            <w:tcW w:w="2235" w:type="dxa"/>
          </w:tcPr>
          <w:p>
            <w:pPr>
              <w:pStyle w:val="TableParagraph"/>
              <w:rPr>
                <w:b/>
                <w:sz w:val="19"/>
              </w:rPr>
            </w:pPr>
            <w:r>
              <w:rPr>
                <w:b/>
                <w:w w:val="105"/>
                <w:sz w:val="19"/>
              </w:rPr>
              <w:t>MUNICIPIO</w:t>
            </w:r>
          </w:p>
        </w:tc>
        <w:tc>
          <w:tcPr>
            <w:tcW w:w="4860" w:type="dxa"/>
          </w:tcPr>
          <w:p>
            <w:pPr>
              <w:pStyle w:val="TableParagraph"/>
              <w:rPr>
                <w:b/>
                <w:sz w:val="19"/>
              </w:rPr>
            </w:pPr>
            <w:r>
              <w:rPr>
                <w:b/>
                <w:w w:val="105"/>
                <w:sz w:val="19"/>
              </w:rPr>
              <w:t>SUPERFICIE</w:t>
            </w:r>
            <w:r>
              <w:rPr>
                <w:b/>
                <w:spacing w:val="55"/>
                <w:w w:val="105"/>
                <w:sz w:val="19"/>
              </w:rPr>
              <w:t> </w:t>
            </w:r>
            <w:r>
              <w:rPr>
                <w:b/>
                <w:w w:val="105"/>
                <w:sz w:val="19"/>
              </w:rPr>
              <w:t>(KM2)</w:t>
            </w:r>
          </w:p>
        </w:tc>
        <w:tc>
          <w:tcPr>
            <w:tcW w:w="2160" w:type="dxa"/>
          </w:tcPr>
          <w:p>
            <w:pPr>
              <w:pStyle w:val="TableParagraph"/>
              <w:rPr>
                <w:b/>
                <w:sz w:val="19"/>
              </w:rPr>
            </w:pPr>
            <w:r>
              <w:rPr>
                <w:b/>
                <w:w w:val="102"/>
                <w:sz w:val="19"/>
              </w:rPr>
              <w:t>%</w:t>
            </w:r>
          </w:p>
        </w:tc>
      </w:tr>
      <w:tr>
        <w:trPr>
          <w:trHeight w:val="240" w:hRule="exact"/>
        </w:trPr>
        <w:tc>
          <w:tcPr>
            <w:tcW w:w="2235" w:type="dxa"/>
          </w:tcPr>
          <w:p>
            <w:pPr>
              <w:pStyle w:val="TableParagraph"/>
              <w:rPr>
                <w:sz w:val="19"/>
              </w:rPr>
            </w:pPr>
            <w:r>
              <w:rPr>
                <w:w w:val="105"/>
                <w:sz w:val="19"/>
              </w:rPr>
              <w:t>Valle de Bravo</w:t>
            </w:r>
          </w:p>
        </w:tc>
        <w:tc>
          <w:tcPr>
            <w:tcW w:w="4860" w:type="dxa"/>
          </w:tcPr>
          <w:p>
            <w:pPr>
              <w:pStyle w:val="TableParagraph"/>
              <w:rPr>
                <w:sz w:val="19"/>
              </w:rPr>
            </w:pPr>
            <w:r>
              <w:rPr>
                <w:w w:val="105"/>
                <w:sz w:val="19"/>
              </w:rPr>
              <w:t>421.90 (100% de la superficie municipal)</w:t>
            </w:r>
          </w:p>
        </w:tc>
        <w:tc>
          <w:tcPr>
            <w:tcW w:w="2160" w:type="dxa"/>
          </w:tcPr>
          <w:p>
            <w:pPr>
              <w:pStyle w:val="TableParagraph"/>
              <w:rPr>
                <w:sz w:val="19"/>
              </w:rPr>
            </w:pPr>
            <w:r>
              <w:rPr>
                <w:w w:val="105"/>
                <w:sz w:val="19"/>
              </w:rPr>
              <w:t>54.39</w:t>
            </w:r>
          </w:p>
        </w:tc>
      </w:tr>
      <w:tr>
        <w:trPr>
          <w:trHeight w:val="240" w:hRule="exact"/>
        </w:trPr>
        <w:tc>
          <w:tcPr>
            <w:tcW w:w="2235" w:type="dxa"/>
          </w:tcPr>
          <w:p>
            <w:pPr>
              <w:pStyle w:val="TableParagraph"/>
              <w:rPr>
                <w:sz w:val="19"/>
              </w:rPr>
            </w:pPr>
            <w:r>
              <w:rPr>
                <w:w w:val="105"/>
                <w:sz w:val="19"/>
              </w:rPr>
              <w:t>Amanalco</w:t>
            </w:r>
          </w:p>
        </w:tc>
        <w:tc>
          <w:tcPr>
            <w:tcW w:w="4860" w:type="dxa"/>
          </w:tcPr>
          <w:p>
            <w:pPr>
              <w:pStyle w:val="TableParagraph"/>
              <w:rPr>
                <w:sz w:val="19"/>
              </w:rPr>
            </w:pPr>
            <w:r>
              <w:rPr>
                <w:w w:val="105"/>
                <w:sz w:val="19"/>
              </w:rPr>
              <w:t>219.43 (100% de la superficie municipal)</w:t>
            </w:r>
          </w:p>
        </w:tc>
        <w:tc>
          <w:tcPr>
            <w:tcW w:w="2160" w:type="dxa"/>
          </w:tcPr>
          <w:p>
            <w:pPr>
              <w:pStyle w:val="TableParagraph"/>
              <w:rPr>
                <w:sz w:val="19"/>
              </w:rPr>
            </w:pPr>
            <w:r>
              <w:rPr>
                <w:w w:val="105"/>
                <w:sz w:val="19"/>
              </w:rPr>
              <w:t>28.29</w:t>
            </w:r>
          </w:p>
        </w:tc>
      </w:tr>
      <w:tr>
        <w:trPr>
          <w:trHeight w:val="240" w:hRule="exact"/>
        </w:trPr>
        <w:tc>
          <w:tcPr>
            <w:tcW w:w="2235" w:type="dxa"/>
          </w:tcPr>
          <w:p>
            <w:pPr>
              <w:pStyle w:val="TableParagraph"/>
              <w:rPr>
                <w:sz w:val="19"/>
              </w:rPr>
            </w:pPr>
            <w:r>
              <w:rPr>
                <w:w w:val="105"/>
                <w:sz w:val="19"/>
              </w:rPr>
              <w:t>Donato Guerra</w:t>
            </w:r>
          </w:p>
        </w:tc>
        <w:tc>
          <w:tcPr>
            <w:tcW w:w="4860" w:type="dxa"/>
          </w:tcPr>
          <w:p>
            <w:pPr>
              <w:pStyle w:val="TableParagraph"/>
              <w:rPr>
                <w:sz w:val="19"/>
              </w:rPr>
            </w:pPr>
            <w:r>
              <w:rPr>
                <w:w w:val="105"/>
                <w:sz w:val="19"/>
              </w:rPr>
              <w:t>43.80 (22.8% de la superficie municipal)</w:t>
            </w:r>
          </w:p>
        </w:tc>
        <w:tc>
          <w:tcPr>
            <w:tcW w:w="2160" w:type="dxa"/>
          </w:tcPr>
          <w:p>
            <w:pPr>
              <w:pStyle w:val="TableParagraph"/>
              <w:rPr>
                <w:sz w:val="19"/>
              </w:rPr>
            </w:pPr>
            <w:r>
              <w:rPr>
                <w:w w:val="105"/>
                <w:sz w:val="19"/>
              </w:rPr>
              <w:t>5.64</w:t>
            </w:r>
          </w:p>
        </w:tc>
      </w:tr>
      <w:tr>
        <w:trPr>
          <w:trHeight w:val="240" w:hRule="exact"/>
        </w:trPr>
        <w:tc>
          <w:tcPr>
            <w:tcW w:w="2235" w:type="dxa"/>
          </w:tcPr>
          <w:p>
            <w:pPr>
              <w:pStyle w:val="TableParagraph"/>
              <w:rPr>
                <w:sz w:val="19"/>
              </w:rPr>
            </w:pPr>
            <w:r>
              <w:rPr>
                <w:w w:val="105"/>
                <w:sz w:val="19"/>
              </w:rPr>
              <w:t>Villa de Allende</w:t>
            </w:r>
          </w:p>
        </w:tc>
        <w:tc>
          <w:tcPr>
            <w:tcW w:w="4860" w:type="dxa"/>
          </w:tcPr>
          <w:p>
            <w:pPr>
              <w:pStyle w:val="TableParagraph"/>
              <w:rPr>
                <w:sz w:val="19"/>
              </w:rPr>
            </w:pPr>
            <w:r>
              <w:rPr>
                <w:w w:val="105"/>
                <w:sz w:val="19"/>
              </w:rPr>
              <w:t>40.84 (12.8% de la superficie municipal)</w:t>
            </w:r>
          </w:p>
        </w:tc>
        <w:tc>
          <w:tcPr>
            <w:tcW w:w="2160" w:type="dxa"/>
          </w:tcPr>
          <w:p>
            <w:pPr>
              <w:pStyle w:val="TableParagraph"/>
              <w:rPr>
                <w:sz w:val="19"/>
              </w:rPr>
            </w:pPr>
            <w:r>
              <w:rPr>
                <w:w w:val="105"/>
                <w:sz w:val="19"/>
              </w:rPr>
              <w:t>5.26</w:t>
            </w:r>
          </w:p>
        </w:tc>
      </w:tr>
      <w:tr>
        <w:trPr>
          <w:trHeight w:val="240" w:hRule="exact"/>
        </w:trPr>
        <w:tc>
          <w:tcPr>
            <w:tcW w:w="2235" w:type="dxa"/>
          </w:tcPr>
          <w:p>
            <w:pPr>
              <w:pStyle w:val="TableParagraph"/>
              <w:rPr>
                <w:sz w:val="19"/>
              </w:rPr>
            </w:pPr>
            <w:r>
              <w:rPr>
                <w:w w:val="105"/>
                <w:sz w:val="19"/>
              </w:rPr>
              <w:t>Villa Victoria</w:t>
            </w:r>
          </w:p>
        </w:tc>
        <w:tc>
          <w:tcPr>
            <w:tcW w:w="4860" w:type="dxa"/>
          </w:tcPr>
          <w:p>
            <w:pPr>
              <w:pStyle w:val="TableParagraph"/>
              <w:rPr>
                <w:sz w:val="19"/>
              </w:rPr>
            </w:pPr>
            <w:r>
              <w:rPr>
                <w:w w:val="105"/>
                <w:sz w:val="19"/>
              </w:rPr>
              <w:t>23.84 (5.6% de la superficie municipal)</w:t>
            </w:r>
          </w:p>
        </w:tc>
        <w:tc>
          <w:tcPr>
            <w:tcW w:w="2160" w:type="dxa"/>
          </w:tcPr>
          <w:p>
            <w:pPr>
              <w:pStyle w:val="TableParagraph"/>
              <w:rPr>
                <w:sz w:val="19"/>
              </w:rPr>
            </w:pPr>
            <w:r>
              <w:rPr>
                <w:w w:val="105"/>
                <w:sz w:val="19"/>
              </w:rPr>
              <w:t>3.07</w:t>
            </w:r>
          </w:p>
        </w:tc>
      </w:tr>
      <w:tr>
        <w:trPr>
          <w:trHeight w:val="240" w:hRule="exact"/>
        </w:trPr>
        <w:tc>
          <w:tcPr>
            <w:tcW w:w="2235" w:type="dxa"/>
          </w:tcPr>
          <w:p>
            <w:pPr>
              <w:pStyle w:val="TableParagraph"/>
              <w:rPr>
                <w:sz w:val="19"/>
              </w:rPr>
            </w:pPr>
            <w:r>
              <w:rPr>
                <w:w w:val="105"/>
                <w:sz w:val="19"/>
              </w:rPr>
              <w:t>Temascaltepec</w:t>
            </w:r>
          </w:p>
        </w:tc>
        <w:tc>
          <w:tcPr>
            <w:tcW w:w="4860" w:type="dxa"/>
          </w:tcPr>
          <w:p>
            <w:pPr>
              <w:pStyle w:val="TableParagraph"/>
              <w:rPr>
                <w:sz w:val="19"/>
              </w:rPr>
            </w:pPr>
            <w:r>
              <w:rPr>
                <w:w w:val="105"/>
                <w:sz w:val="19"/>
              </w:rPr>
              <w:t>16.02 (2.9% de la superficie municipal)</w:t>
            </w:r>
          </w:p>
        </w:tc>
        <w:tc>
          <w:tcPr>
            <w:tcW w:w="2160" w:type="dxa"/>
          </w:tcPr>
          <w:p>
            <w:pPr>
              <w:pStyle w:val="TableParagraph"/>
              <w:rPr>
                <w:sz w:val="19"/>
              </w:rPr>
            </w:pPr>
            <w:r>
              <w:rPr>
                <w:w w:val="105"/>
                <w:sz w:val="19"/>
              </w:rPr>
              <w:t>2.06</w:t>
            </w:r>
          </w:p>
        </w:tc>
      </w:tr>
      <w:tr>
        <w:trPr>
          <w:trHeight w:val="240" w:hRule="exact"/>
        </w:trPr>
        <w:tc>
          <w:tcPr>
            <w:tcW w:w="2235" w:type="dxa"/>
          </w:tcPr>
          <w:p>
            <w:pPr>
              <w:pStyle w:val="TableParagraph"/>
              <w:rPr>
                <w:sz w:val="19"/>
              </w:rPr>
            </w:pPr>
            <w:r>
              <w:rPr>
                <w:w w:val="105"/>
                <w:sz w:val="19"/>
              </w:rPr>
              <w:t>Zinacantepec</w:t>
            </w:r>
          </w:p>
        </w:tc>
        <w:tc>
          <w:tcPr>
            <w:tcW w:w="4860" w:type="dxa"/>
          </w:tcPr>
          <w:p>
            <w:pPr>
              <w:pStyle w:val="TableParagraph"/>
              <w:rPr>
                <w:sz w:val="19"/>
              </w:rPr>
            </w:pPr>
            <w:r>
              <w:rPr>
                <w:w w:val="105"/>
                <w:sz w:val="19"/>
              </w:rPr>
              <w:t>8.26 (2.7% de la superficie municipal)</w:t>
            </w:r>
          </w:p>
        </w:tc>
        <w:tc>
          <w:tcPr>
            <w:tcW w:w="2160" w:type="dxa"/>
          </w:tcPr>
          <w:p>
            <w:pPr>
              <w:pStyle w:val="TableParagraph"/>
              <w:rPr>
                <w:sz w:val="19"/>
              </w:rPr>
            </w:pPr>
            <w:r>
              <w:rPr>
                <w:w w:val="105"/>
                <w:sz w:val="19"/>
              </w:rPr>
              <w:t>1.06</w:t>
            </w:r>
          </w:p>
        </w:tc>
      </w:tr>
      <w:tr>
        <w:trPr>
          <w:trHeight w:val="225" w:hRule="exact"/>
        </w:trPr>
        <w:tc>
          <w:tcPr>
            <w:tcW w:w="2235" w:type="dxa"/>
          </w:tcPr>
          <w:p>
            <w:pPr>
              <w:pStyle w:val="TableParagraph"/>
              <w:rPr>
                <w:sz w:val="19"/>
              </w:rPr>
            </w:pPr>
            <w:r>
              <w:rPr>
                <w:w w:val="105"/>
                <w:sz w:val="19"/>
              </w:rPr>
              <w:t>Almoloya de Juárez</w:t>
            </w:r>
          </w:p>
        </w:tc>
        <w:tc>
          <w:tcPr>
            <w:tcW w:w="4860" w:type="dxa"/>
          </w:tcPr>
          <w:p>
            <w:pPr>
              <w:pStyle w:val="TableParagraph"/>
              <w:rPr>
                <w:sz w:val="19"/>
              </w:rPr>
            </w:pPr>
            <w:r>
              <w:rPr>
                <w:w w:val="105"/>
                <w:sz w:val="19"/>
              </w:rPr>
              <w:t>2.20 (0.4% de la superficie municipal)</w:t>
            </w:r>
          </w:p>
        </w:tc>
        <w:tc>
          <w:tcPr>
            <w:tcW w:w="2160" w:type="dxa"/>
          </w:tcPr>
          <w:p>
            <w:pPr>
              <w:pStyle w:val="TableParagraph"/>
              <w:rPr>
                <w:sz w:val="19"/>
              </w:rPr>
            </w:pPr>
            <w:r>
              <w:rPr>
                <w:w w:val="105"/>
                <w:sz w:val="19"/>
              </w:rPr>
              <w:t>0.28</w:t>
            </w:r>
          </w:p>
        </w:tc>
      </w:tr>
    </w:tbl>
    <w:p>
      <w:pPr>
        <w:pStyle w:val="BodyText"/>
        <w:spacing w:before="5"/>
        <w:rPr>
          <w:sz w:val="17"/>
        </w:rPr>
      </w:pPr>
    </w:p>
    <w:p>
      <w:pPr>
        <w:pStyle w:val="Heading1"/>
        <w:spacing w:before="69"/>
        <w:ind w:left="195"/>
      </w:pPr>
      <w:r>
        <w:rPr/>
        <w:t>2.2.- Importancia de la subcuenca</w:t>
      </w:r>
    </w:p>
    <w:p>
      <w:pPr>
        <w:pStyle w:val="BodyText"/>
        <w:spacing w:before="8"/>
        <w:rPr>
          <w:b/>
          <w:sz w:val="25"/>
        </w:rPr>
      </w:pPr>
    </w:p>
    <w:p>
      <w:pPr>
        <w:pStyle w:val="BodyText"/>
        <w:spacing w:line="247" w:lineRule="auto"/>
        <w:ind w:left="195" w:right="201"/>
        <w:jc w:val="both"/>
      </w:pPr>
      <w:r>
        <w:rPr>
          <w:w w:val="105"/>
        </w:rPr>
        <w:t>La problemática de captación, abastecimiento y transporte de agua para las diferentes actividades humanas es cada vez más aguda en el Estado de México y en la Zona Metropolitana del Valle de México, por lo que, la restauración y conservación ambiental de las cuencas es prioritaria.</w:t>
      </w:r>
    </w:p>
    <w:p>
      <w:pPr>
        <w:pStyle w:val="BodyText"/>
        <w:spacing w:before="10"/>
        <w:rPr>
          <w:sz w:val="20"/>
        </w:rPr>
      </w:pPr>
    </w:p>
    <w:p>
      <w:pPr>
        <w:pStyle w:val="BodyText"/>
        <w:spacing w:line="252" w:lineRule="auto"/>
        <w:ind w:left="195" w:right="184"/>
        <w:jc w:val="both"/>
      </w:pPr>
      <w:r>
        <w:rPr>
          <w:w w:val="105"/>
        </w:rPr>
        <w:t>La Cuenca del Balsas localizada en la parte surponiente del Estado de México representa el 61% de los embalses con que cuenta la entidad y es la que tiene una mejor calidad de agua; dentro de esta, la subcuenca de Valle de Bravo – </w:t>
      </w:r>
      <w:r>
        <w:rPr>
          <w:spacing w:val="2"/>
          <w:w w:val="105"/>
        </w:rPr>
        <w:t>Amanalco </w:t>
      </w:r>
      <w:r>
        <w:rPr>
          <w:w w:val="105"/>
        </w:rPr>
        <w:t>tiene un valor estratégico debido a los servicios ambientales que brinda tales como: la captación y aportación de agua (la cuarta parte de la subcuenca es zona importante de recarga de acuíferos), la biodiversidad y el potencial paisajístico y recreativo </w:t>
      </w:r>
      <w:r>
        <w:rPr>
          <w:spacing w:val="2"/>
          <w:w w:val="105"/>
        </w:rPr>
        <w:t>(la </w:t>
      </w:r>
      <w:r>
        <w:rPr>
          <w:w w:val="105"/>
        </w:rPr>
        <w:t>cabecera municipal de Valle de Bravo es un sitio de atracción turística nacional e internacional).</w:t>
      </w:r>
      <w:r>
        <w:rPr>
          <w:spacing w:val="55"/>
          <w:w w:val="105"/>
        </w:rPr>
        <w:t> </w:t>
      </w:r>
      <w:r>
        <w:rPr>
          <w:w w:val="105"/>
        </w:rPr>
        <w:t>Dichos</w:t>
      </w:r>
      <w:r>
        <w:rPr>
          <w:spacing w:val="21"/>
          <w:w w:val="105"/>
        </w:rPr>
        <w:t> </w:t>
      </w:r>
      <w:r>
        <w:rPr>
          <w:w w:val="105"/>
        </w:rPr>
        <w:t>servicios</w:t>
      </w:r>
      <w:r>
        <w:rPr>
          <w:spacing w:val="21"/>
          <w:w w:val="105"/>
        </w:rPr>
        <w:t> </w:t>
      </w:r>
      <w:r>
        <w:rPr>
          <w:w w:val="105"/>
        </w:rPr>
        <w:t>están</w:t>
      </w:r>
      <w:r>
        <w:rPr>
          <w:spacing w:val="21"/>
          <w:w w:val="105"/>
        </w:rPr>
        <w:t> </w:t>
      </w:r>
      <w:r>
        <w:rPr>
          <w:w w:val="105"/>
        </w:rPr>
        <w:t>muy</w:t>
      </w:r>
      <w:r>
        <w:rPr>
          <w:spacing w:val="21"/>
          <w:w w:val="105"/>
        </w:rPr>
        <w:t> </w:t>
      </w:r>
      <w:r>
        <w:rPr>
          <w:w w:val="105"/>
        </w:rPr>
        <w:t>relacionados</w:t>
      </w:r>
      <w:r>
        <w:rPr>
          <w:spacing w:val="21"/>
          <w:w w:val="105"/>
        </w:rPr>
        <w:t> </w:t>
      </w:r>
      <w:r>
        <w:rPr>
          <w:w w:val="105"/>
        </w:rPr>
        <w:t>con</w:t>
      </w:r>
      <w:r>
        <w:rPr>
          <w:spacing w:val="21"/>
          <w:w w:val="105"/>
        </w:rPr>
        <w:t> </w:t>
      </w:r>
      <w:r>
        <w:rPr>
          <w:w w:val="105"/>
        </w:rPr>
        <w:t>la</w:t>
      </w:r>
      <w:r>
        <w:rPr>
          <w:spacing w:val="21"/>
          <w:w w:val="105"/>
        </w:rPr>
        <w:t> </w:t>
      </w:r>
      <w:r>
        <w:rPr>
          <w:w w:val="105"/>
        </w:rPr>
        <w:t>superficie</w:t>
      </w:r>
      <w:r>
        <w:rPr>
          <w:spacing w:val="21"/>
          <w:w w:val="105"/>
        </w:rPr>
        <w:t> </w:t>
      </w:r>
      <w:r>
        <w:rPr>
          <w:w w:val="105"/>
        </w:rPr>
        <w:t>cubierta</w:t>
      </w:r>
      <w:r>
        <w:rPr>
          <w:spacing w:val="21"/>
          <w:w w:val="105"/>
        </w:rPr>
        <w:t> </w:t>
      </w:r>
      <w:r>
        <w:rPr>
          <w:w w:val="105"/>
        </w:rPr>
        <w:t>de</w:t>
      </w:r>
      <w:r>
        <w:rPr>
          <w:spacing w:val="21"/>
          <w:w w:val="105"/>
        </w:rPr>
        <w:t> </w:t>
      </w:r>
      <w:r>
        <w:rPr>
          <w:w w:val="105"/>
        </w:rPr>
        <w:t>bosque,</w:t>
      </w:r>
      <w:r>
        <w:rPr>
          <w:spacing w:val="21"/>
          <w:w w:val="105"/>
        </w:rPr>
        <w:t> </w:t>
      </w:r>
      <w:r>
        <w:rPr>
          <w:w w:val="105"/>
        </w:rPr>
        <w:t>que</w:t>
      </w:r>
      <w:r>
        <w:rPr>
          <w:spacing w:val="21"/>
          <w:w w:val="105"/>
        </w:rPr>
        <w:t> </w:t>
      </w:r>
      <w:r>
        <w:rPr>
          <w:w w:val="105"/>
        </w:rPr>
        <w:t>en</w:t>
      </w:r>
      <w:r>
        <w:rPr>
          <w:spacing w:val="21"/>
          <w:w w:val="105"/>
        </w:rPr>
        <w:t> </w:t>
      </w:r>
      <w:r>
        <w:rPr>
          <w:w w:val="105"/>
        </w:rPr>
        <w:t>la</w:t>
      </w:r>
      <w:r>
        <w:rPr>
          <w:spacing w:val="21"/>
          <w:w w:val="105"/>
        </w:rPr>
        <w:t> </w:t>
      </w:r>
      <w:r>
        <w:rPr>
          <w:w w:val="105"/>
        </w:rPr>
        <w:t>actualidad</w:t>
      </w:r>
    </w:p>
    <w:p>
      <w:pPr>
        <w:pStyle w:val="BodyText"/>
        <w:spacing w:line="214" w:lineRule="exact"/>
        <w:ind w:left="195"/>
        <w:jc w:val="both"/>
      </w:pPr>
      <w:r>
        <w:rPr>
          <w:w w:val="105"/>
        </w:rPr>
        <w:t>asciende a 423.6 km</w:t>
      </w:r>
      <w:r>
        <w:rPr>
          <w:w w:val="105"/>
          <w:position w:val="10"/>
          <w:sz w:val="13"/>
        </w:rPr>
        <w:t>2</w:t>
      </w:r>
      <w:r>
        <w:rPr>
          <w:w w:val="105"/>
        </w:rPr>
        <w:t>, lo cual corresponde al 54.6% del territorio de la subcuenca. Cabe destacar que</w:t>
      </w:r>
    </w:p>
    <w:p>
      <w:pPr>
        <w:pStyle w:val="BodyText"/>
        <w:spacing w:before="21"/>
        <w:ind w:left="195"/>
        <w:jc w:val="both"/>
      </w:pPr>
      <w:r>
        <w:rPr>
          <w:w w:val="105"/>
        </w:rPr>
        <w:t>las características naturales de la zona presentan vocación forestal en un 80%.</w:t>
      </w:r>
    </w:p>
    <w:p>
      <w:pPr>
        <w:spacing w:after="0"/>
        <w:jc w:val="both"/>
        <w:sectPr>
          <w:footerReference w:type="default" r:id="rId10"/>
          <w:pgSz w:w="12240" w:h="15840"/>
          <w:pgMar w:footer="711" w:header="0" w:top="1500" w:bottom="900" w:left="1500" w:right="1240"/>
          <w:pgNumType w:start="3"/>
        </w:sectPr>
      </w:pPr>
    </w:p>
    <w:p>
      <w:pPr>
        <w:pStyle w:val="BodyText"/>
        <w:spacing w:line="247" w:lineRule="auto" w:before="66"/>
        <w:ind w:left="115" w:right="148"/>
        <w:jc w:val="both"/>
      </w:pPr>
      <w:r>
        <w:rPr>
          <w:w w:val="105"/>
        </w:rPr>
        <w:t>Las presas de Valle de Bravo y Colorines ubicadas en el municipio de Valle de Bravo, forman parte del Sistema Cutzamala, el cual abastece de 14,423 litros por segundo de agua potable al Área Metropolitana de la Ciudad de México y 818 litros por segundo a la Ciudad de Toluca.</w:t>
      </w:r>
    </w:p>
    <w:p>
      <w:pPr>
        <w:pStyle w:val="BodyText"/>
        <w:rPr>
          <w:sz w:val="20"/>
        </w:rPr>
      </w:pPr>
    </w:p>
    <w:p>
      <w:pPr>
        <w:pStyle w:val="BodyText"/>
        <w:spacing w:before="10"/>
        <w:rPr>
          <w:sz w:val="16"/>
        </w:rPr>
      </w:pPr>
      <w:r>
        <w:rPr/>
        <w:drawing>
          <wp:anchor distT="0" distB="0" distL="0" distR="0" allowOverlap="1" layoutInCell="1" locked="0" behindDoc="0" simplePos="0" relativeHeight="1144">
            <wp:simplePos x="0" y="0"/>
            <wp:positionH relativeFrom="page">
              <wp:posOffset>1076325</wp:posOffset>
            </wp:positionH>
            <wp:positionV relativeFrom="paragraph">
              <wp:posOffset>148201</wp:posOffset>
            </wp:positionV>
            <wp:extent cx="5833225" cy="2830829"/>
            <wp:effectExtent l="0" t="0" r="0" b="0"/>
            <wp:wrapTopAndBottom/>
            <wp:docPr id="1" name="image4.png" descr=""/>
            <wp:cNvGraphicFramePr>
              <a:graphicFrameLocks noChangeAspect="1"/>
            </wp:cNvGraphicFramePr>
            <a:graphic>
              <a:graphicData uri="http://schemas.openxmlformats.org/drawingml/2006/picture">
                <pic:pic>
                  <pic:nvPicPr>
                    <pic:cNvPr id="2" name="image4.png"/>
                    <pic:cNvPicPr/>
                  </pic:nvPicPr>
                  <pic:blipFill>
                    <a:blip r:embed="rId11" cstate="print"/>
                    <a:stretch>
                      <a:fillRect/>
                    </a:stretch>
                  </pic:blipFill>
                  <pic:spPr>
                    <a:xfrm>
                      <a:off x="0" y="0"/>
                      <a:ext cx="5833225" cy="2830829"/>
                    </a:xfrm>
                    <a:prstGeom prst="rect">
                      <a:avLst/>
                    </a:prstGeom>
                  </pic:spPr>
                </pic:pic>
              </a:graphicData>
            </a:graphic>
          </wp:anchor>
        </w:drawing>
      </w:r>
    </w:p>
    <w:p>
      <w:pPr>
        <w:pStyle w:val="BodyText"/>
        <w:spacing w:before="119"/>
        <w:ind w:left="115"/>
        <w:jc w:val="both"/>
      </w:pPr>
      <w:r>
        <w:rPr>
          <w:w w:val="105"/>
        </w:rPr>
        <w:t>Valle de Bravo, México</w:t>
      </w:r>
    </w:p>
    <w:p>
      <w:pPr>
        <w:pStyle w:val="BodyText"/>
        <w:spacing w:before="7"/>
        <w:rPr>
          <w:sz w:val="18"/>
        </w:rPr>
      </w:pPr>
    </w:p>
    <w:p>
      <w:pPr>
        <w:pStyle w:val="Heading1"/>
      </w:pPr>
      <w:r>
        <w:rPr/>
        <w:t>2.3.- Problemática</w:t>
      </w:r>
    </w:p>
    <w:p>
      <w:pPr>
        <w:pStyle w:val="BodyText"/>
        <w:spacing w:before="9"/>
        <w:rPr>
          <w:b/>
          <w:sz w:val="21"/>
        </w:rPr>
      </w:pPr>
    </w:p>
    <w:p>
      <w:pPr>
        <w:pStyle w:val="BodyText"/>
        <w:spacing w:line="252" w:lineRule="auto"/>
        <w:ind w:left="115" w:right="165"/>
        <w:jc w:val="both"/>
      </w:pPr>
      <w:r>
        <w:rPr>
          <w:w w:val="105"/>
        </w:rPr>
        <w:t>Al igual que en la mayoría de las cuencas en nuestro país, la degradación ambiental es provocada por: deforestación; incendios forestales; erosión; azolvamiento de ríos y presas; actividades agrícolas en zonas con pendientes pronunciadas; contaminación de manantiales, ríos y cuerpos de agua por residuos sólidos domésticos y excedentes de agroquímicos y fertilizantes; desperdicio de agua por malas prácticas en la agricultura de riego; cambios de uso de suelo de forestal a agrícola o urbano; insuficiencias en los sistemas de tratamiento de aguas residuales; inequidad en la distribución del recurso hídrico; falta de control y monitoreo de la calidad y cantidad de agua, entre otros.</w:t>
      </w:r>
    </w:p>
    <w:p>
      <w:pPr>
        <w:pStyle w:val="BodyText"/>
        <w:spacing w:before="5"/>
        <w:rPr>
          <w:sz w:val="20"/>
        </w:rPr>
      </w:pPr>
    </w:p>
    <w:p>
      <w:pPr>
        <w:pStyle w:val="BodyText"/>
        <w:spacing w:line="252" w:lineRule="auto" w:before="1"/>
        <w:ind w:left="115" w:right="170"/>
        <w:jc w:val="both"/>
      </w:pPr>
      <w:r>
        <w:rPr>
          <w:w w:val="105"/>
        </w:rPr>
        <w:t>No obstante, cabe destacar una problemática muy peculiar de la zona, como es el caso de la </w:t>
      </w:r>
      <w:r>
        <w:rPr>
          <w:spacing w:val="2"/>
          <w:w w:val="105"/>
        </w:rPr>
        <w:t>existencia </w:t>
      </w:r>
      <w:r>
        <w:rPr>
          <w:w w:val="105"/>
        </w:rPr>
        <w:t>de 9 </w:t>
      </w:r>
      <w:r>
        <w:rPr>
          <w:spacing w:val="2"/>
          <w:w w:val="105"/>
        </w:rPr>
        <w:t>áreas </w:t>
      </w:r>
      <w:r>
        <w:rPr>
          <w:spacing w:val="-4"/>
          <w:w w:val="105"/>
        </w:rPr>
        <w:t>naturales </w:t>
      </w:r>
      <w:r>
        <w:rPr>
          <w:w w:val="105"/>
        </w:rPr>
        <w:t>protegidas en 11,409 ha (14.7% de la superficie de la subcuenca), todas ellas sin programas de manejo y en su mayoría con invasiones de asentamientos humanos. </w:t>
      </w:r>
      <w:r>
        <w:rPr>
          <w:spacing w:val="2"/>
          <w:w w:val="105"/>
        </w:rPr>
        <w:t>Así </w:t>
      </w:r>
      <w:r>
        <w:rPr>
          <w:w w:val="105"/>
        </w:rPr>
        <w:t>como también la existencia de barrancas que pudieran considerarse con política de </w:t>
      </w:r>
      <w:r>
        <w:rPr>
          <w:spacing w:val="2"/>
          <w:w w:val="105"/>
        </w:rPr>
        <w:t>protección </w:t>
      </w:r>
      <w:r>
        <w:rPr>
          <w:spacing w:val="3"/>
          <w:w w:val="105"/>
        </w:rPr>
        <w:t>dada </w:t>
      </w:r>
      <w:r>
        <w:rPr>
          <w:w w:val="105"/>
        </w:rPr>
        <w:t>su riqueza</w:t>
      </w:r>
      <w:r>
        <w:rPr>
          <w:spacing w:val="-31"/>
          <w:w w:val="105"/>
        </w:rPr>
        <w:t> </w:t>
      </w:r>
      <w:r>
        <w:rPr>
          <w:w w:val="105"/>
        </w:rPr>
        <w:t>biológica.</w:t>
      </w:r>
    </w:p>
    <w:p>
      <w:pPr>
        <w:pStyle w:val="BodyText"/>
        <w:spacing w:before="5"/>
        <w:rPr>
          <w:sz w:val="20"/>
        </w:rPr>
      </w:pPr>
    </w:p>
    <w:p>
      <w:pPr>
        <w:pStyle w:val="BodyText"/>
        <w:spacing w:line="254" w:lineRule="auto" w:before="1"/>
        <w:ind w:left="115" w:right="213"/>
      </w:pPr>
      <w:r>
        <w:rPr>
          <w:w w:val="105"/>
        </w:rPr>
        <w:t>Las deficiencias en la prestación de servicios básicos se debe principalmente a la gran dispersión de</w:t>
      </w:r>
      <w:r>
        <w:rPr>
          <w:spacing w:val="55"/>
          <w:w w:val="105"/>
        </w:rPr>
        <w:t> </w:t>
      </w:r>
      <w:r>
        <w:rPr>
          <w:w w:val="105"/>
        </w:rPr>
        <w:t>la población, de un total de 124 localidades, el 50% de la población está asentada en sólo 9 de ellas. En la subcuenca se puede apreciar un mosaico socioeconómico muy diverso y de  contrastes,  mientras que 57 comunidades de la cuenca alta y media presentan grados de marginación alta y </w:t>
      </w:r>
      <w:r>
        <w:rPr>
          <w:spacing w:val="2"/>
          <w:w w:val="105"/>
        </w:rPr>
        <w:t>muy </w:t>
      </w:r>
      <w:r>
        <w:rPr>
          <w:w w:val="105"/>
        </w:rPr>
        <w:t>alta, en la cabecera de Valle de Bravo se pueden apreciar edificaciones suntuosas de descanso de varios</w:t>
      </w:r>
      <w:r>
        <w:rPr>
          <w:spacing w:val="-6"/>
          <w:w w:val="105"/>
        </w:rPr>
        <w:t> </w:t>
      </w:r>
      <w:r>
        <w:rPr>
          <w:w w:val="105"/>
        </w:rPr>
        <w:t>personajes</w:t>
      </w:r>
      <w:r>
        <w:rPr>
          <w:spacing w:val="-6"/>
          <w:w w:val="105"/>
        </w:rPr>
        <w:t> </w:t>
      </w:r>
      <w:r>
        <w:rPr>
          <w:w w:val="105"/>
        </w:rPr>
        <w:t>de</w:t>
      </w:r>
      <w:r>
        <w:rPr>
          <w:spacing w:val="-6"/>
          <w:w w:val="105"/>
        </w:rPr>
        <w:t> </w:t>
      </w:r>
      <w:r>
        <w:rPr>
          <w:w w:val="105"/>
        </w:rPr>
        <w:t>la</w:t>
      </w:r>
      <w:r>
        <w:rPr>
          <w:spacing w:val="-6"/>
          <w:w w:val="105"/>
        </w:rPr>
        <w:t> </w:t>
      </w:r>
      <w:r>
        <w:rPr>
          <w:w w:val="105"/>
        </w:rPr>
        <w:t>política,</w:t>
      </w:r>
      <w:r>
        <w:rPr>
          <w:spacing w:val="-6"/>
          <w:w w:val="105"/>
        </w:rPr>
        <w:t> </w:t>
      </w:r>
      <w:r>
        <w:rPr>
          <w:w w:val="105"/>
        </w:rPr>
        <w:t>el</w:t>
      </w:r>
      <w:r>
        <w:rPr>
          <w:spacing w:val="-6"/>
          <w:w w:val="105"/>
        </w:rPr>
        <w:t> </w:t>
      </w:r>
      <w:r>
        <w:rPr>
          <w:w w:val="105"/>
        </w:rPr>
        <w:t>arte</w:t>
      </w:r>
      <w:r>
        <w:rPr>
          <w:spacing w:val="-6"/>
          <w:w w:val="105"/>
        </w:rPr>
        <w:t> </w:t>
      </w:r>
      <w:r>
        <w:rPr>
          <w:w w:val="105"/>
        </w:rPr>
        <w:t>y</w:t>
      </w:r>
      <w:r>
        <w:rPr>
          <w:spacing w:val="-6"/>
          <w:w w:val="105"/>
        </w:rPr>
        <w:t> </w:t>
      </w:r>
      <w:r>
        <w:rPr>
          <w:w w:val="105"/>
        </w:rPr>
        <w:t>la</w:t>
      </w:r>
      <w:r>
        <w:rPr>
          <w:spacing w:val="-6"/>
          <w:w w:val="105"/>
        </w:rPr>
        <w:t> </w:t>
      </w:r>
      <w:r>
        <w:rPr>
          <w:w w:val="105"/>
        </w:rPr>
        <w:t>economía.</w:t>
      </w:r>
    </w:p>
    <w:p>
      <w:pPr>
        <w:pStyle w:val="BodyText"/>
        <w:spacing w:before="5"/>
        <w:rPr>
          <w:sz w:val="21"/>
        </w:rPr>
      </w:pPr>
    </w:p>
    <w:p>
      <w:pPr>
        <w:pStyle w:val="Heading1"/>
      </w:pPr>
      <w:r>
        <w:rPr/>
        <w:t>3.- PROCESO DE ORDENAMIENTO</w:t>
      </w:r>
    </w:p>
    <w:p>
      <w:pPr>
        <w:pStyle w:val="BodyText"/>
        <w:spacing w:before="9"/>
        <w:rPr>
          <w:b/>
          <w:sz w:val="21"/>
        </w:rPr>
      </w:pPr>
    </w:p>
    <w:p>
      <w:pPr>
        <w:pStyle w:val="BodyText"/>
        <w:spacing w:line="254" w:lineRule="auto"/>
        <w:ind w:left="115" w:right="164"/>
        <w:jc w:val="both"/>
      </w:pPr>
      <w:r>
        <w:rPr>
          <w:w w:val="105"/>
        </w:rPr>
        <w:t>Se hizo un análisis de los procesos de otros ordenamientos elaborados por la Secretaría de Ecología y por la federación así como de las características peculiares de la región, por lo que, se llegó a la conclusión  que  el  rigor  metodológico  e  institucional  tendrían  que  transformarse  en  flexibles     y</w:t>
      </w:r>
    </w:p>
    <w:p>
      <w:pPr>
        <w:spacing w:after="0" w:line="254" w:lineRule="auto"/>
        <w:jc w:val="both"/>
        <w:sectPr>
          <w:pgSz w:w="12240" w:h="15840"/>
          <w:pgMar w:header="0" w:footer="711" w:top="1360" w:bottom="900" w:left="1580" w:right="1260"/>
        </w:sectPr>
      </w:pPr>
    </w:p>
    <w:p>
      <w:pPr>
        <w:pStyle w:val="BodyText"/>
        <w:spacing w:line="247" w:lineRule="auto" w:before="66"/>
        <w:ind w:left="115" w:right="423"/>
        <w:jc w:val="both"/>
      </w:pPr>
      <w:r>
        <w:rPr>
          <w:w w:val="105"/>
        </w:rPr>
        <w:t>dinámicos para lograr el objetivo, o dicho de otra manera hubo una compartición del poder para decidir sobre la conducción de todo el proceso.</w:t>
      </w:r>
    </w:p>
    <w:p>
      <w:pPr>
        <w:pStyle w:val="BodyText"/>
        <w:spacing w:before="10"/>
        <w:rPr>
          <w:sz w:val="20"/>
        </w:rPr>
      </w:pPr>
    </w:p>
    <w:p>
      <w:pPr>
        <w:pStyle w:val="BodyText"/>
        <w:spacing w:line="252" w:lineRule="auto"/>
        <w:ind w:left="115" w:right="424"/>
        <w:jc w:val="both"/>
      </w:pPr>
      <w:r>
        <w:rPr>
          <w:spacing w:val="2"/>
          <w:w w:val="105"/>
        </w:rPr>
        <w:t>Abrir </w:t>
      </w:r>
      <w:r>
        <w:rPr>
          <w:w w:val="105"/>
        </w:rPr>
        <w:t>un </w:t>
      </w:r>
      <w:r>
        <w:rPr>
          <w:spacing w:val="2"/>
          <w:w w:val="105"/>
        </w:rPr>
        <w:t>camino tiene </w:t>
      </w:r>
      <w:r>
        <w:rPr>
          <w:w w:val="105"/>
        </w:rPr>
        <w:t>la </w:t>
      </w:r>
      <w:r>
        <w:rPr>
          <w:spacing w:val="2"/>
          <w:w w:val="105"/>
        </w:rPr>
        <w:t>desventaja </w:t>
      </w:r>
      <w:r>
        <w:rPr>
          <w:w w:val="105"/>
        </w:rPr>
        <w:t>de la </w:t>
      </w:r>
      <w:r>
        <w:rPr>
          <w:spacing w:val="2"/>
          <w:w w:val="105"/>
        </w:rPr>
        <w:t>dificultad, pero tiene </w:t>
      </w:r>
      <w:r>
        <w:rPr>
          <w:w w:val="105"/>
        </w:rPr>
        <w:t>la </w:t>
      </w:r>
      <w:r>
        <w:rPr>
          <w:spacing w:val="2"/>
          <w:w w:val="105"/>
        </w:rPr>
        <w:t>gran oportunidad </w:t>
      </w:r>
      <w:r>
        <w:rPr>
          <w:w w:val="105"/>
        </w:rPr>
        <w:t>de </w:t>
      </w:r>
      <w:r>
        <w:rPr>
          <w:spacing w:val="2"/>
          <w:w w:val="105"/>
        </w:rPr>
        <w:t>innovar </w:t>
      </w:r>
      <w:r>
        <w:rPr>
          <w:w w:val="105"/>
        </w:rPr>
        <w:t>y </w:t>
      </w:r>
      <w:r>
        <w:rPr>
          <w:spacing w:val="3"/>
          <w:w w:val="105"/>
        </w:rPr>
        <w:t>crear, </w:t>
      </w:r>
      <w:r>
        <w:rPr>
          <w:w w:val="105"/>
        </w:rPr>
        <w:t>por lo que este proceso se hizo a la medida de la subcuenca, no podemos afirmar categóricamente que al replicarse este </w:t>
      </w:r>
      <w:r>
        <w:rPr>
          <w:spacing w:val="-4"/>
          <w:w w:val="105"/>
        </w:rPr>
        <w:t>proceso </w:t>
      </w:r>
      <w:r>
        <w:rPr>
          <w:w w:val="105"/>
        </w:rPr>
        <w:t>en otras zonas tenga las mismas repercusiones, pero si es importante reflexionar sobre el aprendizaje tanto de los éxitos como de los</w:t>
      </w:r>
      <w:r>
        <w:rPr>
          <w:spacing w:val="-11"/>
          <w:w w:val="105"/>
        </w:rPr>
        <w:t> </w:t>
      </w:r>
      <w:r>
        <w:rPr>
          <w:w w:val="105"/>
        </w:rPr>
        <w:t>fracasos.</w:t>
      </w:r>
    </w:p>
    <w:p>
      <w:pPr>
        <w:pStyle w:val="BodyText"/>
        <w:spacing w:before="2"/>
      </w:pPr>
    </w:p>
    <w:p>
      <w:pPr>
        <w:pStyle w:val="BodyText"/>
        <w:spacing w:line="254" w:lineRule="auto"/>
        <w:ind w:left="115" w:right="438"/>
        <w:jc w:val="both"/>
      </w:pPr>
      <w:r>
        <w:rPr>
          <w:w w:val="105"/>
        </w:rPr>
        <w:t>A continuación se presenta el esquema del proceso y como se puede apreciar el tiempo en él  invertido, es un factor determinante para el éxito, podríamos establecer cuatro etapas o fases </w:t>
      </w:r>
      <w:r>
        <w:rPr>
          <w:spacing w:val="2"/>
          <w:w w:val="105"/>
        </w:rPr>
        <w:t>del </w:t>
      </w:r>
      <w:r>
        <w:rPr>
          <w:w w:val="105"/>
        </w:rPr>
        <w:t>proceso, estas</w:t>
      </w:r>
      <w:r>
        <w:rPr>
          <w:spacing w:val="-28"/>
          <w:w w:val="105"/>
        </w:rPr>
        <w:t> </w:t>
      </w:r>
      <w:r>
        <w:rPr>
          <w:w w:val="105"/>
        </w:rPr>
        <w:t>son:</w:t>
      </w:r>
    </w:p>
    <w:p>
      <w:pPr>
        <w:pStyle w:val="BodyText"/>
        <w:rPr>
          <w:sz w:val="20"/>
        </w:rPr>
      </w:pPr>
    </w:p>
    <w:p>
      <w:pPr>
        <w:pStyle w:val="BodyText"/>
        <w:spacing w:before="1"/>
        <w:rPr>
          <w:sz w:val="23"/>
        </w:rPr>
      </w:pPr>
    </w:p>
    <w:p>
      <w:pPr>
        <w:pStyle w:val="Heading1"/>
        <w:spacing w:line="270" w:lineRule="exact"/>
        <w:ind w:left="2290" w:right="1988" w:hanging="600"/>
        <w:jc w:val="left"/>
      </w:pPr>
      <w:r>
        <w:rPr/>
        <w:t>Proceso del Ordenamiento Ecológico Regional de la Subcuenca de Valle de Bravo – Amanalco</w:t>
      </w:r>
    </w:p>
    <w:p>
      <w:pPr>
        <w:pStyle w:val="BodyText"/>
        <w:rPr>
          <w:b/>
          <w:sz w:val="20"/>
        </w:rPr>
      </w:pPr>
    </w:p>
    <w:p>
      <w:pPr>
        <w:pStyle w:val="BodyText"/>
        <w:rPr>
          <w:b/>
          <w:sz w:val="20"/>
        </w:rPr>
      </w:pPr>
    </w:p>
    <w:p>
      <w:pPr>
        <w:pStyle w:val="BodyText"/>
        <w:spacing w:before="7"/>
        <w:rPr>
          <w:b/>
          <w:sz w:val="10"/>
        </w:rPr>
      </w:pPr>
      <w:r>
        <w:rPr/>
        <w:pict>
          <v:group style="position:absolute;margin-left:112.5pt;margin-top:8.051953pt;width:101.25pt;height:33.75pt;mso-position-horizontal-relative:page;mso-position-vertical-relative:paragraph;z-index:1192;mso-wrap-distance-left:0;mso-wrap-distance-right:0" coordorigin="2250,161" coordsize="2025,675">
            <v:shape style="position:absolute;left:2250;top:161;width:2025;height:675" coordorigin="2250,161" coordsize="2025,675" path="m4215,221l4155,221,4155,341,4275,341,4275,281,4215,281,4215,221xm4215,161l4095,161,4095,281,4155,281,4155,221,4215,221,4215,161xm4275,221l4215,221,4215,281,4275,281,4275,221xm3975,161l3855,161,3855,281,3975,281,3975,161xm3735,161l3615,161,3615,281,3735,281,3735,161xm3495,161l3375,161,3375,281,3495,281,3495,161xm3255,161l3135,161,3135,281,3255,281,3255,161xm3015,161l2895,161,2895,281,3015,281,3015,161xm2775,161l2655,161,2655,281,2775,281,2775,161xm2535,161l2415,161,2415,281,2535,281,2535,161xm2370,236l2250,236,2250,356,2370,356,2370,236xm2370,476l2250,476,2250,596,2370,596,2370,476xm2310,716l2250,716,2250,836,2355,836,2355,761,2310,716xm2370,716l2355,716,2355,761,2370,776,2370,716xm2355,716l2310,716,2355,761,2355,716xm2595,716l2475,716,2475,836,2595,836,2595,716xm2835,716l2715,716,2715,836,2835,836,2835,716xm3075,716l2955,716,2955,836,3075,836,3075,716xm3315,716l3195,716,3195,836,3315,836,3315,716xm3555,716l3435,716,3435,836,3555,836,3555,716xm3795,716l3675,716,3675,836,3795,836,3795,716xm4035,716l3915,716,3915,836,4035,836,4035,716xm4275,716l4215,716,4155,776,4155,836,4275,836,4275,716xm4275,701l4155,701,4155,776,4215,716,4275,716,4275,701xm4275,461l4155,461,4155,581,4275,581,4275,461xe" filled="true" fillcolor="#00ccff" stroked="false">
              <v:path arrowok="t"/>
              <v:fill type="solid"/>
            </v:shape>
            <v:shape style="position:absolute;left:2250;top:161;width:2025;height:675" type="#_x0000_t202" filled="false" stroked="false">
              <v:textbox inset="0,0,0,0">
                <w:txbxContent>
                  <w:p>
                    <w:pPr>
                      <w:spacing w:line="240" w:lineRule="auto" w:before="2"/>
                      <w:rPr>
                        <w:b/>
                        <w:sz w:val="18"/>
                      </w:rPr>
                    </w:pPr>
                  </w:p>
                  <w:p>
                    <w:pPr>
                      <w:spacing w:before="1"/>
                      <w:ind w:left="255" w:right="0" w:firstLine="0"/>
                      <w:jc w:val="left"/>
                      <w:rPr>
                        <w:sz w:val="16"/>
                      </w:rPr>
                    </w:pPr>
                    <w:r>
                      <w:rPr>
                        <w:w w:val="105"/>
                        <w:sz w:val="16"/>
                      </w:rPr>
                      <w:t>1992-1999</w:t>
                    </w:r>
                  </w:p>
                </w:txbxContent>
              </v:textbox>
              <w10:wrap type="none"/>
            </v:shape>
            <w10:wrap type="topAndBottom"/>
          </v:group>
        </w:pict>
      </w:r>
      <w:r>
        <w:rPr/>
        <w:pict>
          <v:group style="position:absolute;margin-left:95.25pt;margin-top:52.301952pt;width:249pt;height:30.75pt;mso-position-horizontal-relative:page;mso-position-vertical-relative:paragraph;z-index:1240;mso-wrap-distance-left:0;mso-wrap-distance-right:0" coordorigin="1905,1046" coordsize="4980,615">
            <v:shape style="position:absolute;left:1905;top:1046;width:4980;height:615" coordorigin="1905,1046" coordsize="4980,615" path="m6810,1046l6255,1046,6255,1181,6810,1181,6810,1046xm5835,1046l5265,1046,5265,1181,5835,1181,5835,1046xm4845,1046l4290,1046,4290,1181,4845,1181,4845,1046xm3870,1046l3315,1046,3315,1181,3870,1181,3870,1046xm2895,1046l2325,1046,2325,1181,2895,1181,2895,1046xm2040,1166l1905,1166,1905,1661,2100,1661,2100,1586,2040,1586,1965,1511,2040,1511,2040,1166xm2040,1511l1965,1511,2040,1586,2040,1511xm2100,1511l2040,1511,2040,1586,2100,1586,2100,1511xm3090,1511l2520,1511,2520,1661,3090,1661,3090,1511xm4065,1511l3510,1511,3510,1661,4065,1661,4065,1511xm5040,1511l4485,1511,4485,1661,5040,1661,5040,1511xm6030,1511l5460,1511,5460,1661,6030,1661,6030,1511xm6735,1511l6450,1511,6450,1661,6885,1661,6885,1586,6735,1586,6735,1511xm6885,1391l6735,1391,6735,1586,6810,1511,6885,1511,6885,1391xm6885,1511l6810,1511,6735,1586,6885,1586,6885,1511xe" filled="true" fillcolor="#ff6600" stroked="false">
              <v:path arrowok="t"/>
              <v:fill type="solid"/>
            </v:shape>
            <v:shape style="position:absolute;left:2175;top:1226;width:83;height:165" type="#_x0000_t202" filled="false" stroked="false">
              <v:textbox inset="0,0,0,0">
                <w:txbxContent>
                  <w:p>
                    <w:pPr>
                      <w:spacing w:before="5"/>
                      <w:ind w:left="0" w:right="0" w:firstLine="0"/>
                      <w:jc w:val="left"/>
                      <w:rPr>
                        <w:rFonts w:ascii="Marlett" w:hAnsi="Marlett"/>
                        <w:b w:val="0"/>
                        <w:sz w:val="16"/>
                      </w:rPr>
                    </w:pPr>
                    <w:r>
                      <w:rPr>
                        <w:rFonts w:ascii="Marlett" w:hAnsi="Marlett"/>
                        <w:b w:val="0"/>
                        <w:w w:val="51"/>
                        <w:sz w:val="16"/>
                      </w:rPr>
                      <w:t>□</w:t>
                    </w:r>
                  </w:p>
                </w:txbxContent>
              </v:textbox>
              <w10:wrap type="none"/>
            </v:shape>
            <w10:wrap type="topAndBottom"/>
          </v:group>
        </w:pict>
      </w:r>
    </w:p>
    <w:p>
      <w:pPr>
        <w:pStyle w:val="BodyText"/>
        <w:spacing w:before="4"/>
        <w:rPr>
          <w:b/>
          <w:sz w:val="12"/>
        </w:rPr>
      </w:pPr>
    </w:p>
    <w:p>
      <w:pPr>
        <w:pStyle w:val="BodyText"/>
        <w:rPr>
          <w:b/>
          <w:sz w:val="20"/>
        </w:rPr>
      </w:pPr>
    </w:p>
    <w:p>
      <w:pPr>
        <w:pStyle w:val="BodyText"/>
        <w:spacing w:before="6"/>
        <w:rPr>
          <w:b/>
          <w:sz w:val="27"/>
        </w:rPr>
      </w:pPr>
      <w:r>
        <w:rPr/>
        <w:pict>
          <v:group style="position:absolute;margin-left:90.75pt;margin-top:17.800976pt;width:465.75pt;height:224.25pt;mso-position-horizontal-relative:page;mso-position-vertical-relative:paragraph;z-index:1528;mso-wrap-distance-left:0;mso-wrap-distance-right:0" coordorigin="1815,356" coordsize="9315,4485">
            <v:rect style="position:absolute;left:2310;top:941;width:1860;height:525" filled="false" stroked="true" strokeweight=".75pt" strokecolor="#000000"/>
            <v:rect style="position:absolute;left:4770;top:956;width:1875;height:345" filled="false" stroked="true" strokeweight=".75pt" strokecolor="#000000"/>
            <v:rect style="position:absolute;left:7320;top:941;width:2385;height:525" filled="false" stroked="true" strokeweight=".75pt" strokecolor="#000000"/>
            <v:rect style="position:absolute;left:9030;top:2276;width:1860;height:525" filled="false" stroked="true" strokeweight=".75pt" strokecolor="#000000"/>
            <v:shape style="position:absolute;left:9705;top:1196;width:330;height:1080" coordorigin="9705,1196" coordsize="330,1080" path="m9705,1196l10035,1196,10035,2276e" filled="false" stroked="true" strokeweight=".75pt" strokecolor="#000000">
              <v:path arrowok="t"/>
            </v:shape>
            <v:rect style="position:absolute;left:6390;top:2276;width:1695;height:525" filled="false" stroked="true" strokeweight=".75pt" strokecolor="#000000"/>
            <v:rect style="position:absolute;left:4440;top:2351;width:1005;height:345" filled="false" stroked="true" strokeweight=".75pt" strokecolor="#000000"/>
            <v:line style="position:absolute" from="6390,2531" to="5445,2531" stroked="true" strokeweight=".75pt" strokecolor="#000000"/>
            <v:rect style="position:absolute;left:2310;top:2351;width:1440;height:540" filled="false" stroked="true" strokeweight=".75pt" strokecolor="#000000"/>
            <v:line style="position:absolute" from="4425,2531" to="3750,2531" stroked="true" strokeweight=".75pt" strokecolor="#000000"/>
            <v:rect style="position:absolute;left:2475;top:3686;width:930;height:345" filled="false" stroked="true" strokeweight=".75pt" strokecolor="#000000"/>
            <v:line style="position:absolute" from="2820,2936" to="2820,3686" stroked="true" strokeweight=".75pt" strokecolor="#000000"/>
            <v:rect style="position:absolute;left:4260;top:3611;width:1875;height:525" filled="false" stroked="true" strokeweight=".75pt" strokecolor="#000000"/>
            <v:line style="position:absolute" from="3405,3866" to="4260,3866" stroked="true" strokeweight=".75pt" strokecolor="#000000"/>
            <v:rect style="position:absolute;left:7065;top:3686;width:855;height:345" filled="false" stroked="true" strokeweight=".75pt" strokecolor="#000000"/>
            <v:rect style="position:absolute;left:8760;top:3611;width:1875;height:525" filled="false" stroked="true" strokeweight=".75pt" strokecolor="#000000"/>
            <v:line style="position:absolute" from="7920,3866" to="8760,3866" stroked="true" strokeweight=".75pt" strokecolor="#000000"/>
            <v:shape style="position:absolute;left:3120;top:356;width:240;height:495" coordorigin="3120,356" coordsize="240,495" path="m3195,611l3120,611,3240,851,3338,656,3195,656,3195,611xm3285,356l3195,356,3195,656,3285,656,3285,356xm3360,611l3285,611,3285,656,3338,656,3360,611xe" filled="true" fillcolor="#ff6600" stroked="false">
              <v:path arrowok="t"/>
              <v:fill type="solid"/>
            </v:shape>
            <v:shape style="position:absolute;left:1815;top:536;width:9315;height:4305" coordorigin="1815,536" coordsize="9315,4305" path="m11055,611l10995,611,10995,851,11130,851,11130,671,11055,671,11055,611xm11055,536l10500,536,10500,671,10995,671,10995,611,11055,611,11055,536xm11130,611l11055,611,11055,671,11130,671,11130,611xm10080,536l9525,536,9525,671,10080,671,10080,536xm9105,536l8535,536,8535,671,9105,671,9105,536xm8115,536l7560,536,7560,671,8115,671,8115,536xm7140,536l6585,536,6585,671,7140,671,7140,536xm6165,536l5595,536,5595,671,6165,671,6165,536xm5175,536l4620,536,4620,671,5175,671,5175,536xm4200,536l3645,536,3645,671,4200,671,4200,536xm3225,536l2655,536,2655,671,3225,671,3225,536xm2235,536l1815,536,1815,806,1950,806,1950,671,1875,671,1950,611,2235,611,2235,536xm1950,611l1875,671,1950,671,1950,611xm2235,611l1950,611,1950,671,2235,671,2235,611xm1950,1226l1815,1226,1815,1781,1950,1781,1950,1226xm1950,2201l1815,2201,1815,2771,1950,2771,1950,2201xm1950,3191l1815,3191,1815,3746,1950,3746,1950,3191xm1950,4166l1815,4166,1815,4721,1950,4721,1950,4166xm2805,4706l2250,4706,2250,4841,2805,4841,2805,4706xm3795,4706l3225,4706,3225,4841,3795,4841,3795,4706xm4770,4706l4215,4706,4215,4841,4770,4841,4770,4706xm5745,4706l5190,4706,5190,4841,5745,4841,5745,4706xm6735,4706l6165,4706,6165,4841,6735,4841,6735,4706xm7710,4706l7155,4706,7155,4841,7710,4841,7710,4706xm8685,4706l8130,4706,8130,4841,8685,4841,8685,4706xm9675,4706l9105,4706,9105,4841,9675,4841,9675,4706xm10650,4706l10095,4706,10095,4841,10650,4841,10650,4706xm11130,4211l10995,4211,10995,4766,11130,4766,11130,4211xm11130,3221l10995,3221,10995,3791,11130,3791,11130,3221xm11130,2246l10995,2246,10995,2801,11130,2801,11130,2246xm11130,1271l10995,1271,10995,1826,11130,1826,11130,1271xe" filled="true" fillcolor="#99cc00" stroked="false">
              <v:path arrowok="t"/>
              <v:fill type="solid"/>
            </v:shape>
            <v:shape style="position:absolute;left:2460;top:1017;width:1140;height:345" type="#_x0000_t202" filled="false" stroked="false">
              <v:textbox inset="0,0,0,0">
                <w:txbxContent>
                  <w:p>
                    <w:pPr>
                      <w:spacing w:line="166" w:lineRule="exact" w:before="0"/>
                      <w:ind w:left="0" w:right="-12" w:firstLine="0"/>
                      <w:jc w:val="left"/>
                      <w:rPr>
                        <w:sz w:val="16"/>
                      </w:rPr>
                    </w:pPr>
                    <w:r>
                      <w:rPr>
                        <w:spacing w:val="-3"/>
                        <w:w w:val="105"/>
                        <w:sz w:val="16"/>
                      </w:rPr>
                      <w:t>Recopilación</w:t>
                    </w:r>
                    <w:r>
                      <w:rPr>
                        <w:spacing w:val="-22"/>
                        <w:w w:val="105"/>
                        <w:sz w:val="16"/>
                      </w:rPr>
                      <w:t> </w:t>
                    </w:r>
                    <w:r>
                      <w:rPr>
                        <w:spacing w:val="-3"/>
                        <w:w w:val="105"/>
                        <w:sz w:val="16"/>
                      </w:rPr>
                      <w:t>de</w:t>
                    </w:r>
                  </w:p>
                  <w:p>
                    <w:pPr>
                      <w:spacing w:line="179" w:lineRule="exact" w:before="0"/>
                      <w:ind w:left="0" w:right="-12" w:firstLine="0"/>
                      <w:jc w:val="left"/>
                      <w:rPr>
                        <w:sz w:val="16"/>
                      </w:rPr>
                    </w:pPr>
                    <w:r>
                      <w:rPr>
                        <w:w w:val="105"/>
                        <w:sz w:val="16"/>
                      </w:rPr>
                      <w:t>información</w:t>
                    </w:r>
                  </w:p>
                </w:txbxContent>
              </v:textbox>
              <w10:wrap type="none"/>
            </v:shape>
            <v:shape style="position:absolute;left:4170;top:1017;width:5310;height:345" type="#_x0000_t202" filled="false" stroked="false">
              <v:textbox inset="0,0,0,0">
                <w:txbxContent>
                  <w:p>
                    <w:pPr>
                      <w:tabs>
                        <w:tab w:pos="640" w:val="left" w:leader="none"/>
                        <w:tab w:pos="3190" w:val="left" w:leader="none"/>
                      </w:tabs>
                      <w:spacing w:line="181" w:lineRule="exact" w:before="0"/>
                      <w:ind w:left="0" w:right="0" w:firstLine="0"/>
                      <w:jc w:val="left"/>
                      <w:rPr>
                        <w:sz w:val="16"/>
                      </w:rPr>
                    </w:pPr>
                    <w:r>
                      <w:rPr>
                        <w:w w:val="103"/>
                        <w:sz w:val="16"/>
                        <w:u w:val="single"/>
                      </w:rPr>
                      <w:t> </w:t>
                    </w:r>
                    <w:r>
                      <w:rPr>
                        <w:sz w:val="16"/>
                        <w:u w:val="single"/>
                      </w:rPr>
                      <w:tab/>
                    </w:r>
                    <w:r>
                      <w:rPr>
                        <w:sz w:val="16"/>
                      </w:rPr>
                      <w:t> </w:t>
                    </w:r>
                    <w:r>
                      <w:rPr>
                        <w:spacing w:val="20"/>
                        <w:sz w:val="16"/>
                      </w:rPr>
                      <w:t> </w:t>
                    </w:r>
                    <w:r>
                      <w:rPr>
                        <w:w w:val="105"/>
                        <w:position w:val="-2"/>
                        <w:sz w:val="16"/>
                      </w:rPr>
                      <w:t>Recorridos</w:t>
                    </w:r>
                    <w:r>
                      <w:rPr>
                        <w:spacing w:val="-15"/>
                        <w:w w:val="105"/>
                        <w:position w:val="-2"/>
                        <w:sz w:val="16"/>
                      </w:rPr>
                      <w:t> </w:t>
                    </w:r>
                    <w:r>
                      <w:rPr>
                        <w:w w:val="105"/>
                        <w:position w:val="-2"/>
                        <w:sz w:val="16"/>
                      </w:rPr>
                      <w:t>de</w:t>
                    </w:r>
                    <w:r>
                      <w:rPr>
                        <w:spacing w:val="-15"/>
                        <w:w w:val="105"/>
                        <w:position w:val="-2"/>
                        <w:sz w:val="16"/>
                      </w:rPr>
                      <w:t> </w:t>
                    </w:r>
                    <w:r>
                      <w:rPr>
                        <w:w w:val="105"/>
                        <w:position w:val="-2"/>
                        <w:sz w:val="16"/>
                      </w:rPr>
                      <w:t>campo</w:t>
                    </w:r>
                    <w:r>
                      <w:rPr>
                        <w:w w:val="105"/>
                        <w:position w:val="-2"/>
                        <w:sz w:val="16"/>
                        <w:u w:val="single"/>
                      </w:rPr>
                      <w:tab/>
                    </w:r>
                    <w:r>
                      <w:rPr>
                        <w:w w:val="105"/>
                        <w:sz w:val="16"/>
                      </w:rPr>
                      <w:t>Entrevistas con</w:t>
                    </w:r>
                    <w:r>
                      <w:rPr>
                        <w:spacing w:val="-15"/>
                        <w:w w:val="105"/>
                        <w:sz w:val="16"/>
                      </w:rPr>
                      <w:t> </w:t>
                    </w:r>
                    <w:r>
                      <w:rPr>
                        <w:w w:val="105"/>
                        <w:sz w:val="16"/>
                      </w:rPr>
                      <w:t>autoridades</w:t>
                    </w:r>
                  </w:p>
                  <w:p>
                    <w:pPr>
                      <w:spacing w:line="164" w:lineRule="exact" w:before="0"/>
                      <w:ind w:left="3300" w:right="0" w:firstLine="0"/>
                      <w:jc w:val="left"/>
                      <w:rPr>
                        <w:sz w:val="16"/>
                      </w:rPr>
                    </w:pPr>
                    <w:r>
                      <w:rPr>
                        <w:w w:val="105"/>
                        <w:sz w:val="16"/>
                      </w:rPr>
                      <w:t>municipales</w:t>
                    </w:r>
                  </w:p>
                </w:txbxContent>
              </v:textbox>
              <w10:wrap type="none"/>
            </v:shape>
            <v:shape style="position:absolute;left:2460;top:2442;width:840;height:345" type="#_x0000_t202" filled="false" stroked="false">
              <v:textbox inset="0,0,0,0">
                <w:txbxContent>
                  <w:p>
                    <w:pPr>
                      <w:spacing w:line="166" w:lineRule="exact" w:before="0"/>
                      <w:ind w:left="0" w:right="-16" w:firstLine="0"/>
                      <w:jc w:val="left"/>
                      <w:rPr>
                        <w:sz w:val="16"/>
                      </w:rPr>
                    </w:pPr>
                    <w:r>
                      <w:rPr>
                        <w:sz w:val="16"/>
                        <w:u w:val="single"/>
                      </w:rPr>
                      <w:t>Diagnóstico</w:t>
                    </w:r>
                  </w:p>
                  <w:p>
                    <w:pPr>
                      <w:spacing w:line="179" w:lineRule="exact" w:before="0"/>
                      <w:ind w:left="0" w:right="-16" w:firstLine="0"/>
                      <w:jc w:val="left"/>
                      <w:rPr>
                        <w:sz w:val="16"/>
                      </w:rPr>
                    </w:pPr>
                    <w:r>
                      <w:rPr>
                        <w:w w:val="105"/>
                        <w:sz w:val="16"/>
                        <w:u w:val="single"/>
                      </w:rPr>
                      <w:t>integrado</w:t>
                    </w:r>
                  </w:p>
                </w:txbxContent>
              </v:textbox>
              <w10:wrap type="none"/>
            </v:shape>
            <v:shape style="position:absolute;left:4590;top:2442;width:390;height:165" type="#_x0000_t202" filled="false" stroked="false">
              <v:textbox inset="0,0,0,0">
                <w:txbxContent>
                  <w:p>
                    <w:pPr>
                      <w:spacing w:line="165" w:lineRule="exact" w:before="0"/>
                      <w:ind w:left="0" w:right="-7" w:firstLine="0"/>
                      <w:jc w:val="left"/>
                      <w:rPr>
                        <w:sz w:val="16"/>
                      </w:rPr>
                    </w:pPr>
                    <w:r>
                      <w:rPr>
                        <w:spacing w:val="-4"/>
                        <w:sz w:val="16"/>
                      </w:rPr>
                      <w:t>Taller</w:t>
                    </w:r>
                  </w:p>
                </w:txbxContent>
              </v:textbox>
              <w10:wrap type="none"/>
            </v:shape>
            <v:shape style="position:absolute;left:6540;top:2352;width:1095;height:360" type="#_x0000_t202" filled="false" stroked="false">
              <v:textbox inset="0,0,0,0">
                <w:txbxContent>
                  <w:p>
                    <w:pPr>
                      <w:spacing w:line="168" w:lineRule="exact" w:before="0"/>
                      <w:ind w:left="0" w:right="-19" w:firstLine="0"/>
                      <w:jc w:val="left"/>
                      <w:rPr>
                        <w:sz w:val="16"/>
                      </w:rPr>
                    </w:pPr>
                    <w:r>
                      <w:rPr>
                        <w:spacing w:val="-3"/>
                        <w:w w:val="105"/>
                        <w:sz w:val="16"/>
                      </w:rPr>
                      <w:t>Elaboración</w:t>
                    </w:r>
                    <w:r>
                      <w:rPr>
                        <w:spacing w:val="-23"/>
                        <w:w w:val="105"/>
                        <w:sz w:val="16"/>
                      </w:rPr>
                      <w:t> </w:t>
                    </w:r>
                    <w:r>
                      <w:rPr>
                        <w:spacing w:val="-3"/>
                        <w:w w:val="105"/>
                        <w:sz w:val="16"/>
                      </w:rPr>
                      <w:t>del</w:t>
                    </w:r>
                  </w:p>
                  <w:p>
                    <w:pPr>
                      <w:spacing w:line="181" w:lineRule="exact" w:before="11"/>
                      <w:ind w:left="0" w:right="-19" w:firstLine="0"/>
                      <w:jc w:val="left"/>
                      <w:rPr>
                        <w:sz w:val="16"/>
                      </w:rPr>
                    </w:pPr>
                    <w:r>
                      <w:rPr>
                        <w:w w:val="105"/>
                        <w:sz w:val="16"/>
                        <w:u w:val="single"/>
                      </w:rPr>
                      <w:t>diagnóstico</w:t>
                    </w:r>
                  </w:p>
                </w:txbxContent>
              </v:textbox>
              <w10:wrap type="none"/>
            </v:shape>
            <v:shape style="position:absolute;left:8085;top:2352;width:2330;height:360" type="#_x0000_t202" filled="false" stroked="false">
              <v:textbox inset="0,0,0,0">
                <w:txbxContent>
                  <w:p>
                    <w:pPr>
                      <w:tabs>
                        <w:tab w:pos="970" w:val="left" w:leader="none"/>
                      </w:tabs>
                      <w:spacing w:line="168" w:lineRule="exact" w:before="0"/>
                      <w:ind w:left="0" w:right="0" w:firstLine="0"/>
                      <w:jc w:val="left"/>
                      <w:rPr>
                        <w:sz w:val="16"/>
                      </w:rPr>
                    </w:pPr>
                    <w:r>
                      <w:rPr>
                        <w:w w:val="103"/>
                        <w:sz w:val="16"/>
                        <w:u w:val="single"/>
                      </w:rPr>
                      <w:t> </w:t>
                    </w:r>
                    <w:r>
                      <w:rPr>
                        <w:sz w:val="16"/>
                        <w:u w:val="single"/>
                      </w:rPr>
                      <w:tab/>
                    </w:r>
                    <w:r>
                      <w:rPr>
                        <w:sz w:val="16"/>
                      </w:rPr>
                      <w:t>  </w:t>
                    </w:r>
                    <w:r>
                      <w:rPr>
                        <w:spacing w:val="-9"/>
                        <w:sz w:val="16"/>
                      </w:rPr>
                      <w:t> </w:t>
                    </w:r>
                    <w:r>
                      <w:rPr>
                        <w:w w:val="105"/>
                        <w:sz w:val="16"/>
                      </w:rPr>
                      <w:t>Encuestas</w:t>
                    </w:r>
                    <w:r>
                      <w:rPr>
                        <w:spacing w:val="-25"/>
                        <w:w w:val="105"/>
                        <w:sz w:val="16"/>
                      </w:rPr>
                      <w:t> </w:t>
                    </w:r>
                    <w:r>
                      <w:rPr>
                        <w:w w:val="105"/>
                        <w:sz w:val="16"/>
                      </w:rPr>
                      <w:t>con</w:t>
                    </w:r>
                    <w:r>
                      <w:rPr>
                        <w:spacing w:val="-25"/>
                        <w:w w:val="105"/>
                        <w:sz w:val="16"/>
                      </w:rPr>
                      <w:t> </w:t>
                    </w:r>
                    <w:r>
                      <w:rPr>
                        <w:w w:val="105"/>
                        <w:sz w:val="16"/>
                      </w:rPr>
                      <w:t>la</w:t>
                    </w:r>
                  </w:p>
                  <w:p>
                    <w:pPr>
                      <w:spacing w:line="181" w:lineRule="exact" w:before="11"/>
                      <w:ind w:left="1095" w:right="0" w:firstLine="0"/>
                      <w:jc w:val="left"/>
                      <w:rPr>
                        <w:sz w:val="16"/>
                      </w:rPr>
                    </w:pPr>
                    <w:r>
                      <w:rPr>
                        <w:w w:val="105"/>
                        <w:sz w:val="16"/>
                      </w:rPr>
                      <w:t>población</w:t>
                    </w:r>
                  </w:p>
                </w:txbxContent>
              </v:textbox>
              <w10:wrap type="none"/>
            </v:shape>
            <v:shape style="position:absolute;left:2625;top:3777;width:390;height:165" type="#_x0000_t202" filled="false" stroked="false">
              <v:textbox inset="0,0,0,0">
                <w:txbxContent>
                  <w:p>
                    <w:pPr>
                      <w:spacing w:line="165" w:lineRule="exact" w:before="0"/>
                      <w:ind w:left="0" w:right="-7" w:firstLine="0"/>
                      <w:jc w:val="left"/>
                      <w:rPr>
                        <w:sz w:val="16"/>
                      </w:rPr>
                    </w:pPr>
                    <w:r>
                      <w:rPr>
                        <w:spacing w:val="-4"/>
                        <w:sz w:val="16"/>
                      </w:rPr>
                      <w:t>Taller</w:t>
                    </w:r>
                  </w:p>
                </w:txbxContent>
              </v:textbox>
              <w10:wrap type="none"/>
            </v:shape>
            <v:shape style="position:absolute;left:4410;top:3687;width:1455;height:345" type="#_x0000_t202" filled="false" stroked="false">
              <v:textbox inset="0,0,0,0">
                <w:txbxContent>
                  <w:p>
                    <w:pPr>
                      <w:spacing w:line="166" w:lineRule="exact" w:before="0"/>
                      <w:ind w:left="0" w:right="-19" w:firstLine="0"/>
                      <w:jc w:val="left"/>
                      <w:rPr>
                        <w:sz w:val="16"/>
                      </w:rPr>
                    </w:pPr>
                    <w:r>
                      <w:rPr>
                        <w:spacing w:val="-3"/>
                        <w:w w:val="105"/>
                        <w:sz w:val="16"/>
                        <w:u w:val="single"/>
                      </w:rPr>
                      <w:t>Pronóstico </w:t>
                    </w:r>
                    <w:r>
                      <w:rPr>
                        <w:w w:val="105"/>
                        <w:sz w:val="16"/>
                      </w:rPr>
                      <w:t>y </w:t>
                    </w:r>
                    <w:r>
                      <w:rPr>
                        <w:spacing w:val="-6"/>
                        <w:w w:val="105"/>
                        <w:sz w:val="16"/>
                        <w:u w:val="single"/>
                      </w:rPr>
                      <w:t>modelo</w:t>
                    </w:r>
                  </w:p>
                  <w:p>
                    <w:pPr>
                      <w:spacing w:line="179" w:lineRule="exact" w:before="0"/>
                      <w:ind w:left="0" w:right="-19" w:firstLine="0"/>
                      <w:jc w:val="left"/>
                      <w:rPr>
                        <w:sz w:val="16"/>
                      </w:rPr>
                    </w:pPr>
                    <w:r>
                      <w:rPr>
                        <w:w w:val="105"/>
                        <w:sz w:val="16"/>
                        <w:u w:val="single"/>
                      </w:rPr>
                      <w:t>de ordenamiento</w:t>
                    </w:r>
                  </w:p>
                </w:txbxContent>
              </v:textbox>
              <w10:wrap type="none"/>
            </v:shape>
            <v:shape style="position:absolute;left:6135;top:3687;width:971;height:165" type="#_x0000_t202" filled="false" stroked="false">
              <v:textbox inset="0,0,0,0">
                <w:txbxContent>
                  <w:p>
                    <w:pPr>
                      <w:tabs>
                        <w:tab w:pos="970" w:val="left" w:leader="none"/>
                      </w:tabs>
                      <w:spacing w:line="165" w:lineRule="exact" w:before="0"/>
                      <w:ind w:left="0" w:right="0" w:firstLine="0"/>
                      <w:jc w:val="left"/>
                      <w:rPr>
                        <w:sz w:val="16"/>
                      </w:rPr>
                    </w:pPr>
                    <w:r>
                      <w:rPr>
                        <w:w w:val="103"/>
                        <w:sz w:val="16"/>
                        <w:u w:val="single"/>
                      </w:rPr>
                      <w:t> </w:t>
                    </w:r>
                    <w:r>
                      <w:rPr>
                        <w:sz w:val="16"/>
                        <w:u w:val="single"/>
                      </w:rPr>
                      <w:tab/>
                    </w:r>
                  </w:p>
                </w:txbxContent>
              </v:textbox>
              <w10:wrap type="none"/>
            </v:shape>
            <v:shape style="position:absolute;left:7215;top:3777;width:390;height:165" type="#_x0000_t202" filled="false" stroked="false">
              <v:textbox inset="0,0,0,0">
                <w:txbxContent>
                  <w:p>
                    <w:pPr>
                      <w:spacing w:line="165" w:lineRule="exact" w:before="0"/>
                      <w:ind w:left="0" w:right="-7" w:firstLine="0"/>
                      <w:jc w:val="left"/>
                      <w:rPr>
                        <w:sz w:val="16"/>
                      </w:rPr>
                    </w:pPr>
                    <w:r>
                      <w:rPr>
                        <w:spacing w:val="-4"/>
                        <w:sz w:val="16"/>
                      </w:rPr>
                      <w:t>Taller</w:t>
                    </w:r>
                  </w:p>
                </w:txbxContent>
              </v:textbox>
              <w10:wrap type="none"/>
            </v:shape>
            <v:shape style="position:absolute;left:8925;top:3687;width:1140;height:345" type="#_x0000_t202" filled="false" stroked="false">
              <v:textbox inset="0,0,0,0">
                <w:txbxContent>
                  <w:p>
                    <w:pPr>
                      <w:spacing w:line="166" w:lineRule="exact" w:before="0"/>
                      <w:ind w:left="0" w:right="-12" w:firstLine="0"/>
                      <w:jc w:val="left"/>
                      <w:rPr>
                        <w:sz w:val="16"/>
                      </w:rPr>
                    </w:pPr>
                    <w:r>
                      <w:rPr>
                        <w:w w:val="105"/>
                        <w:sz w:val="16"/>
                      </w:rPr>
                      <w:t>Entrega del</w:t>
                    </w:r>
                  </w:p>
                  <w:p>
                    <w:pPr>
                      <w:spacing w:line="179" w:lineRule="exact" w:before="0"/>
                      <w:ind w:left="0" w:right="-10" w:firstLine="0"/>
                      <w:jc w:val="left"/>
                      <w:rPr>
                        <w:sz w:val="16"/>
                      </w:rPr>
                    </w:pPr>
                    <w:r>
                      <w:rPr>
                        <w:sz w:val="16"/>
                      </w:rPr>
                      <w:t>documento final</w:t>
                    </w:r>
                  </w:p>
                </w:txbxContent>
              </v:textbox>
              <w10:wrap type="none"/>
            </v:shape>
            <w10:wrap type="topAndBottom"/>
          </v:group>
        </w:pict>
      </w:r>
    </w:p>
    <w:p>
      <w:pPr>
        <w:pStyle w:val="BodyText"/>
        <w:rPr>
          <w:b/>
          <w:sz w:val="24"/>
        </w:rPr>
      </w:pPr>
    </w:p>
    <w:p>
      <w:pPr>
        <w:spacing w:before="205"/>
        <w:ind w:left="115" w:right="0" w:firstLine="0"/>
        <w:jc w:val="both"/>
        <w:rPr>
          <w:b/>
          <w:sz w:val="24"/>
        </w:rPr>
      </w:pPr>
      <w:r>
        <w:rPr>
          <w:b/>
          <w:sz w:val="24"/>
        </w:rPr>
        <w:t>3.1.- Primera fase (1992-1999)</w:t>
      </w:r>
    </w:p>
    <w:p>
      <w:pPr>
        <w:pStyle w:val="BodyText"/>
        <w:spacing w:before="9"/>
        <w:rPr>
          <w:b/>
          <w:sz w:val="21"/>
        </w:rPr>
      </w:pPr>
    </w:p>
    <w:p>
      <w:pPr>
        <w:pStyle w:val="BodyText"/>
        <w:spacing w:line="252" w:lineRule="auto"/>
        <w:ind w:left="115" w:right="423"/>
        <w:jc w:val="both"/>
      </w:pPr>
      <w:r>
        <w:rPr>
          <w:w w:val="105"/>
        </w:rPr>
        <w:t>Esta se caracterizó por el impulso al desarrollo en Valle de Bravo, traducido en acciones como: la elaboración del ordenamiento ecológico de Valle de Bravo con una inclusión “aparente” de las organizaciones ambientalistas; la elaboración del plan de centro de población estratégico para la cabecera municipal, un programa integral para el municipio con grandes inversiones en</w:t>
      </w:r>
      <w:r>
        <w:rPr>
          <w:spacing w:val="50"/>
          <w:w w:val="105"/>
        </w:rPr>
        <w:t> </w:t>
      </w:r>
      <w:r>
        <w:rPr>
          <w:w w:val="105"/>
        </w:rPr>
        <w:t>infraestructura</w:t>
      </w:r>
    </w:p>
    <w:p>
      <w:pPr>
        <w:spacing w:after="0" w:line="252" w:lineRule="auto"/>
        <w:jc w:val="both"/>
        <w:sectPr>
          <w:pgSz w:w="12240" w:h="15840"/>
          <w:pgMar w:header="0" w:footer="711" w:top="1360" w:bottom="900" w:left="1580" w:right="1000"/>
        </w:sectPr>
      </w:pPr>
    </w:p>
    <w:p>
      <w:pPr>
        <w:pStyle w:val="BodyText"/>
        <w:spacing w:line="247" w:lineRule="auto" w:before="66"/>
        <w:ind w:left="115" w:right="130"/>
        <w:jc w:val="both"/>
      </w:pPr>
      <w:r>
        <w:rPr>
          <w:w w:val="105"/>
        </w:rPr>
        <w:t>con recursos estatales, la declaración de áreas naturales protegidas y, los apoyos económicos de las instituciones a jornadas de protección ambiental en la que participaba la ciudadanía.</w:t>
      </w:r>
    </w:p>
    <w:p>
      <w:pPr>
        <w:pStyle w:val="BodyText"/>
        <w:spacing w:before="3"/>
        <w:rPr>
          <w:sz w:val="23"/>
        </w:rPr>
      </w:pPr>
    </w:p>
    <w:p>
      <w:pPr>
        <w:pStyle w:val="Heading1"/>
      </w:pPr>
      <w:r>
        <w:rPr/>
        <w:t>3.2.- Segunda fase (septiembre 2000 a octubre de 2001</w:t>
      </w:r>
    </w:p>
    <w:p>
      <w:pPr>
        <w:pStyle w:val="BodyText"/>
        <w:spacing w:before="5"/>
        <w:rPr>
          <w:b/>
          <w:sz w:val="20"/>
        </w:rPr>
      </w:pPr>
    </w:p>
    <w:p>
      <w:pPr>
        <w:pStyle w:val="BodyText"/>
        <w:spacing w:line="252" w:lineRule="auto" w:before="1"/>
        <w:ind w:left="115" w:right="124"/>
        <w:jc w:val="both"/>
      </w:pPr>
      <w:r>
        <w:rPr>
          <w:w w:val="105"/>
        </w:rPr>
        <w:t>Esta fase reviste mucha importancia, por que en este periodo se da la mayor cantidad de aprendizajes de conciliación de intereses. En poco más de un año, los tres órdenes de gobierno, las ONG´s y el sector académico después de debates y confrontaciones logramos consensos en básicamente cuatro aspectos:</w:t>
      </w:r>
    </w:p>
    <w:p>
      <w:pPr>
        <w:pStyle w:val="BodyText"/>
        <w:spacing w:before="5"/>
        <w:rPr>
          <w:sz w:val="20"/>
        </w:rPr>
      </w:pPr>
    </w:p>
    <w:p>
      <w:pPr>
        <w:pStyle w:val="ListParagraph"/>
        <w:numPr>
          <w:ilvl w:val="0"/>
          <w:numId w:val="2"/>
        </w:numPr>
        <w:tabs>
          <w:tab w:pos="835" w:val="left" w:leader="none"/>
        </w:tabs>
        <w:spacing w:line="247" w:lineRule="auto" w:before="1" w:after="0"/>
        <w:ind w:left="835" w:right="130" w:hanging="360"/>
        <w:jc w:val="both"/>
        <w:rPr>
          <w:sz w:val="19"/>
        </w:rPr>
      </w:pPr>
      <w:r>
        <w:rPr>
          <w:w w:val="105"/>
          <w:sz w:val="19"/>
        </w:rPr>
        <w:t>Formalizar y asegurar la continuidad del proceso al forzar que el Gobernador del </w:t>
      </w:r>
      <w:r>
        <w:rPr>
          <w:spacing w:val="2"/>
          <w:w w:val="105"/>
          <w:sz w:val="19"/>
        </w:rPr>
        <w:t>Estado </w:t>
      </w:r>
      <w:r>
        <w:rPr>
          <w:spacing w:val="3"/>
          <w:w w:val="105"/>
          <w:sz w:val="19"/>
        </w:rPr>
        <w:t>de </w:t>
      </w:r>
      <w:r>
        <w:rPr>
          <w:w w:val="105"/>
          <w:sz w:val="19"/>
        </w:rPr>
        <w:t>México</w:t>
      </w:r>
      <w:r>
        <w:rPr>
          <w:spacing w:val="-7"/>
          <w:w w:val="105"/>
          <w:sz w:val="19"/>
        </w:rPr>
        <w:t> </w:t>
      </w:r>
      <w:r>
        <w:rPr>
          <w:w w:val="105"/>
          <w:sz w:val="19"/>
        </w:rPr>
        <w:t>lo</w:t>
      </w:r>
      <w:r>
        <w:rPr>
          <w:spacing w:val="-7"/>
          <w:w w:val="105"/>
          <w:sz w:val="19"/>
        </w:rPr>
        <w:t> </w:t>
      </w:r>
      <w:r>
        <w:rPr>
          <w:w w:val="105"/>
          <w:sz w:val="19"/>
        </w:rPr>
        <w:t>asuma</w:t>
      </w:r>
      <w:r>
        <w:rPr>
          <w:spacing w:val="-7"/>
          <w:w w:val="105"/>
          <w:sz w:val="19"/>
        </w:rPr>
        <w:t> </w:t>
      </w:r>
      <w:r>
        <w:rPr>
          <w:w w:val="105"/>
          <w:sz w:val="19"/>
        </w:rPr>
        <w:t>como</w:t>
      </w:r>
      <w:r>
        <w:rPr>
          <w:spacing w:val="-7"/>
          <w:w w:val="105"/>
          <w:sz w:val="19"/>
        </w:rPr>
        <w:t> </w:t>
      </w:r>
      <w:r>
        <w:rPr>
          <w:w w:val="105"/>
          <w:sz w:val="19"/>
        </w:rPr>
        <w:t>un</w:t>
      </w:r>
      <w:r>
        <w:rPr>
          <w:spacing w:val="-7"/>
          <w:w w:val="105"/>
          <w:sz w:val="19"/>
        </w:rPr>
        <w:t> </w:t>
      </w:r>
      <w:r>
        <w:rPr>
          <w:w w:val="105"/>
          <w:sz w:val="19"/>
        </w:rPr>
        <w:t>compromiso</w:t>
      </w:r>
      <w:r>
        <w:rPr>
          <w:spacing w:val="-7"/>
          <w:w w:val="105"/>
          <w:sz w:val="19"/>
        </w:rPr>
        <w:t> </w:t>
      </w:r>
      <w:r>
        <w:rPr>
          <w:w w:val="105"/>
          <w:sz w:val="19"/>
        </w:rPr>
        <w:t>de</w:t>
      </w:r>
      <w:r>
        <w:rPr>
          <w:spacing w:val="-7"/>
          <w:w w:val="105"/>
          <w:sz w:val="19"/>
        </w:rPr>
        <w:t> </w:t>
      </w:r>
      <w:r>
        <w:rPr>
          <w:w w:val="105"/>
          <w:sz w:val="19"/>
        </w:rPr>
        <w:t>su</w:t>
      </w:r>
      <w:r>
        <w:rPr>
          <w:spacing w:val="-7"/>
          <w:w w:val="105"/>
          <w:sz w:val="19"/>
        </w:rPr>
        <w:t> </w:t>
      </w:r>
      <w:r>
        <w:rPr>
          <w:w w:val="105"/>
          <w:sz w:val="19"/>
        </w:rPr>
        <w:t>administración.</w:t>
      </w:r>
    </w:p>
    <w:p>
      <w:pPr>
        <w:pStyle w:val="BodyText"/>
        <w:spacing w:before="10"/>
        <w:rPr>
          <w:sz w:val="20"/>
        </w:rPr>
      </w:pPr>
    </w:p>
    <w:p>
      <w:pPr>
        <w:pStyle w:val="ListParagraph"/>
        <w:numPr>
          <w:ilvl w:val="0"/>
          <w:numId w:val="2"/>
        </w:numPr>
        <w:tabs>
          <w:tab w:pos="835" w:val="left" w:leader="none"/>
        </w:tabs>
        <w:spacing w:line="252" w:lineRule="auto" w:before="0" w:after="0"/>
        <w:ind w:left="835" w:right="122" w:hanging="360"/>
        <w:jc w:val="both"/>
        <w:rPr>
          <w:sz w:val="19"/>
        </w:rPr>
      </w:pPr>
      <w:r>
        <w:rPr>
          <w:w w:val="105"/>
          <w:sz w:val="19"/>
        </w:rPr>
        <w:t>La conformación de un comité técnico de seguimiento en el que participan hasta la fecha, representantes de diferentes sectores de los tres niveles de gobierno y cuatro ONG´s. Cabe aclarar que se levantó un acta constitutiva y se elaboró un reglamento</w:t>
      </w:r>
      <w:r>
        <w:rPr>
          <w:spacing w:val="55"/>
          <w:w w:val="105"/>
          <w:sz w:val="19"/>
        </w:rPr>
        <w:t> </w:t>
      </w:r>
      <w:r>
        <w:rPr>
          <w:w w:val="105"/>
          <w:sz w:val="19"/>
        </w:rPr>
        <w:t>para</w:t>
      </w:r>
      <w:r>
        <w:rPr>
          <w:spacing w:val="55"/>
          <w:w w:val="105"/>
          <w:sz w:val="19"/>
        </w:rPr>
        <w:t> </w:t>
      </w:r>
      <w:r>
        <w:rPr>
          <w:w w:val="105"/>
          <w:sz w:val="19"/>
        </w:rPr>
        <w:t>su funcionamiento.</w:t>
      </w:r>
    </w:p>
    <w:p>
      <w:pPr>
        <w:pStyle w:val="BodyText"/>
        <w:spacing w:before="5"/>
        <w:rPr>
          <w:sz w:val="20"/>
        </w:rPr>
      </w:pPr>
    </w:p>
    <w:p>
      <w:pPr>
        <w:pStyle w:val="ListParagraph"/>
        <w:numPr>
          <w:ilvl w:val="0"/>
          <w:numId w:val="2"/>
        </w:numPr>
        <w:tabs>
          <w:tab w:pos="835" w:val="left" w:leader="none"/>
        </w:tabs>
        <w:spacing w:line="252" w:lineRule="auto" w:before="1" w:after="0"/>
        <w:ind w:left="835" w:right="110" w:hanging="360"/>
        <w:jc w:val="both"/>
        <w:rPr>
          <w:sz w:val="19"/>
        </w:rPr>
      </w:pPr>
      <w:r>
        <w:rPr>
          <w:w w:val="105"/>
          <w:sz w:val="19"/>
        </w:rPr>
        <w:t>La gestión de recursos adicionales para cubrir los nuevos requisitos  consensados  en  el comité, tales como la ampliación del área de estudio y la organización de talleres </w:t>
      </w:r>
      <w:r>
        <w:rPr>
          <w:spacing w:val="5"/>
          <w:w w:val="105"/>
          <w:sz w:val="19"/>
        </w:rPr>
        <w:t>de </w:t>
      </w:r>
      <w:r>
        <w:rPr>
          <w:w w:val="105"/>
          <w:sz w:val="19"/>
        </w:rPr>
        <w:t>participación ciudadana. Ante esto, dos miembros del comité afianzaron su compromiso con el proyecto, y así aportaron recursos económicos Fondo Pro Cuenca Valle de Bravo A.C. y la SEMARNAT a través del</w:t>
      </w:r>
      <w:r>
        <w:rPr>
          <w:spacing w:val="-16"/>
          <w:w w:val="105"/>
          <w:sz w:val="19"/>
        </w:rPr>
        <w:t> </w:t>
      </w:r>
      <w:r>
        <w:rPr>
          <w:w w:val="105"/>
          <w:sz w:val="19"/>
        </w:rPr>
        <w:t>INE.</w:t>
      </w:r>
    </w:p>
    <w:p>
      <w:pPr>
        <w:pStyle w:val="BodyText"/>
        <w:spacing w:before="5"/>
        <w:rPr>
          <w:sz w:val="20"/>
        </w:rPr>
      </w:pPr>
    </w:p>
    <w:p>
      <w:pPr>
        <w:pStyle w:val="ListParagraph"/>
        <w:numPr>
          <w:ilvl w:val="0"/>
          <w:numId w:val="2"/>
        </w:numPr>
        <w:tabs>
          <w:tab w:pos="835" w:val="left" w:leader="none"/>
        </w:tabs>
        <w:spacing w:line="252" w:lineRule="auto" w:before="1" w:after="0"/>
        <w:ind w:left="835" w:right="122" w:hanging="360"/>
        <w:jc w:val="both"/>
        <w:rPr>
          <w:sz w:val="19"/>
        </w:rPr>
      </w:pPr>
      <w:r>
        <w:rPr>
          <w:w w:val="105"/>
          <w:sz w:val="19"/>
        </w:rPr>
        <w:t>En este estudio, por primera vez, los términos de referencia fueron elaborados con la aportación de todos los miembros del comité, fueron consensados y aprobados finalmente; sin embargo en el proceso se vieron algunas limitantes sobre todo en lo que se refiere a la disponibilidad y actualización de </w:t>
      </w:r>
      <w:r>
        <w:rPr>
          <w:spacing w:val="2"/>
          <w:w w:val="105"/>
          <w:sz w:val="19"/>
        </w:rPr>
        <w:t>información, </w:t>
      </w:r>
      <w:r>
        <w:rPr>
          <w:w w:val="105"/>
          <w:sz w:val="19"/>
        </w:rPr>
        <w:t>por lo que los </w:t>
      </w:r>
      <w:r>
        <w:rPr>
          <w:spacing w:val="2"/>
          <w:w w:val="105"/>
          <w:sz w:val="19"/>
        </w:rPr>
        <w:t>términos </w:t>
      </w:r>
      <w:r>
        <w:rPr>
          <w:w w:val="105"/>
          <w:sz w:val="19"/>
        </w:rPr>
        <w:t>se </w:t>
      </w:r>
      <w:r>
        <w:rPr>
          <w:spacing w:val="2"/>
          <w:w w:val="105"/>
          <w:sz w:val="19"/>
        </w:rPr>
        <w:t>adaptaron </w:t>
      </w:r>
      <w:r>
        <w:rPr>
          <w:w w:val="105"/>
          <w:sz w:val="19"/>
        </w:rPr>
        <w:t>a </w:t>
      </w:r>
      <w:r>
        <w:rPr>
          <w:spacing w:val="3"/>
          <w:w w:val="105"/>
          <w:sz w:val="19"/>
        </w:rPr>
        <w:t>ello. </w:t>
      </w:r>
      <w:r>
        <w:rPr>
          <w:w w:val="105"/>
          <w:sz w:val="19"/>
        </w:rPr>
        <w:t>Cabe destacar que para la homogeneización de metodología, la Facultad de Geografía organizó talleres en los que participaron tanto los miembros del comité como los</w:t>
      </w:r>
      <w:r>
        <w:rPr>
          <w:spacing w:val="55"/>
          <w:w w:val="105"/>
          <w:sz w:val="19"/>
        </w:rPr>
        <w:t> </w:t>
      </w:r>
      <w:r>
        <w:rPr>
          <w:w w:val="105"/>
          <w:sz w:val="19"/>
        </w:rPr>
        <w:t>investigadores involucrados en el</w:t>
      </w:r>
      <w:r>
        <w:rPr>
          <w:spacing w:val="-35"/>
          <w:w w:val="105"/>
          <w:sz w:val="19"/>
        </w:rPr>
        <w:t> </w:t>
      </w:r>
      <w:r>
        <w:rPr>
          <w:w w:val="105"/>
          <w:sz w:val="19"/>
        </w:rPr>
        <w:t>proyecto.</w:t>
      </w:r>
    </w:p>
    <w:p>
      <w:pPr>
        <w:pStyle w:val="BodyText"/>
        <w:spacing w:before="8"/>
        <w:rPr>
          <w:sz w:val="17"/>
        </w:rPr>
      </w:pPr>
    </w:p>
    <w:p>
      <w:pPr>
        <w:pStyle w:val="Heading1"/>
      </w:pPr>
      <w:r>
        <w:rPr/>
        <w:t>3.3.- Tercera fase (noviembre de 2001 a noviembre de 2002)</w:t>
      </w:r>
    </w:p>
    <w:p>
      <w:pPr>
        <w:pStyle w:val="BodyText"/>
        <w:spacing w:before="9"/>
        <w:rPr>
          <w:b/>
          <w:sz w:val="21"/>
        </w:rPr>
      </w:pPr>
    </w:p>
    <w:p>
      <w:pPr>
        <w:pStyle w:val="BodyText"/>
        <w:spacing w:line="252" w:lineRule="auto"/>
        <w:ind w:left="115" w:right="108"/>
        <w:jc w:val="both"/>
      </w:pPr>
      <w:r>
        <w:rPr>
          <w:w w:val="105"/>
        </w:rPr>
        <w:t>Con la firma del Acuerdo de Coordinación entre la Secretaría de Ecología y la Facultad de Geografía de la Universidad Autónoma del Estado de México en noviembre de 2001, se inicia formalmente el estudio, sin embargo la Facultad se integró meses antes al comité y aceptó los acuerdos derivados del mismo.</w:t>
      </w:r>
    </w:p>
    <w:p>
      <w:pPr>
        <w:pStyle w:val="BodyText"/>
        <w:spacing w:before="5"/>
        <w:rPr>
          <w:sz w:val="20"/>
        </w:rPr>
      </w:pPr>
    </w:p>
    <w:p>
      <w:pPr>
        <w:pStyle w:val="BodyText"/>
        <w:spacing w:before="1"/>
        <w:ind w:left="115"/>
        <w:jc w:val="both"/>
      </w:pPr>
      <w:r>
        <w:rPr>
          <w:w w:val="105"/>
        </w:rPr>
        <w:t>En esta fase se conjugan factores que facilitaron la elaboración del estudio:</w:t>
      </w:r>
    </w:p>
    <w:p>
      <w:pPr>
        <w:pStyle w:val="BodyText"/>
        <w:spacing w:before="1"/>
        <w:rPr>
          <w:sz w:val="20"/>
        </w:rPr>
      </w:pPr>
    </w:p>
    <w:p>
      <w:pPr>
        <w:pStyle w:val="ListParagraph"/>
        <w:numPr>
          <w:ilvl w:val="1"/>
          <w:numId w:val="2"/>
        </w:numPr>
        <w:tabs>
          <w:tab w:pos="850" w:val="left" w:leader="none"/>
        </w:tabs>
        <w:spacing w:line="252" w:lineRule="auto" w:before="0" w:after="0"/>
        <w:ind w:left="850" w:right="124" w:hanging="375"/>
        <w:jc w:val="both"/>
        <w:rPr>
          <w:sz w:val="19"/>
        </w:rPr>
      </w:pPr>
      <w:r>
        <w:rPr>
          <w:w w:val="105"/>
          <w:sz w:val="19"/>
        </w:rPr>
        <w:t>A </w:t>
      </w:r>
      <w:r>
        <w:rPr>
          <w:spacing w:val="2"/>
          <w:w w:val="105"/>
          <w:sz w:val="19"/>
        </w:rPr>
        <w:t>diferencia </w:t>
      </w:r>
      <w:r>
        <w:rPr>
          <w:w w:val="105"/>
          <w:sz w:val="19"/>
        </w:rPr>
        <w:t>de </w:t>
      </w:r>
      <w:r>
        <w:rPr>
          <w:spacing w:val="2"/>
          <w:w w:val="105"/>
          <w:sz w:val="19"/>
        </w:rPr>
        <w:t>otros ordenamientos </w:t>
      </w:r>
      <w:r>
        <w:rPr>
          <w:w w:val="105"/>
          <w:sz w:val="19"/>
        </w:rPr>
        <w:t>en que la </w:t>
      </w:r>
      <w:r>
        <w:rPr>
          <w:spacing w:val="2"/>
          <w:w w:val="105"/>
          <w:sz w:val="19"/>
        </w:rPr>
        <w:t>interacción entre consultor </w:t>
      </w:r>
      <w:r>
        <w:rPr>
          <w:w w:val="105"/>
          <w:sz w:val="19"/>
        </w:rPr>
        <w:t>y </w:t>
      </w:r>
      <w:r>
        <w:rPr>
          <w:spacing w:val="2"/>
          <w:w w:val="105"/>
          <w:sz w:val="19"/>
        </w:rPr>
        <w:t>contratante </w:t>
      </w:r>
      <w:r>
        <w:rPr>
          <w:spacing w:val="3"/>
          <w:w w:val="105"/>
          <w:sz w:val="19"/>
        </w:rPr>
        <w:t>era </w:t>
      </w:r>
      <w:r>
        <w:rPr>
          <w:w w:val="105"/>
          <w:sz w:val="19"/>
        </w:rPr>
        <w:t>esporádica, normalmente para entrega de productos, en este caso, dicha interacción fue permanente. La Secretaría de Ecología y la Facultad de Geografía creamos un compromiso compartido y buscamos soluciones conjuntas a los obstáculos que se presentaban. Esto permitió agilizar la obtención de información a través del comité, concertar reuniones </w:t>
      </w:r>
      <w:r>
        <w:rPr>
          <w:spacing w:val="2"/>
          <w:w w:val="105"/>
          <w:sz w:val="19"/>
        </w:rPr>
        <w:t>con </w:t>
      </w:r>
      <w:r>
        <w:rPr>
          <w:w w:val="105"/>
          <w:sz w:val="19"/>
        </w:rPr>
        <w:t>autoridades municipales, convocar a líderes regionales para los talleres, concertar entrevistas, propuesta de mecanismos de difusión,</w:t>
      </w:r>
      <w:r>
        <w:rPr>
          <w:spacing w:val="-39"/>
          <w:w w:val="105"/>
          <w:sz w:val="19"/>
        </w:rPr>
        <w:t> </w:t>
      </w:r>
      <w:r>
        <w:rPr>
          <w:w w:val="105"/>
          <w:sz w:val="19"/>
        </w:rPr>
        <w:t>etcétera.</w:t>
      </w:r>
    </w:p>
    <w:p>
      <w:pPr>
        <w:pStyle w:val="BodyText"/>
        <w:spacing w:before="5"/>
        <w:rPr>
          <w:sz w:val="20"/>
        </w:rPr>
      </w:pPr>
    </w:p>
    <w:p>
      <w:pPr>
        <w:pStyle w:val="ListParagraph"/>
        <w:numPr>
          <w:ilvl w:val="1"/>
          <w:numId w:val="2"/>
        </w:numPr>
        <w:tabs>
          <w:tab w:pos="850" w:val="left" w:leader="none"/>
        </w:tabs>
        <w:spacing w:line="254" w:lineRule="auto" w:before="1" w:after="0"/>
        <w:ind w:left="850" w:right="127" w:hanging="375"/>
        <w:jc w:val="both"/>
        <w:rPr>
          <w:sz w:val="19"/>
        </w:rPr>
      </w:pPr>
      <w:r>
        <w:rPr>
          <w:w w:val="105"/>
          <w:sz w:val="19"/>
        </w:rPr>
        <w:t>Se buscaron mecanismos para informar del programa y de sus avances, de una manera transparente y oportuna tanto al interior del comité como hacia la población y en otros foros. Es así que se realizaron pláticas en algunas de las comunidades; en sesiones de ejidatarios y campesinos; se participó en foros organizados por ONG´s, la Comisión Nacional del Agua (CNA), la Secretaría de Desarrollo Agropecuario (SEDAGRO), Protectora de Bosques del </w:t>
      </w:r>
      <w:r>
        <w:rPr>
          <w:spacing w:val="2"/>
          <w:w w:val="105"/>
          <w:sz w:val="19"/>
        </w:rPr>
        <w:t>Estado </w:t>
      </w:r>
      <w:r>
        <w:rPr>
          <w:w w:val="105"/>
          <w:sz w:val="19"/>
        </w:rPr>
        <w:t>de </w:t>
      </w:r>
      <w:r>
        <w:rPr>
          <w:spacing w:val="2"/>
          <w:w w:val="105"/>
          <w:sz w:val="19"/>
        </w:rPr>
        <w:t>México (PROBOSQUE), </w:t>
      </w:r>
      <w:r>
        <w:rPr>
          <w:w w:val="105"/>
          <w:sz w:val="19"/>
        </w:rPr>
        <w:t>la </w:t>
      </w:r>
      <w:r>
        <w:rPr>
          <w:spacing w:val="2"/>
          <w:w w:val="105"/>
          <w:sz w:val="19"/>
        </w:rPr>
        <w:t>Secretaría </w:t>
      </w:r>
      <w:r>
        <w:rPr>
          <w:w w:val="105"/>
          <w:sz w:val="19"/>
        </w:rPr>
        <w:t>del Medio Ambiente y Recursos  </w:t>
      </w:r>
      <w:r>
        <w:rPr>
          <w:spacing w:val="49"/>
          <w:w w:val="105"/>
          <w:sz w:val="19"/>
        </w:rPr>
        <w:t> </w:t>
      </w:r>
      <w:r>
        <w:rPr>
          <w:w w:val="105"/>
          <w:sz w:val="19"/>
        </w:rPr>
        <w:t>Naturales</w:t>
      </w:r>
    </w:p>
    <w:p>
      <w:pPr>
        <w:spacing w:after="0" w:line="254" w:lineRule="auto"/>
        <w:jc w:val="both"/>
        <w:rPr>
          <w:sz w:val="19"/>
        </w:rPr>
        <w:sectPr>
          <w:pgSz w:w="12240" w:h="15840"/>
          <w:pgMar w:header="0" w:footer="711" w:top="1360" w:bottom="900" w:left="1580" w:right="1300"/>
        </w:sectPr>
      </w:pPr>
    </w:p>
    <w:p>
      <w:pPr>
        <w:pStyle w:val="BodyText"/>
        <w:spacing w:line="247" w:lineRule="auto" w:before="66"/>
        <w:ind w:left="1290"/>
      </w:pPr>
      <w:r>
        <w:rPr>
          <w:w w:val="105"/>
        </w:rPr>
        <w:t>(SEMARNAT), los Ayuntamientos y la Comisión de Regularización del Suelo del Estado de México (CRESEM); entre otros.</w:t>
      </w:r>
    </w:p>
    <w:p>
      <w:pPr>
        <w:pStyle w:val="BodyText"/>
        <w:spacing w:before="10"/>
        <w:rPr>
          <w:sz w:val="20"/>
        </w:rPr>
      </w:pPr>
    </w:p>
    <w:p>
      <w:pPr>
        <w:pStyle w:val="ListParagraph"/>
        <w:numPr>
          <w:ilvl w:val="1"/>
          <w:numId w:val="2"/>
        </w:numPr>
        <w:tabs>
          <w:tab w:pos="1290" w:val="left" w:leader="none"/>
        </w:tabs>
        <w:spacing w:line="247" w:lineRule="auto" w:before="0" w:after="0"/>
        <w:ind w:left="1290" w:right="104" w:hanging="375"/>
        <w:jc w:val="both"/>
        <w:rPr>
          <w:sz w:val="19"/>
        </w:rPr>
      </w:pPr>
      <w:r>
        <w:rPr>
          <w:w w:val="105"/>
          <w:sz w:val="19"/>
        </w:rPr>
        <w:t>Adicionalmente se difundió el programa a través de folletos, revistas locales, notas periodísticas, programas de </w:t>
      </w:r>
      <w:r>
        <w:rPr>
          <w:spacing w:val="2"/>
          <w:w w:val="105"/>
          <w:sz w:val="19"/>
        </w:rPr>
        <w:t>radio </w:t>
      </w:r>
      <w:r>
        <w:rPr>
          <w:w w:val="105"/>
          <w:sz w:val="19"/>
        </w:rPr>
        <w:t>y </w:t>
      </w:r>
      <w:r>
        <w:rPr>
          <w:spacing w:val="2"/>
          <w:w w:val="105"/>
          <w:sz w:val="19"/>
        </w:rPr>
        <w:t>televisión; </w:t>
      </w:r>
      <w:r>
        <w:rPr>
          <w:w w:val="105"/>
          <w:sz w:val="19"/>
        </w:rPr>
        <w:t>así </w:t>
      </w:r>
      <w:r>
        <w:rPr>
          <w:spacing w:val="2"/>
          <w:w w:val="105"/>
          <w:sz w:val="19"/>
        </w:rPr>
        <w:t>como tres giras </w:t>
      </w:r>
      <w:r>
        <w:rPr>
          <w:w w:val="105"/>
          <w:sz w:val="19"/>
        </w:rPr>
        <w:t>del </w:t>
      </w:r>
      <w:r>
        <w:rPr>
          <w:spacing w:val="2"/>
          <w:w w:val="105"/>
          <w:sz w:val="19"/>
        </w:rPr>
        <w:t>Gobernador </w:t>
      </w:r>
      <w:r>
        <w:rPr>
          <w:w w:val="105"/>
          <w:sz w:val="19"/>
        </w:rPr>
        <w:t>del </w:t>
      </w:r>
      <w:r>
        <w:rPr>
          <w:spacing w:val="3"/>
          <w:w w:val="105"/>
          <w:sz w:val="19"/>
        </w:rPr>
        <w:t>Estado </w:t>
      </w:r>
      <w:r>
        <w:rPr>
          <w:w w:val="105"/>
          <w:sz w:val="19"/>
        </w:rPr>
        <w:t>de México y el Secretario de la SEMARNAT en Valle de</w:t>
      </w:r>
      <w:r>
        <w:rPr>
          <w:spacing w:val="-18"/>
          <w:w w:val="105"/>
          <w:sz w:val="19"/>
        </w:rPr>
        <w:t> </w:t>
      </w:r>
      <w:r>
        <w:rPr>
          <w:w w:val="105"/>
          <w:sz w:val="19"/>
        </w:rPr>
        <w:t>Bravo.</w:t>
      </w:r>
    </w:p>
    <w:p>
      <w:pPr>
        <w:pStyle w:val="BodyText"/>
        <w:spacing w:before="10"/>
        <w:rPr>
          <w:sz w:val="20"/>
        </w:rPr>
      </w:pPr>
    </w:p>
    <w:p>
      <w:pPr>
        <w:pStyle w:val="ListParagraph"/>
        <w:numPr>
          <w:ilvl w:val="1"/>
          <w:numId w:val="2"/>
        </w:numPr>
        <w:tabs>
          <w:tab w:pos="1290" w:val="left" w:leader="none"/>
        </w:tabs>
        <w:spacing w:line="252" w:lineRule="auto" w:before="0" w:after="0"/>
        <w:ind w:left="1290" w:right="102" w:hanging="375"/>
        <w:jc w:val="both"/>
        <w:rPr>
          <w:sz w:val="19"/>
        </w:rPr>
      </w:pPr>
      <w:r>
        <w:rPr>
          <w:w w:val="105"/>
          <w:sz w:val="19"/>
        </w:rPr>
        <w:t>En la organización y ejecución de los talleres se involucró a los ayuntamientos, la Secretaría de Ecología y la Facultad de Geografía, aunque el desarrollo de los mismos fue a cargo totalmente de los investigadores universitarios, esto constituyó un gran acierto para la credibilidad</w:t>
      </w:r>
      <w:r>
        <w:rPr>
          <w:spacing w:val="-6"/>
          <w:w w:val="105"/>
          <w:sz w:val="19"/>
        </w:rPr>
        <w:t> </w:t>
      </w:r>
      <w:r>
        <w:rPr>
          <w:w w:val="105"/>
          <w:sz w:val="19"/>
        </w:rPr>
        <w:t>de</w:t>
      </w:r>
      <w:r>
        <w:rPr>
          <w:spacing w:val="-6"/>
          <w:w w:val="105"/>
          <w:sz w:val="19"/>
        </w:rPr>
        <w:t> </w:t>
      </w:r>
      <w:r>
        <w:rPr>
          <w:w w:val="105"/>
          <w:sz w:val="19"/>
        </w:rPr>
        <w:t>los</w:t>
      </w:r>
      <w:r>
        <w:rPr>
          <w:spacing w:val="-6"/>
          <w:w w:val="105"/>
          <w:sz w:val="19"/>
        </w:rPr>
        <w:t> </w:t>
      </w:r>
      <w:r>
        <w:rPr>
          <w:w w:val="105"/>
          <w:sz w:val="19"/>
        </w:rPr>
        <w:t>foros</w:t>
      </w:r>
      <w:r>
        <w:rPr>
          <w:spacing w:val="-6"/>
          <w:w w:val="105"/>
          <w:sz w:val="19"/>
        </w:rPr>
        <w:t> </w:t>
      </w:r>
      <w:r>
        <w:rPr>
          <w:w w:val="105"/>
          <w:sz w:val="19"/>
        </w:rPr>
        <w:t>y</w:t>
      </w:r>
      <w:r>
        <w:rPr>
          <w:spacing w:val="-6"/>
          <w:w w:val="105"/>
          <w:sz w:val="19"/>
        </w:rPr>
        <w:t> </w:t>
      </w:r>
      <w:r>
        <w:rPr>
          <w:w w:val="105"/>
          <w:sz w:val="19"/>
        </w:rPr>
        <w:t>la</w:t>
      </w:r>
      <w:r>
        <w:rPr>
          <w:spacing w:val="-6"/>
          <w:w w:val="105"/>
          <w:sz w:val="19"/>
        </w:rPr>
        <w:t> </w:t>
      </w:r>
      <w:r>
        <w:rPr>
          <w:w w:val="105"/>
          <w:sz w:val="19"/>
        </w:rPr>
        <w:t>motivación</w:t>
      </w:r>
      <w:r>
        <w:rPr>
          <w:spacing w:val="-6"/>
          <w:w w:val="105"/>
          <w:sz w:val="19"/>
        </w:rPr>
        <w:t> </w:t>
      </w:r>
      <w:r>
        <w:rPr>
          <w:w w:val="105"/>
          <w:sz w:val="19"/>
        </w:rPr>
        <w:t>en</w:t>
      </w:r>
      <w:r>
        <w:rPr>
          <w:spacing w:val="-6"/>
          <w:w w:val="105"/>
          <w:sz w:val="19"/>
        </w:rPr>
        <w:t> </w:t>
      </w:r>
      <w:r>
        <w:rPr>
          <w:w w:val="105"/>
          <w:sz w:val="19"/>
        </w:rPr>
        <w:t>la</w:t>
      </w:r>
      <w:r>
        <w:rPr>
          <w:spacing w:val="-6"/>
          <w:w w:val="105"/>
          <w:sz w:val="19"/>
        </w:rPr>
        <w:t> </w:t>
      </w:r>
      <w:r>
        <w:rPr>
          <w:w w:val="105"/>
          <w:sz w:val="19"/>
        </w:rPr>
        <w:t>participación.</w:t>
      </w:r>
    </w:p>
    <w:p>
      <w:pPr>
        <w:pStyle w:val="BodyText"/>
        <w:spacing w:before="5"/>
        <w:rPr>
          <w:sz w:val="20"/>
        </w:rPr>
      </w:pPr>
    </w:p>
    <w:p>
      <w:pPr>
        <w:pStyle w:val="ListParagraph"/>
        <w:numPr>
          <w:ilvl w:val="1"/>
          <w:numId w:val="2"/>
        </w:numPr>
        <w:tabs>
          <w:tab w:pos="1290" w:val="left" w:leader="none"/>
        </w:tabs>
        <w:spacing w:line="247" w:lineRule="auto" w:before="1" w:after="0"/>
        <w:ind w:left="1290" w:right="118" w:hanging="375"/>
        <w:jc w:val="both"/>
        <w:rPr>
          <w:sz w:val="19"/>
        </w:rPr>
      </w:pPr>
      <w:r>
        <w:rPr>
          <w:w w:val="105"/>
          <w:sz w:val="19"/>
        </w:rPr>
        <w:t>El trabajo se concluyó en noviembre de </w:t>
      </w:r>
      <w:r>
        <w:rPr>
          <w:spacing w:val="-3"/>
          <w:w w:val="105"/>
          <w:sz w:val="19"/>
        </w:rPr>
        <w:t>2002, </w:t>
      </w:r>
      <w:r>
        <w:rPr>
          <w:w w:val="105"/>
          <w:sz w:val="19"/>
        </w:rPr>
        <w:t>sin embargo después de un trabajo colegiado de revisión, fue hasta abril de 2003 que se entrega el documento</w:t>
      </w:r>
      <w:r>
        <w:rPr>
          <w:spacing w:val="-27"/>
          <w:w w:val="105"/>
          <w:sz w:val="19"/>
        </w:rPr>
        <w:t> </w:t>
      </w:r>
      <w:r>
        <w:rPr>
          <w:w w:val="105"/>
          <w:sz w:val="19"/>
        </w:rPr>
        <w:t>final.</w:t>
      </w:r>
    </w:p>
    <w:p>
      <w:pPr>
        <w:pStyle w:val="BodyText"/>
        <w:spacing w:before="4"/>
      </w:pPr>
    </w:p>
    <w:p>
      <w:pPr>
        <w:pStyle w:val="Heading1"/>
        <w:ind w:left="555"/>
      </w:pPr>
      <w:r>
        <w:rPr/>
        <w:t>3.4.- Cuarta fase (abril de 2003 a la fecha)</w:t>
      </w:r>
    </w:p>
    <w:p>
      <w:pPr>
        <w:pStyle w:val="BodyText"/>
        <w:spacing w:before="5"/>
        <w:rPr>
          <w:b/>
          <w:sz w:val="20"/>
        </w:rPr>
      </w:pPr>
    </w:p>
    <w:p>
      <w:pPr>
        <w:pStyle w:val="BodyText"/>
        <w:spacing w:line="254" w:lineRule="auto" w:before="1"/>
        <w:ind w:left="555" w:right="104"/>
        <w:jc w:val="both"/>
      </w:pPr>
      <w:r>
        <w:rPr>
          <w:w w:val="105"/>
        </w:rPr>
        <w:t>Se dice con suficiente razón que el mayor logro de un programa de ordenamiento no es el estudio técnico en sí, sino lograr a cabalidad su aplicación, y muestra de esto son la gran cantidad de ordenamientos ecológicos en todo el país que no han sido instrumentados por diversas razones.</w:t>
      </w:r>
    </w:p>
    <w:p>
      <w:pPr>
        <w:pStyle w:val="BodyText"/>
        <w:spacing w:before="3"/>
        <w:rPr>
          <w:sz w:val="20"/>
        </w:rPr>
      </w:pPr>
    </w:p>
    <w:p>
      <w:pPr>
        <w:pStyle w:val="BodyText"/>
        <w:spacing w:line="252" w:lineRule="auto" w:before="1"/>
        <w:ind w:left="555" w:right="103"/>
        <w:jc w:val="both"/>
      </w:pPr>
      <w:r>
        <w:rPr>
          <w:w w:val="105"/>
        </w:rPr>
        <w:t>Como ya se mencionó anteriormente, el programa de </w:t>
      </w:r>
      <w:r>
        <w:rPr>
          <w:spacing w:val="2"/>
          <w:w w:val="105"/>
        </w:rPr>
        <w:t>ordenamiento </w:t>
      </w:r>
      <w:r>
        <w:rPr>
          <w:w w:val="105"/>
        </w:rPr>
        <w:t>de la </w:t>
      </w:r>
      <w:r>
        <w:rPr>
          <w:spacing w:val="2"/>
          <w:w w:val="105"/>
        </w:rPr>
        <w:t>subcuenca </w:t>
      </w:r>
      <w:r>
        <w:rPr>
          <w:w w:val="105"/>
        </w:rPr>
        <w:t>de </w:t>
      </w:r>
      <w:r>
        <w:rPr>
          <w:spacing w:val="2"/>
          <w:w w:val="105"/>
        </w:rPr>
        <w:t>Valle </w:t>
      </w:r>
      <w:r>
        <w:rPr>
          <w:spacing w:val="3"/>
          <w:w w:val="105"/>
        </w:rPr>
        <w:t>de </w:t>
      </w:r>
      <w:r>
        <w:rPr>
          <w:w w:val="105"/>
        </w:rPr>
        <w:t>Bravo – Amanalco será piloto a nivel nacional para la aplicación del recientemente decretado reglamento, el cual propone el establecimiento de una  bitácora ambiental del proceso. Esta bitácora</w:t>
      </w:r>
      <w:r>
        <w:rPr>
          <w:spacing w:val="55"/>
          <w:w w:val="105"/>
        </w:rPr>
        <w:t> </w:t>
      </w:r>
      <w:r>
        <w:rPr>
          <w:w w:val="105"/>
        </w:rPr>
        <w:t>es como una guía de los procedimientos y los productos que se deberán obtener durante las etapas</w:t>
      </w:r>
      <w:r>
        <w:rPr>
          <w:spacing w:val="55"/>
          <w:w w:val="105"/>
        </w:rPr>
        <w:t> </w:t>
      </w:r>
      <w:r>
        <w:rPr>
          <w:w w:val="105"/>
        </w:rPr>
        <w:t>de formulación, expedición, ejecución, evaluación y</w:t>
      </w:r>
      <w:r>
        <w:rPr>
          <w:spacing w:val="-39"/>
          <w:w w:val="105"/>
        </w:rPr>
        <w:t> </w:t>
      </w:r>
      <w:r>
        <w:rPr>
          <w:w w:val="105"/>
        </w:rPr>
        <w:t>modificación.</w:t>
      </w:r>
    </w:p>
    <w:p>
      <w:pPr>
        <w:pStyle w:val="BodyText"/>
        <w:spacing w:before="5"/>
        <w:rPr>
          <w:sz w:val="20"/>
        </w:rPr>
      </w:pPr>
    </w:p>
    <w:p>
      <w:pPr>
        <w:pStyle w:val="BodyText"/>
        <w:spacing w:line="247" w:lineRule="auto" w:before="1"/>
        <w:ind w:left="555" w:right="105"/>
        <w:jc w:val="both"/>
      </w:pPr>
      <w:r>
        <w:rPr>
          <w:w w:val="105"/>
        </w:rPr>
        <w:t>Si consideráramos como lista de chequeo este esquema, la etapa de formulación se ha concluido y hasta el 30 de octubre de este año se obtuvo su expedición en la Gaceta del Gobierno Estatal a fín de establecer su obligatoriedad para la administración pública.</w:t>
      </w:r>
    </w:p>
    <w:p>
      <w:pPr>
        <w:pStyle w:val="BodyText"/>
        <w:spacing w:before="10"/>
        <w:rPr>
          <w:sz w:val="20"/>
        </w:rPr>
      </w:pPr>
    </w:p>
    <w:p>
      <w:pPr>
        <w:pStyle w:val="BodyText"/>
        <w:spacing w:line="247" w:lineRule="auto"/>
        <w:ind w:left="555" w:right="116"/>
        <w:jc w:val="both"/>
      </w:pPr>
      <w:r>
        <w:rPr>
          <w:w w:val="105"/>
        </w:rPr>
        <w:t>Para concentrarnos en la etapa de ejecución, notamos que se necesitaban ciertas gestiones previas, por lo que en este año se han realizado las siguientes acciones como apoyo a la instrumentación:</w:t>
      </w:r>
    </w:p>
    <w:p>
      <w:pPr>
        <w:pStyle w:val="BodyText"/>
        <w:spacing w:before="10"/>
        <w:rPr>
          <w:sz w:val="20"/>
        </w:rPr>
      </w:pPr>
    </w:p>
    <w:p>
      <w:pPr>
        <w:pStyle w:val="ListParagraph"/>
        <w:numPr>
          <w:ilvl w:val="0"/>
          <w:numId w:val="3"/>
        </w:numPr>
        <w:tabs>
          <w:tab w:pos="1290" w:val="left" w:leader="none"/>
        </w:tabs>
        <w:spacing w:line="254" w:lineRule="auto" w:before="0" w:after="0"/>
        <w:ind w:left="1290" w:right="103" w:hanging="375"/>
        <w:jc w:val="both"/>
        <w:rPr>
          <w:sz w:val="19"/>
        </w:rPr>
      </w:pPr>
      <w:r>
        <w:rPr>
          <w:w w:val="105"/>
          <w:sz w:val="19"/>
        </w:rPr>
        <w:t>Se firmó un convenio de coordinación entre el Gobierno del Estado de México y la</w:t>
      </w:r>
      <w:r>
        <w:rPr>
          <w:spacing w:val="55"/>
          <w:w w:val="105"/>
          <w:sz w:val="19"/>
        </w:rPr>
        <w:t> </w:t>
      </w:r>
      <w:r>
        <w:rPr>
          <w:w w:val="105"/>
          <w:sz w:val="19"/>
        </w:rPr>
        <w:t>SEMARNAT para que esta última, en el marco de sus atribuciones de permisos o licencias considere lo establecido en el</w:t>
      </w:r>
      <w:r>
        <w:rPr>
          <w:spacing w:val="-24"/>
          <w:w w:val="105"/>
          <w:sz w:val="19"/>
        </w:rPr>
        <w:t> </w:t>
      </w:r>
      <w:r>
        <w:rPr>
          <w:w w:val="105"/>
          <w:sz w:val="19"/>
        </w:rPr>
        <w:t>ordenamiento.</w:t>
      </w:r>
    </w:p>
    <w:p>
      <w:pPr>
        <w:pStyle w:val="BodyText"/>
      </w:pPr>
    </w:p>
    <w:p>
      <w:pPr>
        <w:pStyle w:val="ListParagraph"/>
        <w:numPr>
          <w:ilvl w:val="0"/>
          <w:numId w:val="3"/>
        </w:numPr>
        <w:tabs>
          <w:tab w:pos="1290" w:val="left" w:leader="none"/>
        </w:tabs>
        <w:spacing w:line="254" w:lineRule="auto" w:before="0" w:after="0"/>
        <w:ind w:left="1290" w:right="103" w:hanging="375"/>
        <w:jc w:val="both"/>
        <w:rPr>
          <w:sz w:val="19"/>
        </w:rPr>
      </w:pPr>
      <w:r>
        <w:rPr>
          <w:w w:val="105"/>
          <w:sz w:val="19"/>
        </w:rPr>
        <w:t>Se elaboraron convenios entre la Secretaría de Ecología y los ayuntamientos para su instrumentación, consiguiéndose la aprobación de cabildos para su firma en las administraciones municipales 2000 –2003 de Valle de Bravo, Amanalco, Villa de Allende, Donato Guerra, Villa Victoria y Almoloya de Juárez. Actualmente se gestiona con los nuevos presidentes municipales la firma de dichos</w:t>
      </w:r>
      <w:r>
        <w:rPr>
          <w:spacing w:val="-10"/>
          <w:w w:val="105"/>
          <w:sz w:val="19"/>
        </w:rPr>
        <w:t> </w:t>
      </w:r>
      <w:r>
        <w:rPr>
          <w:w w:val="105"/>
          <w:sz w:val="19"/>
        </w:rPr>
        <w:t>convenios.</w:t>
      </w:r>
    </w:p>
    <w:p>
      <w:pPr>
        <w:pStyle w:val="BodyText"/>
      </w:pPr>
    </w:p>
    <w:p>
      <w:pPr>
        <w:pStyle w:val="ListParagraph"/>
        <w:numPr>
          <w:ilvl w:val="0"/>
          <w:numId w:val="3"/>
        </w:numPr>
        <w:tabs>
          <w:tab w:pos="1290" w:val="left" w:leader="none"/>
        </w:tabs>
        <w:spacing w:line="254" w:lineRule="auto" w:before="0" w:after="0"/>
        <w:ind w:left="1290" w:right="104" w:hanging="375"/>
        <w:jc w:val="both"/>
        <w:rPr>
          <w:sz w:val="19"/>
        </w:rPr>
      </w:pPr>
      <w:r>
        <w:rPr>
          <w:w w:val="105"/>
          <w:sz w:val="19"/>
        </w:rPr>
        <w:t>El documento del ordenamiento se ha distribuido en formato digital a todos los miembros del comité técnico de seguimiento, a todas las dependencias del gobierno estatal y a instituciones académicas.</w:t>
      </w:r>
    </w:p>
    <w:p>
      <w:pPr>
        <w:pStyle w:val="BodyText"/>
        <w:rPr>
          <w:sz w:val="20"/>
        </w:rPr>
      </w:pPr>
    </w:p>
    <w:p>
      <w:pPr>
        <w:pStyle w:val="BodyText"/>
        <w:rPr>
          <w:sz w:val="20"/>
        </w:rPr>
      </w:pPr>
    </w:p>
    <w:p>
      <w:pPr>
        <w:pStyle w:val="BodyText"/>
        <w:spacing w:before="11"/>
        <w:rPr>
          <w:sz w:val="17"/>
        </w:rPr>
      </w:pPr>
    </w:p>
    <w:p>
      <w:pPr>
        <w:pStyle w:val="Heading1"/>
        <w:ind w:left="555"/>
      </w:pPr>
      <w:r>
        <w:rPr/>
        <w:t>Figura 1.- Bitácora Ambiental</w:t>
      </w:r>
    </w:p>
    <w:p>
      <w:pPr>
        <w:pStyle w:val="BodyText"/>
        <w:rPr>
          <w:b/>
          <w:sz w:val="20"/>
        </w:rPr>
      </w:pPr>
    </w:p>
    <w:p>
      <w:pPr>
        <w:pStyle w:val="BodyText"/>
        <w:rPr>
          <w:b/>
          <w:sz w:val="20"/>
        </w:rPr>
      </w:pPr>
    </w:p>
    <w:p>
      <w:pPr>
        <w:pStyle w:val="BodyText"/>
        <w:spacing w:before="8"/>
        <w:rPr>
          <w:b/>
          <w:sz w:val="25"/>
        </w:rPr>
      </w:pPr>
    </w:p>
    <w:p>
      <w:pPr>
        <w:spacing w:after="0"/>
        <w:rPr>
          <w:sz w:val="25"/>
        </w:rPr>
        <w:sectPr>
          <w:footerReference w:type="default" r:id="rId12"/>
          <w:pgSz w:w="12240" w:h="15840"/>
          <w:pgMar w:footer="0" w:header="0" w:top="1360" w:bottom="0" w:left="1140" w:right="1320"/>
        </w:sectPr>
      </w:pPr>
    </w:p>
    <w:p>
      <w:pPr>
        <w:pStyle w:val="Heading2"/>
      </w:pPr>
      <w:r>
        <w:rPr/>
        <w:t>ETAPA</w:t>
      </w:r>
    </w:p>
    <w:p>
      <w:pPr>
        <w:spacing w:before="80"/>
        <w:ind w:left="285" w:right="0" w:firstLine="0"/>
        <w:jc w:val="left"/>
        <w:rPr>
          <w:b/>
          <w:sz w:val="19"/>
        </w:rPr>
      </w:pPr>
      <w:r>
        <w:rPr/>
        <w:br w:type="column"/>
      </w:r>
      <w:r>
        <w:rPr>
          <w:b/>
          <w:sz w:val="19"/>
        </w:rPr>
        <w:t>APARTADO</w:t>
      </w:r>
    </w:p>
    <w:p>
      <w:pPr>
        <w:spacing w:before="95"/>
        <w:ind w:left="285" w:right="0" w:firstLine="0"/>
        <w:jc w:val="left"/>
        <w:rPr>
          <w:b/>
          <w:sz w:val="19"/>
        </w:rPr>
      </w:pPr>
      <w:r>
        <w:rPr/>
        <w:br w:type="column"/>
      </w:r>
      <w:r>
        <w:rPr>
          <w:b/>
          <w:w w:val="105"/>
          <w:sz w:val="19"/>
        </w:rPr>
        <w:t>PRODUCTOS</w:t>
      </w:r>
    </w:p>
    <w:p>
      <w:pPr>
        <w:spacing w:after="0"/>
        <w:jc w:val="left"/>
        <w:rPr>
          <w:sz w:val="19"/>
        </w:rPr>
        <w:sectPr>
          <w:type w:val="continuous"/>
          <w:pgSz w:w="12240" w:h="15840"/>
          <w:pgMar w:top="1360" w:bottom="900" w:left="1140" w:right="1320"/>
          <w:cols w:num="3" w:equalWidth="0">
            <w:col w:w="960" w:space="1155"/>
            <w:col w:w="1425" w:space="2685"/>
            <w:col w:w="3555"/>
          </w:cols>
        </w:sectPr>
      </w:pPr>
    </w:p>
    <w:p>
      <w:pPr>
        <w:pStyle w:val="BodyText"/>
        <w:rPr>
          <w:b/>
          <w:sz w:val="20"/>
        </w:rPr>
      </w:pPr>
    </w:p>
    <w:p>
      <w:pPr>
        <w:pStyle w:val="BodyText"/>
        <w:spacing w:before="9"/>
        <w:rPr>
          <w:b/>
          <w:sz w:val="26"/>
        </w:rPr>
      </w:pPr>
    </w:p>
    <w:p>
      <w:pPr>
        <w:tabs>
          <w:tab w:pos="5650" w:val="left" w:leader="none"/>
          <w:tab w:pos="9554" w:val="left" w:leader="none"/>
        </w:tabs>
        <w:spacing w:line="256" w:lineRule="exact" w:before="78"/>
        <w:ind w:left="1036" w:right="0" w:firstLine="0"/>
        <w:jc w:val="left"/>
        <w:rPr>
          <w:rFonts w:ascii="Times New Roman" w:hAnsi="Times New Roman"/>
          <w:sz w:val="24"/>
        </w:rPr>
      </w:pPr>
      <w:r>
        <w:rPr/>
        <w:pict>
          <v:group style="position:absolute;margin-left:62.625pt;margin-top:-12.783106pt;width:46.5pt;height:45.75pt;mso-position-horizontal-relative:page;mso-position-vertical-relative:paragraph;z-index:-21640" coordorigin="1253,-256" coordsize="930,915">
            <v:rect style="position:absolute;left:1260;top:-248;width:915;height:615" filled="false" stroked="true" strokeweight=".75pt" strokecolor="#000000"/>
            <v:line style="position:absolute" from="1635,232" to="1635,652" stroked="true" strokeweight=".75pt" strokecolor="#000000"/>
            <v:shape style="position:absolute;left:1253;top:-256;width:930;height:915" type="#_x0000_t202" filled="false" stroked="false">
              <v:textbox inset="0,0,0,0">
                <w:txbxContent>
                  <w:p>
                    <w:pPr>
                      <w:spacing w:before="99"/>
                      <w:ind w:left="157" w:right="-13" w:firstLine="0"/>
                      <w:jc w:val="left"/>
                      <w:rPr>
                        <w:b/>
                        <w:sz w:val="19"/>
                      </w:rPr>
                    </w:pPr>
                    <w:r>
                      <w:rPr>
                        <w:b/>
                        <w:w w:val="105"/>
                        <w:sz w:val="19"/>
                      </w:rPr>
                      <w:t>INICIO</w:t>
                    </w:r>
                  </w:p>
                  <w:p>
                    <w:pPr>
                      <w:spacing w:before="16"/>
                      <w:ind w:left="442" w:right="-13" w:firstLine="0"/>
                      <w:jc w:val="left"/>
                      <w:rPr>
                        <w:sz w:val="18"/>
                      </w:rPr>
                    </w:pPr>
                    <w:r>
                      <w:rPr>
                        <w:sz w:val="18"/>
                      </w:rPr>
                      <w:t>II Con</w:t>
                    </w:r>
                  </w:p>
                </w:txbxContent>
              </v:textbox>
              <w10:wrap type="none"/>
            </v:shape>
            <w10:wrap type="none"/>
          </v:group>
        </w:pict>
      </w:r>
      <w:r>
        <w:rPr>
          <w:sz w:val="18"/>
        </w:rPr>
        <w:t>greso Internacional de Ordenación</w:t>
      </w:r>
      <w:r>
        <w:rPr>
          <w:spacing w:val="-1"/>
          <w:sz w:val="18"/>
        </w:rPr>
        <w:t> </w:t>
      </w:r>
      <w:r>
        <w:rPr>
          <w:sz w:val="18"/>
        </w:rPr>
        <w:t>del</w:t>
      </w:r>
      <w:r>
        <w:rPr>
          <w:spacing w:val="2"/>
          <w:sz w:val="18"/>
        </w:rPr>
        <w:t> </w:t>
      </w:r>
      <w:r>
        <w:rPr>
          <w:sz w:val="18"/>
        </w:rPr>
        <w:t>Territorio</w:t>
        <w:tab/>
        <w:t>Toluca, </w:t>
      </w:r>
      <w:r>
        <w:rPr>
          <w:spacing w:val="-7"/>
          <w:sz w:val="18"/>
        </w:rPr>
        <w:t>Mé</w:t>
      </w:r>
      <w:r>
        <w:rPr>
          <w:spacing w:val="-43"/>
          <w:sz w:val="18"/>
        </w:rPr>
        <w:t> </w:t>
      </w:r>
      <w:r>
        <w:rPr>
          <w:sz w:val="18"/>
        </w:rPr>
        <w:t>xico; 26-28 de Noviembre de</w:t>
      </w:r>
      <w:r>
        <w:rPr>
          <w:spacing w:val="-3"/>
          <w:sz w:val="18"/>
        </w:rPr>
        <w:t> </w:t>
      </w:r>
      <w:r>
        <w:rPr>
          <w:sz w:val="18"/>
        </w:rPr>
        <w:t>2003</w:t>
        <w:tab/>
      </w:r>
      <w:r>
        <w:rPr>
          <w:rFonts w:ascii="Times New Roman" w:hAnsi="Times New Roman"/>
          <w:position w:val="-5"/>
          <w:sz w:val="24"/>
        </w:rPr>
        <w:t>7</w:t>
      </w:r>
    </w:p>
    <w:p>
      <w:pPr>
        <w:pStyle w:val="ListParagraph"/>
        <w:numPr>
          <w:ilvl w:val="1"/>
          <w:numId w:val="3"/>
        </w:numPr>
        <w:tabs>
          <w:tab w:pos="1904" w:val="left" w:leader="none"/>
          <w:tab w:pos="1905" w:val="left" w:leader="none"/>
          <w:tab w:pos="3579" w:val="left" w:leader="none"/>
        </w:tabs>
        <w:spacing w:line="193" w:lineRule="exact" w:before="0" w:after="0"/>
        <w:ind w:left="1905" w:right="0" w:hanging="300"/>
        <w:jc w:val="left"/>
        <w:rPr>
          <w:sz w:val="19"/>
        </w:rPr>
      </w:pPr>
      <w:r>
        <w:rPr/>
        <w:pict>
          <v:shape style="position:absolute;margin-left:309.75pt;margin-top:6.907593pt;width:11.75pt;height:9pt;mso-position-horizontal-relative:page;mso-position-vertical-relative:paragraph;z-index:1576" coordorigin="6195,138" coordsize="235,180" path="m6195,138l6272,148,6338,178,6389,222,6423,280,6430,318e" filled="false" stroked="true" strokeweight=".75pt" strokecolor="#000000">
            <v:path arrowok="t"/>
            <w10:wrap type="none"/>
          </v:shape>
        </w:pict>
      </w:r>
      <w:r>
        <w:rPr>
          <w:w w:val="105"/>
          <w:sz w:val="19"/>
        </w:rPr>
        <w:t>CONVENIO</w:t>
        <w:tab/>
        <w:t>DE</w:t>
      </w:r>
    </w:p>
    <w:p>
      <w:pPr>
        <w:pStyle w:val="BodyText"/>
        <w:spacing w:before="6"/>
        <w:ind w:left="1905"/>
      </w:pPr>
      <w:r>
        <w:rPr/>
        <w:pict>
          <v:shape style="position:absolute;margin-left:117.5625pt;margin-top:3.210889pt;width:6.2pt;height:3pt;mso-position-horizontal-relative:page;mso-position-vertical-relative:paragraph;z-index:1552" coordorigin="2351,64" coordsize="124,60" path="m2475,64l2409,80,2351,124e" filled="false" stroked="true" strokeweight=".75pt" strokecolor="#000000">
            <v:path arrowok="t"/>
            <w10:wrap type="none"/>
          </v:shape>
        </w:pict>
      </w:r>
      <w:r>
        <w:rPr>
          <w:w w:val="105"/>
        </w:rPr>
        <w:t>COORDINACION</w:t>
      </w:r>
    </w:p>
    <w:p>
      <w:pPr>
        <w:spacing w:after="0"/>
        <w:sectPr>
          <w:type w:val="continuous"/>
          <w:pgSz w:w="12240" w:h="15840"/>
          <w:pgMar w:top="1360" w:bottom="900" w:left="114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spacing w:after="0"/>
        <w:rPr>
          <w:sz w:val="20"/>
        </w:rPr>
        <w:sectPr>
          <w:footerReference w:type="default" r:id="rId13"/>
          <w:pgSz w:w="12240" w:h="15840"/>
          <w:pgMar w:footer="0" w:header="0" w:top="1500" w:bottom="0" w:left="340" w:right="1320"/>
        </w:sectPr>
      </w:pPr>
    </w:p>
    <w:p>
      <w:pPr>
        <w:pStyle w:val="Heading2"/>
        <w:ind w:left="785"/>
      </w:pPr>
      <w:r>
        <w:rPr/>
        <w:t>ETAPA</w:t>
      </w:r>
    </w:p>
    <w:p>
      <w:pPr>
        <w:spacing w:before="80"/>
        <w:ind w:left="785" w:right="0" w:firstLine="0"/>
        <w:jc w:val="left"/>
        <w:rPr>
          <w:b/>
          <w:sz w:val="19"/>
        </w:rPr>
      </w:pPr>
      <w:r>
        <w:rPr/>
        <w:br w:type="column"/>
      </w:r>
      <w:r>
        <w:rPr>
          <w:b/>
          <w:sz w:val="19"/>
        </w:rPr>
        <w:t>APARTADO</w:t>
      </w:r>
    </w:p>
    <w:p>
      <w:pPr>
        <w:spacing w:before="95"/>
        <w:ind w:left="785" w:right="0" w:firstLine="0"/>
        <w:jc w:val="left"/>
        <w:rPr>
          <w:b/>
          <w:sz w:val="19"/>
        </w:rPr>
      </w:pPr>
      <w:r>
        <w:rPr/>
        <w:br w:type="column"/>
      </w:r>
      <w:r>
        <w:rPr>
          <w:b/>
          <w:w w:val="105"/>
          <w:sz w:val="19"/>
        </w:rPr>
        <w:t>PRODUCTOS</w:t>
      </w:r>
    </w:p>
    <w:p>
      <w:pPr>
        <w:spacing w:after="0"/>
        <w:jc w:val="left"/>
        <w:rPr>
          <w:sz w:val="19"/>
        </w:rPr>
        <w:sectPr>
          <w:type w:val="continuous"/>
          <w:pgSz w:w="12240" w:h="15840"/>
          <w:pgMar w:top="1360" w:bottom="900" w:left="340" w:right="1320"/>
          <w:cols w:num="3" w:equalWidth="0">
            <w:col w:w="1461" w:space="699"/>
            <w:col w:w="1925" w:space="2035"/>
            <w:col w:w="4460"/>
          </w:cols>
        </w:sectPr>
      </w:pPr>
    </w:p>
    <w:p>
      <w:pPr>
        <w:pStyle w:val="BodyText"/>
        <w:rPr>
          <w:b/>
          <w:sz w:val="20"/>
        </w:rPr>
      </w:pPr>
    </w:p>
    <w:p>
      <w:pPr>
        <w:pStyle w:val="BodyText"/>
        <w:rPr>
          <w:b/>
          <w:sz w:val="20"/>
        </w:rPr>
      </w:pPr>
    </w:p>
    <w:p>
      <w:pPr>
        <w:spacing w:after="0"/>
        <w:rPr>
          <w:sz w:val="20"/>
        </w:rPr>
        <w:sectPr>
          <w:type w:val="continuous"/>
          <w:pgSz w:w="12240" w:h="15840"/>
          <w:pgMar w:top="1360" w:bottom="900" w:left="340" w:right="1320"/>
        </w:sectPr>
      </w:pPr>
    </w:p>
    <w:p>
      <w:pPr>
        <w:pStyle w:val="BodyText"/>
        <w:rPr>
          <w:b/>
          <w:sz w:val="20"/>
        </w:rPr>
      </w:pPr>
    </w:p>
    <w:p>
      <w:pPr>
        <w:pStyle w:val="BodyText"/>
        <w:spacing w:before="8"/>
        <w:rPr>
          <w:b/>
          <w:sz w:val="22"/>
        </w:rPr>
      </w:pPr>
    </w:p>
    <w:p>
      <w:pPr>
        <w:pStyle w:val="ListParagraph"/>
        <w:numPr>
          <w:ilvl w:val="2"/>
          <w:numId w:val="3"/>
        </w:numPr>
        <w:tabs>
          <w:tab w:pos="2615" w:val="left" w:leader="none"/>
        </w:tabs>
        <w:spacing w:line="254" w:lineRule="auto" w:before="0" w:after="0"/>
        <w:ind w:left="2615" w:right="1303" w:hanging="165"/>
        <w:jc w:val="left"/>
        <w:rPr>
          <w:sz w:val="19"/>
        </w:rPr>
      </w:pPr>
      <w:r>
        <w:rPr/>
        <w:pict>
          <v:shape style="position:absolute;margin-left:120.75pt;margin-top:-31.589111pt;width:18pt;height:75pt;mso-position-horizontal-relative:page;mso-position-vertical-relative:paragraph;z-index:-21616" coordorigin="2415,-632" coordsize="360,1500" path="m2775,-632l2709,-624,2651,-600,2610,-562,2595,-512,2595,-2,2582,42,2544,81,2487,108,2415,118,2487,129,2544,156,2582,194,2595,238,2595,748,2610,792,2651,831,2709,858,2775,868e" filled="false" stroked="true" strokeweight=".75pt" strokecolor="#000000">
            <v:path arrowok="t"/>
            <w10:wrap type="none"/>
          </v:shape>
        </w:pict>
      </w:r>
      <w:r>
        <w:rPr/>
        <w:pict>
          <v:shape style="position:absolute;margin-left:255.75pt;margin-top:-31.589111pt;width:18pt;height:75pt;mso-position-horizontal-relative:page;mso-position-vertical-relative:paragraph;z-index:-21592" coordorigin="5115,-632" coordsize="360,1500" path="m5115,-632l5187,-624,5244,-600,5282,-562,5295,-512,5295,-2,5310,42,5351,81,5409,108,5475,118,5409,129,5351,156,5310,194,5295,238,5295,748,5282,792,5244,831,5187,858,5115,868e" filled="false" stroked="true" strokeweight=".75pt" strokecolor="#000000">
            <v:path arrowok="t"/>
            <w10:wrap type="none"/>
          </v:shape>
        </w:pict>
      </w:r>
      <w:r>
        <w:rPr/>
        <w:pict>
          <v:shape style="position:absolute;margin-left:75.75pt;margin-top:-31.589111pt;width:9pt;height:51.75pt;mso-position-horizontal-relative:page;mso-position-vertical-relative:paragraph;z-index:1720" coordorigin="1515,-632" coordsize="180,1035" path="m1515,403l1695,403m1515,-632l1515,403e" filled="false" stroked="true" strokeweight=".75pt" strokecolor="#000000">
            <v:path arrowok="t"/>
            <w10:wrap type="none"/>
          </v:shape>
        </w:pict>
      </w:r>
      <w:r>
        <w:rPr/>
        <w:pict>
          <v:shape style="position:absolute;margin-left:88.599434pt;margin-top:-25.834755pt;width:11.75pt;height:82.25pt;mso-position-horizontal-relative:page;mso-position-vertical-relative:paragraph;z-index:-21520" type="#_x0000_t202" filled="false" stroked="false">
            <v:textbox inset="0,0,0,0" style="layout-flow:vertical;mso-layout-flow-alt:bottom-to-top">
              <w:txbxContent>
                <w:p>
                  <w:pPr>
                    <w:pStyle w:val="ListParagraph"/>
                    <w:numPr>
                      <w:ilvl w:val="0"/>
                      <w:numId w:val="4"/>
                    </w:numPr>
                    <w:tabs>
                      <w:tab w:pos="319" w:val="left" w:leader="none"/>
                      <w:tab w:pos="320" w:val="left" w:leader="none"/>
                    </w:tabs>
                    <w:spacing w:line="218" w:lineRule="exact" w:before="0" w:after="0"/>
                    <w:ind w:left="320" w:right="0" w:hanging="300"/>
                    <w:jc w:val="left"/>
                    <w:rPr>
                      <w:b/>
                      <w:sz w:val="19"/>
                    </w:rPr>
                  </w:pPr>
                  <w:r>
                    <w:rPr>
                      <w:b/>
                      <w:spacing w:val="1"/>
                      <w:w w:val="102"/>
                      <w:sz w:val="19"/>
                    </w:rPr>
                    <w:t>EVALUACION</w:t>
                  </w:r>
                </w:p>
              </w:txbxContent>
            </v:textbox>
            <w10:wrap type="none"/>
          </v:shape>
        </w:pict>
      </w:r>
      <w:r>
        <w:rPr>
          <w:w w:val="105"/>
          <w:sz w:val="19"/>
        </w:rPr>
        <w:t>DESEMPEÑO </w:t>
      </w:r>
      <w:r>
        <w:rPr>
          <w:spacing w:val="2"/>
          <w:w w:val="105"/>
          <w:sz w:val="19"/>
        </w:rPr>
        <w:t>DEL ORDENAMIENTO </w:t>
      </w:r>
      <w:r>
        <w:rPr>
          <w:spacing w:val="3"/>
          <w:w w:val="105"/>
          <w:sz w:val="19"/>
        </w:rPr>
        <w:t>ECOLOGICO</w:t>
      </w:r>
    </w:p>
    <w:p>
      <w:pPr>
        <w:spacing w:line="150" w:lineRule="exact" w:before="0"/>
        <w:ind w:left="1355" w:right="0" w:firstLine="0"/>
        <w:jc w:val="left"/>
        <w:rPr>
          <w:sz w:val="18"/>
        </w:rPr>
      </w:pPr>
      <w:r>
        <w:rPr>
          <w:sz w:val="18"/>
        </w:rPr>
        <w:t>II Congreso Internacional de Ordenación del Territorio</w:t>
      </w:r>
    </w:p>
    <w:p>
      <w:pPr>
        <w:pStyle w:val="BodyText"/>
        <w:spacing w:before="11"/>
        <w:rPr>
          <w:sz w:val="17"/>
        </w:rPr>
      </w:pPr>
      <w:r>
        <w:rPr/>
        <w:br w:type="column"/>
      </w:r>
      <w:r>
        <w:rPr>
          <w:sz w:val="17"/>
        </w:rPr>
      </w:r>
    </w:p>
    <w:p>
      <w:pPr>
        <w:pStyle w:val="ListParagraph"/>
        <w:numPr>
          <w:ilvl w:val="0"/>
          <w:numId w:val="5"/>
        </w:numPr>
        <w:tabs>
          <w:tab w:pos="509" w:val="left" w:leader="none"/>
          <w:tab w:pos="510" w:val="left" w:leader="none"/>
        </w:tabs>
        <w:spacing w:line="252" w:lineRule="auto" w:before="0" w:after="0"/>
        <w:ind w:left="509" w:right="1033" w:hanging="300"/>
        <w:jc w:val="left"/>
        <w:rPr>
          <w:sz w:val="19"/>
        </w:rPr>
      </w:pPr>
      <w:r>
        <w:rPr>
          <w:w w:val="105"/>
          <w:sz w:val="19"/>
        </w:rPr>
        <w:t>EVALUACION DEL COMITÉ SOBRE EL CUMPLIMIENTO DEL ORDENAMIENTO ECOLOGICO EN LA TOTALIDAD DE LAS</w:t>
      </w:r>
      <w:r>
        <w:rPr>
          <w:spacing w:val="-20"/>
          <w:w w:val="105"/>
          <w:sz w:val="19"/>
        </w:rPr>
        <w:t> </w:t>
      </w:r>
      <w:r>
        <w:rPr>
          <w:spacing w:val="3"/>
          <w:w w:val="105"/>
          <w:sz w:val="19"/>
        </w:rPr>
        <w:t>UNIDADES</w:t>
      </w:r>
    </w:p>
    <w:p>
      <w:pPr>
        <w:tabs>
          <w:tab w:pos="4634" w:val="left" w:leader="none"/>
        </w:tabs>
        <w:spacing w:before="10"/>
        <w:ind w:left="509" w:right="0" w:firstLine="0"/>
        <w:jc w:val="left"/>
        <w:rPr>
          <w:rFonts w:ascii="Times New Roman" w:hAnsi="Times New Roman"/>
          <w:sz w:val="24"/>
        </w:rPr>
      </w:pPr>
      <w:r>
        <w:rPr/>
        <w:pict>
          <v:group style="position:absolute;margin-left:509.625pt;margin-top:-14.933105pt;width:25.5pt;height:44.25pt;mso-position-horizontal-relative:page;mso-position-vertical-relative:paragraph;z-index:-21568" coordorigin="10193,-299" coordsize="510,885">
            <v:line style="position:absolute" from="10200,-291" to="10695,-291" stroked="true" strokeweight=".75pt" strokecolor="#000000"/>
            <v:line style="position:absolute" from="10695,-291" to="10695,579" stroked="true" strokeweight=".75pt" strokecolor="#000000"/>
            <w10:wrap type="none"/>
          </v:group>
        </w:pict>
      </w:r>
      <w:r>
        <w:rPr>
          <w:spacing w:val="3"/>
          <w:w w:val="102"/>
          <w:sz w:val="19"/>
        </w:rPr>
        <w:t>D</w:t>
      </w:r>
      <w:r>
        <w:rPr>
          <w:spacing w:val="-54"/>
          <w:w w:val="102"/>
          <w:sz w:val="19"/>
        </w:rPr>
        <w:t>E</w:t>
      </w:r>
      <w:r>
        <w:rPr>
          <w:spacing w:val="1"/>
          <w:w w:val="100"/>
          <w:position w:val="1"/>
          <w:sz w:val="18"/>
        </w:rPr>
        <w:t>T</w:t>
      </w:r>
      <w:r>
        <w:rPr>
          <w:spacing w:val="-94"/>
          <w:w w:val="99"/>
          <w:position w:val="1"/>
          <w:sz w:val="18"/>
        </w:rPr>
        <w:t>o</w:t>
      </w:r>
      <w:r>
        <w:rPr>
          <w:spacing w:val="-57"/>
          <w:w w:val="102"/>
          <w:sz w:val="19"/>
        </w:rPr>
        <w:t>G</w:t>
      </w:r>
      <w:r>
        <w:rPr>
          <w:spacing w:val="1"/>
          <w:w w:val="99"/>
          <w:position w:val="1"/>
          <w:sz w:val="18"/>
        </w:rPr>
        <w:t>l</w:t>
      </w:r>
      <w:r>
        <w:rPr>
          <w:spacing w:val="-81"/>
          <w:w w:val="99"/>
          <w:position w:val="1"/>
          <w:sz w:val="18"/>
        </w:rPr>
        <w:t>u</w:t>
      </w:r>
      <w:r>
        <w:rPr>
          <w:spacing w:val="-49"/>
          <w:w w:val="102"/>
          <w:sz w:val="19"/>
        </w:rPr>
        <w:t>E</w:t>
      </w:r>
      <w:r>
        <w:rPr>
          <w:spacing w:val="-38"/>
          <w:position w:val="1"/>
          <w:sz w:val="18"/>
        </w:rPr>
        <w:t>c</w:t>
      </w:r>
      <w:r>
        <w:rPr>
          <w:spacing w:val="-91"/>
          <w:w w:val="102"/>
          <w:sz w:val="19"/>
        </w:rPr>
        <w:t>S</w:t>
      </w:r>
      <w:r>
        <w:rPr>
          <w:spacing w:val="-6"/>
          <w:w w:val="99"/>
          <w:position w:val="1"/>
          <w:sz w:val="18"/>
        </w:rPr>
        <w:t>a</w:t>
      </w:r>
      <w:r>
        <w:rPr>
          <w:spacing w:val="-113"/>
          <w:w w:val="102"/>
          <w:sz w:val="19"/>
        </w:rPr>
        <w:t>T</w:t>
      </w:r>
      <w:r>
        <w:rPr>
          <w:w w:val="100"/>
          <w:position w:val="1"/>
          <w:sz w:val="18"/>
        </w:rPr>
        <w:t>,</w:t>
      </w:r>
      <w:r>
        <w:rPr>
          <w:spacing w:val="-1"/>
          <w:position w:val="1"/>
          <w:sz w:val="18"/>
        </w:rPr>
        <w:t> </w:t>
      </w:r>
      <w:r>
        <w:rPr>
          <w:spacing w:val="-134"/>
          <w:position w:val="1"/>
          <w:sz w:val="18"/>
        </w:rPr>
        <w:t>M</w:t>
      </w:r>
      <w:r>
        <w:rPr>
          <w:spacing w:val="3"/>
          <w:w w:val="102"/>
          <w:sz w:val="19"/>
        </w:rPr>
        <w:t>I</w:t>
      </w:r>
      <w:r>
        <w:rPr>
          <w:spacing w:val="-91"/>
          <w:w w:val="102"/>
          <w:sz w:val="19"/>
        </w:rPr>
        <w:t>O</w:t>
      </w:r>
      <w:r>
        <w:rPr>
          <w:spacing w:val="-6"/>
          <w:w w:val="99"/>
          <w:position w:val="1"/>
          <w:sz w:val="18"/>
        </w:rPr>
        <w:t>é</w:t>
      </w:r>
      <w:r>
        <w:rPr>
          <w:spacing w:val="-116"/>
          <w:w w:val="102"/>
          <w:sz w:val="19"/>
        </w:rPr>
        <w:t>N</w:t>
      </w:r>
      <w:r>
        <w:rPr>
          <w:spacing w:val="-1"/>
          <w:w w:val="99"/>
          <w:position w:val="1"/>
          <w:sz w:val="18"/>
        </w:rPr>
        <w:t>xi</w:t>
      </w:r>
      <w:r>
        <w:rPr>
          <w:spacing w:val="-41"/>
          <w:position w:val="1"/>
          <w:sz w:val="18"/>
        </w:rPr>
        <w:t>c</w:t>
      </w:r>
      <w:r>
        <w:rPr>
          <w:spacing w:val="-90"/>
          <w:w w:val="102"/>
          <w:sz w:val="19"/>
        </w:rPr>
        <w:t>A</w:t>
      </w:r>
      <w:r>
        <w:rPr>
          <w:spacing w:val="-7"/>
          <w:w w:val="99"/>
          <w:position w:val="1"/>
          <w:sz w:val="18"/>
        </w:rPr>
        <w:t>o</w:t>
      </w:r>
      <w:r>
        <w:rPr>
          <w:spacing w:val="-156"/>
          <w:w w:val="102"/>
          <w:sz w:val="19"/>
        </w:rPr>
        <w:t>M</w:t>
      </w:r>
      <w:r>
        <w:rPr>
          <w:w w:val="100"/>
          <w:position w:val="1"/>
          <w:sz w:val="18"/>
        </w:rPr>
        <w:t>;</w:t>
      </w:r>
      <w:r>
        <w:rPr>
          <w:spacing w:val="-6"/>
          <w:position w:val="1"/>
          <w:sz w:val="18"/>
        </w:rPr>
        <w:t> </w:t>
      </w:r>
      <w:r>
        <w:rPr>
          <w:spacing w:val="-36"/>
          <w:w w:val="99"/>
          <w:position w:val="1"/>
          <w:sz w:val="18"/>
        </w:rPr>
        <w:t>2</w:t>
      </w:r>
      <w:r>
        <w:rPr>
          <w:spacing w:val="-95"/>
          <w:w w:val="102"/>
          <w:sz w:val="19"/>
        </w:rPr>
        <w:t>B</w:t>
      </w:r>
      <w:r>
        <w:rPr>
          <w:spacing w:val="-2"/>
          <w:w w:val="99"/>
          <w:position w:val="1"/>
          <w:sz w:val="18"/>
        </w:rPr>
        <w:t>6</w:t>
      </w:r>
      <w:r>
        <w:rPr>
          <w:spacing w:val="-53"/>
          <w:w w:val="102"/>
          <w:sz w:val="19"/>
        </w:rPr>
        <w:t>I</w:t>
      </w:r>
      <w:r>
        <w:rPr>
          <w:spacing w:val="-4"/>
          <w:w w:val="99"/>
          <w:position w:val="1"/>
          <w:sz w:val="18"/>
        </w:rPr>
        <w:t>-</w:t>
      </w:r>
      <w:r>
        <w:rPr>
          <w:spacing w:val="-127"/>
          <w:w w:val="102"/>
          <w:sz w:val="19"/>
        </w:rPr>
        <w:t>E</w:t>
      </w:r>
      <w:r>
        <w:rPr>
          <w:spacing w:val="1"/>
          <w:w w:val="99"/>
          <w:position w:val="1"/>
          <w:sz w:val="18"/>
        </w:rPr>
        <w:t>2</w:t>
      </w:r>
      <w:r>
        <w:rPr>
          <w:spacing w:val="-71"/>
          <w:w w:val="99"/>
          <w:position w:val="1"/>
          <w:sz w:val="18"/>
        </w:rPr>
        <w:t>8</w:t>
      </w:r>
      <w:r>
        <w:rPr>
          <w:spacing w:val="-25"/>
          <w:w w:val="102"/>
          <w:sz w:val="19"/>
        </w:rPr>
        <w:t>N</w:t>
      </w:r>
      <w:r>
        <w:rPr>
          <w:spacing w:val="-72"/>
          <w:w w:val="99"/>
          <w:position w:val="1"/>
          <w:sz w:val="18"/>
        </w:rPr>
        <w:t>d</w:t>
      </w:r>
      <w:r>
        <w:rPr>
          <w:spacing w:val="-47"/>
          <w:w w:val="102"/>
          <w:sz w:val="19"/>
        </w:rPr>
        <w:t>T</w:t>
      </w:r>
      <w:r>
        <w:rPr>
          <w:spacing w:val="-50"/>
          <w:w w:val="99"/>
          <w:position w:val="1"/>
          <w:sz w:val="18"/>
        </w:rPr>
        <w:t>e</w:t>
      </w:r>
      <w:r>
        <w:rPr>
          <w:spacing w:val="-35"/>
          <w:w w:val="102"/>
          <w:sz w:val="19"/>
        </w:rPr>
        <w:t>A</w:t>
      </w:r>
      <w:r>
        <w:rPr>
          <w:spacing w:val="-92"/>
          <w:w w:val="99"/>
          <w:position w:val="1"/>
          <w:sz w:val="18"/>
        </w:rPr>
        <w:t>N</w:t>
      </w:r>
      <w:r>
        <w:rPr>
          <w:spacing w:val="-16"/>
          <w:w w:val="102"/>
          <w:sz w:val="19"/>
        </w:rPr>
        <w:t>L</w:t>
      </w:r>
      <w:r>
        <w:rPr>
          <w:spacing w:val="1"/>
          <w:w w:val="99"/>
          <w:position w:val="1"/>
          <w:sz w:val="18"/>
        </w:rPr>
        <w:t>oviembr</w:t>
      </w:r>
      <w:r>
        <w:rPr>
          <w:w w:val="99"/>
          <w:position w:val="1"/>
          <w:sz w:val="18"/>
        </w:rPr>
        <w:t>e</w:t>
      </w:r>
      <w:r>
        <w:rPr>
          <w:spacing w:val="-4"/>
          <w:position w:val="1"/>
          <w:sz w:val="18"/>
        </w:rPr>
        <w:t> </w:t>
      </w:r>
      <w:r>
        <w:rPr>
          <w:spacing w:val="1"/>
          <w:w w:val="99"/>
          <w:position w:val="1"/>
          <w:sz w:val="18"/>
        </w:rPr>
        <w:t>d</w:t>
      </w:r>
      <w:r>
        <w:rPr>
          <w:w w:val="99"/>
          <w:position w:val="1"/>
          <w:sz w:val="18"/>
        </w:rPr>
        <w:t>e</w:t>
      </w:r>
      <w:r>
        <w:rPr>
          <w:spacing w:val="-4"/>
          <w:position w:val="1"/>
          <w:sz w:val="18"/>
        </w:rPr>
        <w:t> </w:t>
      </w:r>
      <w:r>
        <w:rPr>
          <w:spacing w:val="1"/>
          <w:w w:val="99"/>
          <w:position w:val="1"/>
          <w:sz w:val="18"/>
        </w:rPr>
        <w:t>200</w:t>
      </w:r>
      <w:r>
        <w:rPr>
          <w:w w:val="99"/>
          <w:position w:val="1"/>
          <w:sz w:val="18"/>
        </w:rPr>
        <w:t>3</w:t>
      </w:r>
      <w:r>
        <w:rPr>
          <w:position w:val="1"/>
          <w:sz w:val="18"/>
        </w:rPr>
        <w:tab/>
      </w:r>
      <w:r>
        <w:rPr>
          <w:rFonts w:ascii="Times New Roman" w:hAnsi="Times New Roman"/>
          <w:position w:val="-4"/>
          <w:sz w:val="24"/>
        </w:rPr>
        <w:t>8</w:t>
      </w:r>
    </w:p>
    <w:p>
      <w:pPr>
        <w:spacing w:after="0"/>
        <w:jc w:val="left"/>
        <w:rPr>
          <w:rFonts w:ascii="Times New Roman" w:hAnsi="Times New Roman"/>
          <w:sz w:val="24"/>
        </w:rPr>
        <w:sectPr>
          <w:type w:val="continuous"/>
          <w:pgSz w:w="12240" w:h="15840"/>
          <w:pgMar w:top="1360" w:bottom="900" w:left="340" w:right="1320"/>
          <w:cols w:num="2" w:equalWidth="0">
            <w:col w:w="5681" w:space="40"/>
            <w:col w:w="4859"/>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4"/>
        </w:rPr>
      </w:pPr>
    </w:p>
    <w:p>
      <w:pPr>
        <w:spacing w:before="84"/>
        <w:ind w:left="115" w:right="0" w:firstLine="0"/>
        <w:jc w:val="left"/>
        <w:rPr>
          <w:sz w:val="16"/>
        </w:rPr>
      </w:pPr>
      <w:r>
        <w:rPr>
          <w:w w:val="105"/>
          <w:sz w:val="16"/>
        </w:rPr>
        <w:t>Fuente: SEMARNAT, 2003.</w:t>
      </w:r>
    </w:p>
    <w:p>
      <w:pPr>
        <w:pStyle w:val="BodyText"/>
        <w:rPr>
          <w:sz w:val="16"/>
        </w:rPr>
      </w:pPr>
    </w:p>
    <w:p>
      <w:pPr>
        <w:pStyle w:val="BodyText"/>
        <w:rPr>
          <w:sz w:val="16"/>
        </w:rPr>
      </w:pPr>
    </w:p>
    <w:p>
      <w:pPr>
        <w:pStyle w:val="BodyText"/>
        <w:spacing w:before="4"/>
        <w:rPr>
          <w:sz w:val="17"/>
        </w:rPr>
      </w:pPr>
    </w:p>
    <w:p>
      <w:pPr>
        <w:pStyle w:val="ListParagraph"/>
        <w:numPr>
          <w:ilvl w:val="0"/>
          <w:numId w:val="3"/>
        </w:numPr>
        <w:tabs>
          <w:tab w:pos="850" w:val="left" w:leader="none"/>
        </w:tabs>
        <w:spacing w:line="247" w:lineRule="auto" w:before="0" w:after="0"/>
        <w:ind w:left="850" w:right="103" w:hanging="375"/>
        <w:jc w:val="both"/>
        <w:rPr>
          <w:sz w:val="19"/>
        </w:rPr>
      </w:pPr>
      <w:r>
        <w:rPr>
          <w:w w:val="105"/>
          <w:sz w:val="19"/>
        </w:rPr>
        <w:t>El programa esta siendo consultado para la dictaminación en materia de impacto ambiental de la Secretaría de Ecología y de la</w:t>
      </w:r>
      <w:r>
        <w:rPr>
          <w:spacing w:val="-18"/>
          <w:w w:val="105"/>
          <w:sz w:val="19"/>
        </w:rPr>
        <w:t> </w:t>
      </w:r>
      <w:r>
        <w:rPr>
          <w:w w:val="105"/>
          <w:sz w:val="19"/>
        </w:rPr>
        <w:t>SEMARNAT.</w:t>
      </w:r>
    </w:p>
    <w:p>
      <w:pPr>
        <w:pStyle w:val="BodyText"/>
        <w:spacing w:before="10"/>
        <w:rPr>
          <w:sz w:val="20"/>
        </w:rPr>
      </w:pPr>
    </w:p>
    <w:p>
      <w:pPr>
        <w:pStyle w:val="ListParagraph"/>
        <w:numPr>
          <w:ilvl w:val="0"/>
          <w:numId w:val="3"/>
        </w:numPr>
        <w:tabs>
          <w:tab w:pos="850" w:val="left" w:leader="none"/>
        </w:tabs>
        <w:spacing w:line="252" w:lineRule="auto" w:before="0" w:after="0"/>
        <w:ind w:left="850" w:right="106" w:hanging="375"/>
        <w:jc w:val="both"/>
        <w:rPr>
          <w:sz w:val="19"/>
        </w:rPr>
      </w:pPr>
      <w:r>
        <w:rPr>
          <w:w w:val="105"/>
          <w:sz w:val="19"/>
        </w:rPr>
        <w:t>Se han realizado varias reuniones de trabajo con la Secretaría de Desarrollo Urbano  y Vivienda, con objeto de homologar el plan de desarrollo urbano de Valle de Bravo y el ordenamiento, lográndose el control de los asentamientos en las áreas naturales protegidas, las zonas de recarga de acuíferos, los manantiales; así como la aplicación de planes parciales en</w:t>
      </w:r>
      <w:r>
        <w:rPr>
          <w:spacing w:val="-9"/>
          <w:w w:val="105"/>
          <w:sz w:val="19"/>
        </w:rPr>
        <w:t> </w:t>
      </w:r>
      <w:r>
        <w:rPr>
          <w:w w:val="105"/>
          <w:sz w:val="19"/>
        </w:rPr>
        <w:t>zonas</w:t>
      </w:r>
      <w:r>
        <w:rPr>
          <w:spacing w:val="-9"/>
          <w:w w:val="105"/>
          <w:sz w:val="19"/>
        </w:rPr>
        <w:t> </w:t>
      </w:r>
      <w:r>
        <w:rPr>
          <w:w w:val="105"/>
          <w:sz w:val="19"/>
        </w:rPr>
        <w:t>con</w:t>
      </w:r>
      <w:r>
        <w:rPr>
          <w:spacing w:val="-9"/>
          <w:w w:val="105"/>
          <w:sz w:val="19"/>
        </w:rPr>
        <w:t> </w:t>
      </w:r>
      <w:r>
        <w:rPr>
          <w:spacing w:val="3"/>
          <w:w w:val="105"/>
          <w:sz w:val="19"/>
        </w:rPr>
        <w:t>alto</w:t>
      </w:r>
      <w:r>
        <w:rPr>
          <w:spacing w:val="-9"/>
          <w:w w:val="105"/>
          <w:sz w:val="19"/>
        </w:rPr>
        <w:t> </w:t>
      </w:r>
      <w:r>
        <w:rPr>
          <w:w w:val="105"/>
          <w:sz w:val="19"/>
        </w:rPr>
        <w:t>potencial</w:t>
      </w:r>
      <w:r>
        <w:rPr>
          <w:spacing w:val="-9"/>
          <w:w w:val="105"/>
          <w:sz w:val="19"/>
        </w:rPr>
        <w:t> </w:t>
      </w:r>
      <w:r>
        <w:rPr>
          <w:w w:val="105"/>
          <w:sz w:val="19"/>
        </w:rPr>
        <w:t>agrícola.</w:t>
      </w:r>
    </w:p>
    <w:p>
      <w:pPr>
        <w:pStyle w:val="BodyText"/>
        <w:spacing w:before="5"/>
        <w:rPr>
          <w:sz w:val="20"/>
        </w:rPr>
      </w:pPr>
    </w:p>
    <w:p>
      <w:pPr>
        <w:pStyle w:val="ListParagraph"/>
        <w:numPr>
          <w:ilvl w:val="0"/>
          <w:numId w:val="3"/>
        </w:numPr>
        <w:tabs>
          <w:tab w:pos="850" w:val="left" w:leader="none"/>
        </w:tabs>
        <w:spacing w:line="247" w:lineRule="auto" w:before="1" w:after="0"/>
        <w:ind w:left="850" w:right="121" w:hanging="375"/>
        <w:jc w:val="both"/>
        <w:rPr>
          <w:sz w:val="19"/>
        </w:rPr>
      </w:pPr>
      <w:r>
        <w:rPr>
          <w:w w:val="105"/>
          <w:sz w:val="19"/>
        </w:rPr>
        <w:t>Con la finalidad de asegurar la congruencia entre el ordenamiento con otros planes se </w:t>
      </w:r>
      <w:r>
        <w:rPr>
          <w:spacing w:val="2"/>
          <w:w w:val="105"/>
          <w:sz w:val="19"/>
        </w:rPr>
        <w:t>asiste  </w:t>
      </w:r>
      <w:r>
        <w:rPr>
          <w:w w:val="105"/>
          <w:sz w:val="19"/>
        </w:rPr>
        <w:t>a las reuniones de trabajo de la Comisión de Cuenca de Valle de Bravo, el Subcomité de Planeación</w:t>
      </w:r>
      <w:r>
        <w:rPr>
          <w:spacing w:val="-3"/>
          <w:w w:val="105"/>
          <w:sz w:val="19"/>
        </w:rPr>
        <w:t> </w:t>
      </w:r>
      <w:r>
        <w:rPr>
          <w:w w:val="105"/>
          <w:sz w:val="19"/>
        </w:rPr>
        <w:t>de</w:t>
      </w:r>
      <w:r>
        <w:rPr>
          <w:spacing w:val="-3"/>
          <w:w w:val="105"/>
          <w:sz w:val="19"/>
        </w:rPr>
        <w:t> </w:t>
      </w:r>
      <w:r>
        <w:rPr>
          <w:w w:val="105"/>
          <w:sz w:val="19"/>
        </w:rPr>
        <w:t>la</w:t>
      </w:r>
      <w:r>
        <w:rPr>
          <w:spacing w:val="-3"/>
          <w:w w:val="105"/>
          <w:sz w:val="19"/>
        </w:rPr>
        <w:t> </w:t>
      </w:r>
      <w:r>
        <w:rPr>
          <w:w w:val="105"/>
          <w:sz w:val="19"/>
        </w:rPr>
        <w:t>Región</w:t>
      </w:r>
      <w:r>
        <w:rPr>
          <w:spacing w:val="-3"/>
          <w:w w:val="105"/>
          <w:sz w:val="19"/>
        </w:rPr>
        <w:t> </w:t>
      </w:r>
      <w:r>
        <w:rPr>
          <w:w w:val="105"/>
          <w:sz w:val="19"/>
        </w:rPr>
        <w:t>VIII</w:t>
      </w:r>
      <w:r>
        <w:rPr>
          <w:spacing w:val="-3"/>
          <w:w w:val="105"/>
          <w:sz w:val="19"/>
        </w:rPr>
        <w:t> </w:t>
      </w:r>
      <w:r>
        <w:rPr>
          <w:w w:val="105"/>
          <w:sz w:val="19"/>
        </w:rPr>
        <w:t>Valle</w:t>
      </w:r>
      <w:r>
        <w:rPr>
          <w:spacing w:val="-3"/>
          <w:w w:val="105"/>
          <w:sz w:val="19"/>
        </w:rPr>
        <w:t> </w:t>
      </w:r>
      <w:r>
        <w:rPr>
          <w:w w:val="105"/>
          <w:sz w:val="19"/>
        </w:rPr>
        <w:t>de</w:t>
      </w:r>
      <w:r>
        <w:rPr>
          <w:spacing w:val="-3"/>
          <w:w w:val="105"/>
          <w:sz w:val="19"/>
        </w:rPr>
        <w:t> </w:t>
      </w:r>
      <w:r>
        <w:rPr>
          <w:w w:val="105"/>
          <w:sz w:val="19"/>
        </w:rPr>
        <w:t>Bravo,</w:t>
      </w:r>
      <w:r>
        <w:rPr>
          <w:spacing w:val="-3"/>
          <w:w w:val="105"/>
          <w:sz w:val="19"/>
        </w:rPr>
        <w:t> </w:t>
      </w:r>
      <w:r>
        <w:rPr>
          <w:w w:val="105"/>
          <w:sz w:val="19"/>
        </w:rPr>
        <w:t>Programa</w:t>
      </w:r>
      <w:r>
        <w:rPr>
          <w:spacing w:val="-16"/>
          <w:w w:val="105"/>
          <w:sz w:val="19"/>
        </w:rPr>
        <w:t> </w:t>
      </w:r>
      <w:r>
        <w:rPr>
          <w:w w:val="105"/>
          <w:sz w:val="19"/>
        </w:rPr>
        <w:t>Integral</w:t>
      </w:r>
      <w:r>
        <w:rPr>
          <w:spacing w:val="-4"/>
          <w:w w:val="105"/>
          <w:sz w:val="19"/>
        </w:rPr>
        <w:t> </w:t>
      </w:r>
      <w:r>
        <w:rPr>
          <w:w w:val="105"/>
          <w:sz w:val="19"/>
        </w:rPr>
        <w:t>de</w:t>
      </w:r>
      <w:r>
        <w:rPr>
          <w:spacing w:val="-4"/>
          <w:w w:val="105"/>
          <w:sz w:val="19"/>
        </w:rPr>
        <w:t> </w:t>
      </w:r>
      <w:r>
        <w:rPr>
          <w:w w:val="105"/>
          <w:sz w:val="19"/>
        </w:rPr>
        <w:t>Valle</w:t>
      </w:r>
      <w:r>
        <w:rPr>
          <w:spacing w:val="-4"/>
          <w:w w:val="105"/>
          <w:sz w:val="19"/>
        </w:rPr>
        <w:t> </w:t>
      </w:r>
      <w:r>
        <w:rPr>
          <w:w w:val="105"/>
          <w:sz w:val="19"/>
        </w:rPr>
        <w:t>de</w:t>
      </w:r>
      <w:r>
        <w:rPr>
          <w:spacing w:val="-4"/>
          <w:w w:val="105"/>
          <w:sz w:val="19"/>
        </w:rPr>
        <w:t> </w:t>
      </w:r>
      <w:r>
        <w:rPr>
          <w:w w:val="105"/>
          <w:sz w:val="19"/>
        </w:rPr>
        <w:t>Bravo.</w:t>
      </w:r>
    </w:p>
    <w:p>
      <w:pPr>
        <w:pStyle w:val="BodyText"/>
        <w:spacing w:before="10"/>
        <w:rPr>
          <w:sz w:val="20"/>
        </w:rPr>
      </w:pPr>
    </w:p>
    <w:p>
      <w:pPr>
        <w:pStyle w:val="ListParagraph"/>
        <w:numPr>
          <w:ilvl w:val="0"/>
          <w:numId w:val="3"/>
        </w:numPr>
        <w:tabs>
          <w:tab w:pos="849" w:val="left" w:leader="none"/>
          <w:tab w:pos="850" w:val="left" w:leader="none"/>
        </w:tabs>
        <w:spacing w:line="240" w:lineRule="auto" w:before="0" w:after="0"/>
        <w:ind w:left="850" w:right="0" w:hanging="375"/>
        <w:jc w:val="left"/>
        <w:rPr>
          <w:sz w:val="19"/>
        </w:rPr>
      </w:pPr>
      <w:r>
        <w:rPr>
          <w:w w:val="105"/>
          <w:sz w:val="19"/>
        </w:rPr>
        <w:t>Se elaboran documentos ejecutivos para subirse a internet dentro de la  bitácora</w:t>
      </w:r>
      <w:r>
        <w:rPr>
          <w:spacing w:val="-20"/>
          <w:w w:val="105"/>
          <w:sz w:val="19"/>
        </w:rPr>
        <w:t> </w:t>
      </w:r>
      <w:r>
        <w:rPr>
          <w:w w:val="105"/>
          <w:sz w:val="19"/>
        </w:rPr>
        <w:t>ambiental.</w:t>
      </w:r>
    </w:p>
    <w:p>
      <w:pPr>
        <w:pStyle w:val="BodyText"/>
        <w:spacing w:before="5"/>
        <w:rPr>
          <w:sz w:val="21"/>
        </w:rPr>
      </w:pPr>
    </w:p>
    <w:p>
      <w:pPr>
        <w:pStyle w:val="ListParagraph"/>
        <w:numPr>
          <w:ilvl w:val="0"/>
          <w:numId w:val="3"/>
        </w:numPr>
        <w:tabs>
          <w:tab w:pos="850" w:val="left" w:leader="none"/>
        </w:tabs>
        <w:spacing w:line="247" w:lineRule="auto" w:before="0" w:after="0"/>
        <w:ind w:left="850" w:right="118" w:hanging="375"/>
        <w:jc w:val="both"/>
        <w:rPr>
          <w:sz w:val="19"/>
        </w:rPr>
      </w:pPr>
      <w:r>
        <w:rPr>
          <w:w w:val="105"/>
          <w:sz w:val="19"/>
        </w:rPr>
        <w:t>Se tiene previsto elaborar folletos para su difusión y documentos ejecutivos por sector y por ayuntamiento para apoyar la toma de</w:t>
      </w:r>
      <w:r>
        <w:rPr>
          <w:spacing w:val="-35"/>
          <w:w w:val="105"/>
          <w:sz w:val="19"/>
        </w:rPr>
        <w:t> </w:t>
      </w:r>
      <w:r>
        <w:rPr>
          <w:spacing w:val="2"/>
          <w:w w:val="105"/>
          <w:sz w:val="19"/>
        </w:rPr>
        <w:t>decisiones.</w:t>
      </w:r>
    </w:p>
    <w:p>
      <w:pPr>
        <w:pStyle w:val="BodyText"/>
        <w:spacing w:before="10"/>
        <w:rPr>
          <w:sz w:val="20"/>
        </w:rPr>
      </w:pPr>
    </w:p>
    <w:p>
      <w:pPr>
        <w:pStyle w:val="ListParagraph"/>
        <w:numPr>
          <w:ilvl w:val="0"/>
          <w:numId w:val="3"/>
        </w:numPr>
        <w:tabs>
          <w:tab w:pos="850" w:val="left" w:leader="none"/>
        </w:tabs>
        <w:spacing w:line="247" w:lineRule="auto" w:before="0" w:after="0"/>
        <w:ind w:left="850" w:right="103" w:hanging="375"/>
        <w:jc w:val="both"/>
        <w:rPr>
          <w:sz w:val="19"/>
        </w:rPr>
      </w:pPr>
      <w:r>
        <w:rPr>
          <w:w w:val="105"/>
          <w:sz w:val="19"/>
        </w:rPr>
        <w:t>Se está concentrando información respecto a acciones sectoriales de corto plazo que se</w:t>
      </w:r>
      <w:r>
        <w:rPr>
          <w:spacing w:val="55"/>
          <w:w w:val="105"/>
          <w:sz w:val="19"/>
        </w:rPr>
        <w:t> </w:t>
      </w:r>
      <w:r>
        <w:rPr>
          <w:w w:val="105"/>
          <w:sz w:val="19"/>
        </w:rPr>
        <w:t>llevan a cabo en la zona, a fín de identificar la unidad de gestión ambiental y su posible congruencia o incongruencia con el</w:t>
      </w:r>
      <w:r>
        <w:rPr>
          <w:spacing w:val="-31"/>
          <w:w w:val="105"/>
          <w:sz w:val="19"/>
        </w:rPr>
        <w:t> </w:t>
      </w:r>
      <w:r>
        <w:rPr>
          <w:w w:val="105"/>
          <w:sz w:val="19"/>
        </w:rPr>
        <w:t>ordenamiento.</w:t>
      </w:r>
    </w:p>
    <w:p>
      <w:pPr>
        <w:pStyle w:val="BodyText"/>
        <w:spacing w:before="9"/>
        <w:rPr>
          <w:sz w:val="24"/>
        </w:rPr>
      </w:pPr>
    </w:p>
    <w:p>
      <w:pPr>
        <w:pStyle w:val="BodyText"/>
        <w:spacing w:line="247" w:lineRule="auto"/>
        <w:ind w:left="115"/>
      </w:pPr>
      <w:r>
        <w:rPr>
          <w:w w:val="105"/>
        </w:rPr>
        <w:t>Estas acciones pudieran considerarse como parte de la instrumentación, pero al menos lo percibimos como atribuciones y obligaciones de la propia Secretaría de Ecología.</w:t>
      </w:r>
    </w:p>
    <w:p>
      <w:pPr>
        <w:pStyle w:val="BodyText"/>
        <w:spacing w:before="4"/>
      </w:pPr>
    </w:p>
    <w:p>
      <w:pPr>
        <w:pStyle w:val="Heading1"/>
        <w:jc w:val="left"/>
      </w:pPr>
      <w:r>
        <w:rPr/>
        <w:t>4.- PARTICIPACIÓN DE SECTORES - ACTORES Y SU INTERACCIÓN</w:t>
      </w:r>
    </w:p>
    <w:p>
      <w:pPr>
        <w:spacing w:after="0"/>
        <w:jc w:val="left"/>
        <w:sectPr>
          <w:footerReference w:type="default" r:id="rId14"/>
          <w:pgSz w:w="12240" w:h="15840"/>
          <w:pgMar w:footer="711" w:header="0" w:top="1500" w:bottom="900" w:left="1580" w:right="1320"/>
          <w:pgNumType w:start="9"/>
        </w:sectPr>
      </w:pPr>
    </w:p>
    <w:p>
      <w:pPr>
        <w:pStyle w:val="BodyText"/>
        <w:spacing w:line="247" w:lineRule="auto" w:before="66"/>
        <w:ind w:left="115" w:right="122"/>
        <w:jc w:val="both"/>
      </w:pPr>
      <w:r>
        <w:rPr>
          <w:w w:val="105"/>
        </w:rPr>
        <w:t>Reviste especial importancia, por eso se trata aparte la selección de sectores y actores que intervinieron en el proceso. Como toda relación personal basada en intereses y conflictos es imprescindible conciliar intereses y reducir conflictos.</w:t>
      </w:r>
    </w:p>
    <w:p>
      <w:pPr>
        <w:pStyle w:val="BodyText"/>
        <w:rPr>
          <w:sz w:val="20"/>
        </w:rPr>
      </w:pPr>
    </w:p>
    <w:p>
      <w:pPr>
        <w:pStyle w:val="BodyText"/>
        <w:spacing w:before="5"/>
        <w:rPr>
          <w:sz w:val="20"/>
        </w:rPr>
      </w:pPr>
    </w:p>
    <w:p>
      <w:pPr>
        <w:pStyle w:val="Heading2"/>
        <w:spacing w:before="0"/>
        <w:ind w:left="115"/>
        <w:jc w:val="both"/>
      </w:pPr>
      <w:r>
        <w:rPr>
          <w:w w:val="105"/>
        </w:rPr>
        <w:t>Figura 2.- Interacción de sectores-actores</w:t>
      </w:r>
    </w:p>
    <w:p>
      <w:pPr>
        <w:pStyle w:val="BodyText"/>
        <w:rPr>
          <w:b/>
          <w:sz w:val="20"/>
        </w:rPr>
      </w:pPr>
    </w:p>
    <w:p>
      <w:pPr>
        <w:pStyle w:val="BodyText"/>
        <w:spacing w:before="10"/>
        <w:rPr>
          <w:b/>
          <w:sz w:val="12"/>
        </w:rPr>
      </w:pPr>
      <w:r>
        <w:rPr/>
        <w:pict>
          <v:group style="position:absolute;margin-left:129.375pt;margin-top:9.362793pt;width:402.4pt;height:309.5pt;mso-position-horizontal-relative:page;mso-position-vertical-relative:paragraph;z-index:1984;mso-wrap-distance-left:0;mso-wrap-distance-right:0" coordorigin="2588,187" coordsize="8048,6190">
            <v:shape style="position:absolute;left:2588;top:187;width:8048;height:5498" type="#_x0000_t75" stroked="false">
              <v:imagedata r:id="rId15" o:title=""/>
            </v:shape>
            <v:shape style="position:absolute;left:8955;top:5235;width:1575;height:1035" type="#_x0000_t75" stroked="false">
              <v:imagedata r:id="rId16" o:title=""/>
            </v:shape>
            <v:shape style="position:absolute;left:2970;top:5475;width:1875;height:750" type="#_x0000_t75" stroked="false">
              <v:imagedata r:id="rId17" o:title=""/>
            </v:shape>
            <v:shape style="position:absolute;left:5820;top:6000;width:2010;height:285" coordorigin="5820,6000" coordsize="2010,285" path="m6105,6000l5820,6135,6105,6285,6105,6180,6045,6180,6045,6090,6105,6090,6105,6000xm7545,6000l7545,6285,7745,6180,7590,6180,7590,6090,7735,6090,7545,6000xm6105,6090l6045,6090,6045,6180,6105,6180,6105,6090xm7545,6090l6105,6090,6105,6180,7545,6180,7545,6090xm7735,6090l7590,6090,7590,6180,7745,6180,7830,6135,7735,6090xe" filled="true" fillcolor="#3366ff" stroked="false">
              <v:path arrowok="t"/>
              <v:fill type="solid"/>
            </v:shape>
            <v:line style="position:absolute" from="5595,1590" to="6630,1185" stroked="true" strokeweight=".75pt" strokecolor="#3366ff">
              <v:stroke dashstyle="dash"/>
            </v:line>
            <v:line style="position:absolute" from="5595,1680" to="8355,1920" stroked="true" strokeweight=".75pt" strokecolor="#3366ff">
              <v:stroke dashstyle="dash"/>
            </v:line>
            <v:line style="position:absolute" from="4020,1845" to="3795,2835" stroked="true" strokeweight=".75pt" strokecolor="#3366ff">
              <v:stroke dashstyle="dash"/>
            </v:line>
            <v:line style="position:absolute" from="4695,1845" to="4995,3990" stroked="true" strokeweight=".75pt" strokecolor="#3366ff">
              <v:stroke dashstyle="dash"/>
            </v:line>
            <v:line style="position:absolute" from="4920,1845" to="6330,4065" stroked="true" strokeweight=".75pt" strokecolor="#3366ff">
              <v:stroke dashstyle="dash"/>
            </v:line>
            <v:line style="position:absolute" from="5145,1845" to="5970,2670" stroked="true" strokeweight=".75pt" strokecolor="#3366ff">
              <v:stroke dashstyle="dash"/>
            </v:line>
            <v:line style="position:absolute" from="5370,1845" to="8280,3240" stroked="true" strokeweight=".75pt" strokecolor="#3366ff">
              <v:stroke dashstyle="dash"/>
            </v:line>
            <v:line style="position:absolute" from="6705,1425" to="4920,2745" stroked="true" strokeweight=".75pt" strokecolor="#3366ff">
              <v:stroke dashstyle="dash"/>
            </v:line>
            <v:line style="position:absolute" from="7005,1425" to="5520,4065" stroked="true" strokeweight=".75pt" strokecolor="#3366ff">
              <v:stroke dashstyle="dash"/>
            </v:line>
            <v:line style="position:absolute" from="7080,1425" to="6930,2340" stroked="true" strokeweight=".75pt" strokecolor="#3366ff">
              <v:stroke dashstyle="dash"/>
            </v:line>
            <v:line style="position:absolute" from="7305,1425" to="7530,3825" stroked="true" strokeweight=".75pt" strokecolor="#3366ff">
              <v:stroke dashstyle="dash"/>
            </v:line>
            <v:line style="position:absolute" from="7530,1425" to="8355,2835" stroked="true" strokeweight=".75pt" strokecolor="#3366ff">
              <v:stroke dashstyle="dash"/>
            </v:line>
            <v:line style="position:absolute" from="7905,1425" to="8430,1680" stroked="true" strokeweight=".75pt" strokecolor="#3366ff">
              <v:stroke dashstyle="dash"/>
            </v:line>
            <v:line style="position:absolute" from="8355,2085" to="5220,2745" stroked="true" strokeweight=".75pt" strokecolor="#3366ff">
              <v:stroke dashstyle="dash"/>
            </v:line>
            <v:line style="position:absolute" from="8430,2175" to="7755,2580" stroked="true" strokeweight=".75pt" strokecolor="#3366ff">
              <v:stroke dashstyle="dash"/>
            </v:line>
            <v:line style="position:absolute" from="8730,2175" to="5670,4155" stroked="true" strokeweight=".75pt" strokecolor="#3366ff">
              <v:stroke dashstyle="dash"/>
            </v:line>
            <v:line style="position:absolute" from="8880,2175" to="7905,3900" stroked="true" strokeweight=".75pt" strokecolor="#3366ff">
              <v:stroke dashstyle="dash"/>
            </v:line>
            <v:line style="position:absolute" from="9255,2175" to="9255,2835" stroked="true" strokeweight=".75pt" strokecolor="#3366ff">
              <v:stroke dashstyle="dash"/>
            </v:line>
            <v:line style="position:absolute" from="8280,3000" to="7755,2745" stroked="true" strokeweight=".75pt" strokecolor="#3366ff">
              <v:stroke dashstyle="dash"/>
            </v:line>
            <v:line style="position:absolute" from="8505,3735" to="8130,4065" stroked="true" strokeweight=".75pt" strokecolor="#3366ff">
              <v:stroke dashstyle="dash"/>
            </v:line>
            <v:line style="position:absolute" from="8280,3570" to="5670,4230" stroked="true" strokeweight=".75pt" strokecolor="#3366ff">
              <v:stroke dashstyle="dash"/>
            </v:line>
            <v:line style="position:absolute" from="8280,3330" to="5520,3165" stroked="true" strokeweight=".75pt" strokecolor="#3366ff">
              <v:stroke dashstyle="dash"/>
            </v:line>
            <v:line style="position:absolute" from="7305,3900" to="7305,2910" stroked="true" strokeweight=".75pt" strokecolor="#3366ff">
              <v:stroke dashstyle="dash"/>
            </v:line>
            <v:line style="position:absolute" from="6330,4320" to="5670,4395" stroked="true" strokeweight=".75pt" strokecolor="#3366ff">
              <v:stroke dashstyle="dash"/>
            </v:line>
            <v:line style="position:absolute" from="6330,4155" to="5220,3330" stroked="true" strokeweight=".75pt" strokecolor="#3366ff">
              <v:stroke dashstyle="dash"/>
            </v:line>
            <v:line style="position:absolute" from="4695,4065" to="4545,3330" stroked="true" strokeweight=".75pt" strokecolor="#3366ff">
              <v:stroke dashstyle="dash"/>
            </v:line>
            <v:line style="position:absolute" from="5220,4065" to="6480,2910" stroked="true" strokeweight=".75pt" strokecolor="#3366ff">
              <v:stroke dashstyle="dash"/>
            </v:line>
            <v:shape style="position:absolute;left:6855;top:1022;width:1215;height:240" type="#_x0000_t202" filled="false" stroked="false">
              <v:textbox inset="0,0,0,0">
                <w:txbxContent>
                  <w:p>
                    <w:pPr>
                      <w:spacing w:line="240" w:lineRule="exact" w:before="0"/>
                      <w:ind w:left="0" w:right="-5" w:firstLine="0"/>
                      <w:jc w:val="left"/>
                      <w:rPr>
                        <w:rFonts w:ascii="Times New Roman"/>
                        <w:sz w:val="24"/>
                      </w:rPr>
                    </w:pPr>
                    <w:r>
                      <w:rPr>
                        <w:rFonts w:ascii="Times New Roman"/>
                        <w:sz w:val="24"/>
                      </w:rPr>
                      <w:t>Gob. federal</w:t>
                    </w:r>
                  </w:p>
                </w:txbxContent>
              </v:textbox>
              <w10:wrap type="none"/>
            </v:shape>
            <v:shape style="position:absolute;left:3945;top:1442;width:1155;height:240" type="#_x0000_t202" filled="false" stroked="false">
              <v:textbox inset="0,0,0,0">
                <w:txbxContent>
                  <w:p>
                    <w:pPr>
                      <w:spacing w:line="240" w:lineRule="exact" w:before="0"/>
                      <w:ind w:left="0" w:right="-12" w:firstLine="0"/>
                      <w:jc w:val="left"/>
                      <w:rPr>
                        <w:rFonts w:ascii="Times New Roman"/>
                        <w:sz w:val="24"/>
                      </w:rPr>
                    </w:pPr>
                    <w:r>
                      <w:rPr>
                        <w:rFonts w:ascii="Times New Roman"/>
                        <w:sz w:val="24"/>
                      </w:rPr>
                      <w:t>Gob. estatal</w:t>
                    </w:r>
                  </w:p>
                </w:txbxContent>
              </v:textbox>
              <w10:wrap type="none"/>
            </v:shape>
            <v:shape style="position:absolute;left:8505;top:1772;width:1094;height:240" type="#_x0000_t202" filled="false" stroked="false">
              <v:textbox inset="0,0,0,0">
                <w:txbxContent>
                  <w:p>
                    <w:pPr>
                      <w:spacing w:line="240" w:lineRule="exact" w:before="0"/>
                      <w:ind w:left="0" w:right="-6" w:firstLine="0"/>
                      <w:jc w:val="left"/>
                      <w:rPr>
                        <w:rFonts w:ascii="Times New Roman"/>
                        <w:sz w:val="24"/>
                      </w:rPr>
                    </w:pPr>
                    <w:r>
                      <w:rPr>
                        <w:rFonts w:ascii="Times New Roman"/>
                        <w:sz w:val="24"/>
                      </w:rPr>
                      <w:t>Gob. Local</w:t>
                    </w:r>
                  </w:p>
                </w:txbxContent>
              </v:textbox>
              <w10:wrap type="none"/>
            </v:shape>
            <v:shape style="position:absolute;left:6105;top:2507;width:1095;height:240" type="#_x0000_t202" filled="false" stroked="false">
              <v:textbox inset="0,0,0,0">
                <w:txbxContent>
                  <w:p>
                    <w:pPr>
                      <w:spacing w:line="240" w:lineRule="exact" w:before="0"/>
                      <w:ind w:left="0" w:right="-12" w:firstLine="0"/>
                      <w:jc w:val="left"/>
                      <w:rPr>
                        <w:rFonts w:ascii="Times New Roman" w:hAnsi="Times New Roman"/>
                        <w:sz w:val="24"/>
                      </w:rPr>
                    </w:pPr>
                    <w:r>
                      <w:rPr>
                        <w:rFonts w:ascii="Times New Roman" w:hAnsi="Times New Roman"/>
                        <w:sz w:val="24"/>
                      </w:rPr>
                      <w:t>S.</w:t>
                    </w:r>
                    <w:r>
                      <w:rPr>
                        <w:rFonts w:ascii="Times New Roman" w:hAnsi="Times New Roman"/>
                        <w:spacing w:val="-20"/>
                        <w:sz w:val="24"/>
                      </w:rPr>
                      <w:t> </w:t>
                    </w:r>
                    <w:r>
                      <w:rPr>
                        <w:rFonts w:ascii="Times New Roman" w:hAnsi="Times New Roman"/>
                        <w:sz w:val="24"/>
                      </w:rPr>
                      <w:t>Ecología</w:t>
                    </w:r>
                  </w:p>
                </w:txbxContent>
              </v:textbox>
              <w10:wrap type="none"/>
            </v:shape>
            <v:shape style="position:absolute;left:3570;top:2927;width:1410;height:240" type="#_x0000_t202" filled="false" stroked="false">
              <v:textbox inset="0,0,0,0">
                <w:txbxContent>
                  <w:p>
                    <w:pPr>
                      <w:spacing w:line="240" w:lineRule="exact" w:before="0"/>
                      <w:ind w:left="0" w:right="-9" w:firstLine="0"/>
                      <w:jc w:val="left"/>
                      <w:rPr>
                        <w:rFonts w:ascii="Times New Roman" w:hAnsi="Times New Roman"/>
                        <w:sz w:val="24"/>
                      </w:rPr>
                    </w:pPr>
                    <w:r>
                      <w:rPr>
                        <w:rFonts w:ascii="Times New Roman" w:hAnsi="Times New Roman"/>
                        <w:sz w:val="24"/>
                      </w:rPr>
                      <w:t>Fac.</w:t>
                    </w:r>
                    <w:r>
                      <w:rPr>
                        <w:rFonts w:ascii="Times New Roman" w:hAnsi="Times New Roman"/>
                        <w:spacing w:val="-27"/>
                        <w:sz w:val="24"/>
                      </w:rPr>
                      <w:t> </w:t>
                    </w:r>
                    <w:r>
                      <w:rPr>
                        <w:rFonts w:ascii="Times New Roman" w:hAnsi="Times New Roman"/>
                        <w:sz w:val="24"/>
                      </w:rPr>
                      <w:t>Geografía</w:t>
                    </w:r>
                  </w:p>
                </w:txbxContent>
              </v:textbox>
              <w10:wrap type="none"/>
            </v:shape>
            <v:shape style="position:absolute;left:8415;top:2927;width:1040;height:510" type="#_x0000_t202" filled="false" stroked="false">
              <v:textbox inset="0,0,0,0">
                <w:txbxContent>
                  <w:p>
                    <w:pPr>
                      <w:spacing w:line="242" w:lineRule="exact" w:before="0"/>
                      <w:ind w:left="0" w:right="-13" w:firstLine="0"/>
                      <w:jc w:val="left"/>
                      <w:rPr>
                        <w:rFonts w:ascii="Times New Roman"/>
                        <w:sz w:val="24"/>
                      </w:rPr>
                    </w:pPr>
                    <w:r>
                      <w:rPr>
                        <w:rFonts w:ascii="Times New Roman"/>
                        <w:spacing w:val="-3"/>
                        <w:sz w:val="24"/>
                      </w:rPr>
                      <w:t>Sociedad </w:t>
                    </w:r>
                    <w:r>
                      <w:rPr>
                        <w:rFonts w:ascii="Times New Roman"/>
                        <w:sz w:val="24"/>
                      </w:rPr>
                      <w:t>y</w:t>
                    </w:r>
                  </w:p>
                  <w:p>
                    <w:pPr>
                      <w:spacing w:line="268" w:lineRule="exact" w:before="0"/>
                      <w:ind w:left="0" w:right="-13" w:firstLine="0"/>
                      <w:jc w:val="left"/>
                      <w:rPr>
                        <w:rFonts w:ascii="Times New Roman"/>
                        <w:sz w:val="24"/>
                      </w:rPr>
                    </w:pPr>
                    <w:r>
                      <w:rPr>
                        <w:rFonts w:ascii="Times New Roman"/>
                        <w:sz w:val="24"/>
                      </w:rPr>
                      <w:t>escuelas</w:t>
                    </w:r>
                  </w:p>
                </w:txbxContent>
              </v:textbox>
              <w10:wrap type="none"/>
            </v:shape>
            <v:shape style="position:absolute;left:4680;top:4157;width:690;height:240" type="#_x0000_t202" filled="false" stroked="false">
              <v:textbox inset="0,0,0,0">
                <w:txbxContent>
                  <w:p>
                    <w:pPr>
                      <w:spacing w:line="240" w:lineRule="exact" w:before="0"/>
                      <w:ind w:left="0" w:right="-19" w:firstLine="0"/>
                      <w:jc w:val="left"/>
                      <w:rPr>
                        <w:rFonts w:ascii="Times New Roman" w:hAnsi="Times New Roman"/>
                        <w:sz w:val="24"/>
                      </w:rPr>
                    </w:pPr>
                    <w:r>
                      <w:rPr>
                        <w:rFonts w:ascii="Times New Roman" w:hAnsi="Times New Roman"/>
                        <w:spacing w:val="-1"/>
                        <w:sz w:val="24"/>
                      </w:rPr>
                      <w:t>ONG´s</w:t>
                    </w:r>
                  </w:p>
                </w:txbxContent>
              </v:textbox>
              <w10:wrap type="none"/>
            </v:shape>
            <v:shape style="position:absolute;left:6480;top:3992;width:1125;height:240" type="#_x0000_t202" filled="false" stroked="false">
              <v:textbox inset="0,0,0,0">
                <w:txbxContent>
                  <w:p>
                    <w:pPr>
                      <w:spacing w:line="240" w:lineRule="exact" w:before="0"/>
                      <w:ind w:left="0" w:right="-15" w:firstLine="0"/>
                      <w:jc w:val="left"/>
                      <w:rPr>
                        <w:rFonts w:ascii="Times New Roman"/>
                        <w:sz w:val="24"/>
                      </w:rPr>
                    </w:pPr>
                    <w:r>
                      <w:rPr>
                        <w:rFonts w:ascii="Times New Roman"/>
                        <w:sz w:val="24"/>
                      </w:rPr>
                      <w:t>Org. civiles</w:t>
                    </w:r>
                  </w:p>
                </w:txbxContent>
              </v:textbox>
              <w10:wrap type="none"/>
            </v:shape>
            <v:shape style="position:absolute;left:6405;top:5807;width:930;height:570" type="#_x0000_t202" filled="false" stroked="false">
              <v:textbox inset="0,0,0,0">
                <w:txbxContent>
                  <w:p>
                    <w:pPr>
                      <w:spacing w:line="245" w:lineRule="exact" w:before="0"/>
                      <w:ind w:left="0" w:right="-13" w:firstLine="0"/>
                      <w:jc w:val="left"/>
                      <w:rPr>
                        <w:rFonts w:ascii="Times New Roman"/>
                        <w:sz w:val="24"/>
                      </w:rPr>
                    </w:pPr>
                    <w:r>
                      <w:rPr>
                        <w:rFonts w:ascii="Times New Roman"/>
                        <w:sz w:val="24"/>
                      </w:rPr>
                      <w:t>intereses</w:t>
                    </w:r>
                  </w:p>
                  <w:p>
                    <w:pPr>
                      <w:spacing w:line="271" w:lineRule="exact" w:before="54"/>
                      <w:ind w:left="0" w:right="-17" w:firstLine="0"/>
                      <w:jc w:val="left"/>
                      <w:rPr>
                        <w:rFonts w:ascii="Times New Roman"/>
                        <w:sz w:val="24"/>
                      </w:rPr>
                    </w:pPr>
                    <w:r>
                      <w:rPr>
                        <w:rFonts w:ascii="Times New Roman"/>
                        <w:spacing w:val="-2"/>
                        <w:sz w:val="24"/>
                      </w:rPr>
                      <w:t>conflictos</w:t>
                    </w:r>
                  </w:p>
                </w:txbxContent>
              </v:textbox>
              <w10:wrap type="none"/>
            </v:shape>
            <w10:wrap type="topAndBottom"/>
          </v:group>
        </w:pict>
      </w:r>
    </w:p>
    <w:p>
      <w:pPr>
        <w:pStyle w:val="BodyText"/>
        <w:rPr>
          <w:b/>
          <w:sz w:val="20"/>
        </w:rPr>
      </w:pPr>
    </w:p>
    <w:p>
      <w:pPr>
        <w:pStyle w:val="BodyText"/>
        <w:rPr>
          <w:b/>
          <w:sz w:val="20"/>
        </w:rPr>
      </w:pPr>
    </w:p>
    <w:p>
      <w:pPr>
        <w:pStyle w:val="BodyText"/>
        <w:spacing w:before="11"/>
        <w:rPr>
          <w:b/>
          <w:sz w:val="23"/>
        </w:rPr>
      </w:pPr>
    </w:p>
    <w:p>
      <w:pPr>
        <w:pStyle w:val="BodyText"/>
        <w:spacing w:line="252" w:lineRule="auto"/>
        <w:ind w:left="115" w:right="115"/>
        <w:jc w:val="both"/>
      </w:pPr>
      <w:r>
        <w:rPr>
          <w:w w:val="105"/>
        </w:rPr>
        <w:t>Lo importante aquí no es la cantidad de actores que interactuaron sino la forma en que  esta  interacción se fue dando, por que cabe destacar que nada de esto se había planeado. Con el trato continuo durante más de dos años, en 50 sesiones del </w:t>
      </w:r>
      <w:r>
        <w:rPr>
          <w:spacing w:val="2"/>
          <w:w w:val="105"/>
        </w:rPr>
        <w:t>comité </w:t>
      </w:r>
      <w:r>
        <w:rPr>
          <w:w w:val="105"/>
        </w:rPr>
        <w:t>y </w:t>
      </w:r>
      <w:r>
        <w:rPr>
          <w:spacing w:val="2"/>
          <w:w w:val="105"/>
        </w:rPr>
        <w:t>otras tantas reuniones </w:t>
      </w:r>
      <w:r>
        <w:rPr>
          <w:w w:val="105"/>
        </w:rPr>
        <w:t>en </w:t>
      </w:r>
      <w:r>
        <w:rPr>
          <w:spacing w:val="3"/>
          <w:w w:val="105"/>
        </w:rPr>
        <w:t>diversos </w:t>
      </w:r>
      <w:r>
        <w:rPr>
          <w:w w:val="105"/>
        </w:rPr>
        <w:t>foros, se fue avanzando de una relación ríspida, de choque o de enfrentamiento a una relación cordial y de concertación, en la que se tuvo que dejar a un lado el autoritarismo y las ideas obsesivas, para </w:t>
      </w:r>
      <w:r>
        <w:rPr>
          <w:spacing w:val="-3"/>
          <w:w w:val="105"/>
        </w:rPr>
        <w:t>dar </w:t>
      </w:r>
      <w:r>
        <w:rPr>
          <w:w w:val="105"/>
        </w:rPr>
        <w:t>cabida a lo que en planeación democrática se ha llamado la socialización del gobierno y el empoderamiento de la</w:t>
      </w:r>
      <w:r>
        <w:rPr>
          <w:spacing w:val="-23"/>
          <w:w w:val="105"/>
        </w:rPr>
        <w:t> </w:t>
      </w:r>
      <w:r>
        <w:rPr>
          <w:w w:val="105"/>
        </w:rPr>
        <w:t>sociedad.</w:t>
      </w:r>
    </w:p>
    <w:p>
      <w:pPr>
        <w:pStyle w:val="BodyText"/>
        <w:spacing w:before="5"/>
        <w:rPr>
          <w:sz w:val="20"/>
        </w:rPr>
      </w:pPr>
    </w:p>
    <w:p>
      <w:pPr>
        <w:pStyle w:val="BodyText"/>
        <w:spacing w:line="252" w:lineRule="auto" w:before="1"/>
        <w:ind w:left="115" w:right="122"/>
        <w:jc w:val="both"/>
        <w:rPr>
          <w:sz w:val="24"/>
        </w:rPr>
      </w:pPr>
      <w:r>
        <w:rPr>
          <w:w w:val="105"/>
        </w:rPr>
        <w:t>Conforme el tiempo pasaba se llegaron a detectar las fortalezas y debilidades de cada actor y sector, nos dimos cuenta de la falta de credibilidad de la población hacia el gobierno, de la aparente representatividad de las ONG´s, de la confianza que inspira el sector académico, de la facilidad para obtener información entre dependencias, del poder de convocatoria de los ayuntamientos, de la identificación de líderes de acuerdo a intereses muy particulares, de los riesgos de la inclusión o exclusión de la política, de los conflictos entre gobiernos municipales, de los conflictos ambientales que programas sectoriales anteriores habían causado en la zona, etc</w:t>
      </w:r>
      <w:r>
        <w:rPr>
          <w:w w:val="105"/>
          <w:sz w:val="24"/>
        </w:rPr>
        <w:t>.</w:t>
      </w:r>
    </w:p>
    <w:p>
      <w:pPr>
        <w:pStyle w:val="BodyText"/>
        <w:spacing w:line="201" w:lineRule="exact"/>
        <w:ind w:left="115"/>
        <w:jc w:val="both"/>
      </w:pPr>
      <w:r>
        <w:rPr>
          <w:w w:val="105"/>
        </w:rPr>
        <w:t>Con estos antecedentes se optó por aprovechar las fortalezas de un sector para mitigar las   limitantes</w:t>
      </w:r>
    </w:p>
    <w:p>
      <w:pPr>
        <w:pStyle w:val="BodyText"/>
        <w:spacing w:before="21"/>
        <w:ind w:left="115"/>
        <w:jc w:val="both"/>
      </w:pPr>
      <w:r>
        <w:rPr>
          <w:w w:val="105"/>
        </w:rPr>
        <w:t>de otro, por ejemplo, para la conducción de los foros y talleres la Facultad infundía más confianza para</w:t>
      </w:r>
    </w:p>
    <w:p>
      <w:pPr>
        <w:spacing w:after="0"/>
        <w:jc w:val="both"/>
        <w:sectPr>
          <w:pgSz w:w="12240" w:h="15840"/>
          <w:pgMar w:header="0" w:footer="711" w:top="1360" w:bottom="900" w:left="1580" w:right="1300"/>
        </w:sectPr>
      </w:pPr>
    </w:p>
    <w:p>
      <w:pPr>
        <w:pStyle w:val="BodyText"/>
        <w:spacing w:line="247" w:lineRule="auto" w:before="66"/>
        <w:ind w:left="115" w:right="103"/>
        <w:jc w:val="both"/>
      </w:pPr>
      <w:r>
        <w:rPr>
          <w:w w:val="105"/>
        </w:rPr>
        <w:t>participar que el gobierno, para gestionar recorridos de campo y entrevistas con autoridades municipales la vía más fácil era a través de la Secretaría de Ecología.</w:t>
      </w:r>
    </w:p>
    <w:p>
      <w:pPr>
        <w:pStyle w:val="BodyText"/>
        <w:spacing w:before="10"/>
        <w:rPr>
          <w:sz w:val="20"/>
        </w:rPr>
      </w:pPr>
    </w:p>
    <w:p>
      <w:pPr>
        <w:pStyle w:val="BodyText"/>
        <w:spacing w:line="252" w:lineRule="auto"/>
        <w:ind w:left="115" w:right="105"/>
        <w:jc w:val="both"/>
      </w:pPr>
      <w:r>
        <w:rPr>
          <w:w w:val="105"/>
        </w:rPr>
        <w:t>Se podrá cuestionar sobre la representatividad de los asistentes a los talleres, ya que de los 24 foros realizados a lo largo del estudio se sumaron menos de 1000 asistentes, incluyendo las autoridades de los tres órdenes de gobierno, de un total de casi 100,000 habitantes de la subcuenca, esto se explica por hechos como:</w:t>
      </w:r>
    </w:p>
    <w:p>
      <w:pPr>
        <w:pStyle w:val="BodyText"/>
        <w:spacing w:before="2"/>
      </w:pPr>
    </w:p>
    <w:p>
      <w:pPr>
        <w:pStyle w:val="BodyText"/>
        <w:spacing w:line="254" w:lineRule="auto"/>
        <w:ind w:left="460" w:right="116" w:hanging="345"/>
        <w:jc w:val="both"/>
      </w:pPr>
      <w:r>
        <w:rPr>
          <w:rFonts w:ascii="Wingdings" w:hAnsi="Wingdings"/>
          <w:w w:val="105"/>
        </w:rPr>
        <w:t></w:t>
      </w:r>
      <w:r>
        <w:rPr>
          <w:rFonts w:ascii="Times New Roman" w:hAnsi="Times New Roman"/>
          <w:w w:val="105"/>
        </w:rPr>
        <w:t> </w:t>
      </w:r>
      <w:r>
        <w:rPr>
          <w:w w:val="105"/>
        </w:rPr>
        <w:t>El poder de convocatoria del gobierno estatal o de los gobiernos municipales para este tipo de foros es bajo. En una primera convocatoria en el año 2000 asistieron 50 personas, para las siguientes reuniones bajó a 35 y 21 respectivamente.</w:t>
      </w:r>
    </w:p>
    <w:p>
      <w:pPr>
        <w:pStyle w:val="BodyText"/>
        <w:spacing w:before="3"/>
        <w:rPr>
          <w:sz w:val="20"/>
        </w:rPr>
      </w:pPr>
    </w:p>
    <w:p>
      <w:pPr>
        <w:pStyle w:val="BodyText"/>
        <w:spacing w:line="247" w:lineRule="auto" w:before="1"/>
        <w:ind w:left="460" w:right="119" w:hanging="345"/>
        <w:jc w:val="both"/>
      </w:pPr>
      <w:r>
        <w:rPr>
          <w:rFonts w:ascii="Wingdings" w:hAnsi="Wingdings"/>
          <w:w w:val="105"/>
        </w:rPr>
        <w:t></w:t>
      </w:r>
      <w:r>
        <w:rPr>
          <w:rFonts w:ascii="Times New Roman" w:hAnsi="Times New Roman"/>
          <w:w w:val="105"/>
        </w:rPr>
        <w:t> </w:t>
      </w:r>
      <w:r>
        <w:rPr>
          <w:w w:val="105"/>
        </w:rPr>
        <w:t>Al principio los foros no cumplían su cometido ya que a la gente no le importaba participar en la elaboración de un plan, lo que ellos demandaban eran servicios y apoyo para sus actividades.</w:t>
      </w:r>
    </w:p>
    <w:p>
      <w:pPr>
        <w:pStyle w:val="BodyText"/>
        <w:spacing w:before="10"/>
        <w:rPr>
          <w:sz w:val="20"/>
        </w:rPr>
      </w:pPr>
    </w:p>
    <w:p>
      <w:pPr>
        <w:pStyle w:val="BodyText"/>
        <w:spacing w:line="247" w:lineRule="auto"/>
        <w:ind w:left="460" w:right="117" w:hanging="345"/>
        <w:jc w:val="both"/>
      </w:pPr>
      <w:r>
        <w:rPr>
          <w:rFonts w:ascii="Wingdings" w:hAnsi="Wingdings"/>
          <w:w w:val="105"/>
        </w:rPr>
        <w:t></w:t>
      </w:r>
      <w:r>
        <w:rPr>
          <w:rFonts w:ascii="Times New Roman" w:hAnsi="Times New Roman"/>
          <w:w w:val="105"/>
        </w:rPr>
        <w:t> </w:t>
      </w:r>
      <w:r>
        <w:rPr>
          <w:w w:val="105"/>
        </w:rPr>
        <w:t>Al iniciar los recorridos a comunidades para invitarlos a los talleres, muchos mostraban interés, sobre todo los campesinos, pero no contaban con recursos para trasladarse al sitio donde se llevaría a cabo el taller.</w:t>
      </w:r>
    </w:p>
    <w:p>
      <w:pPr>
        <w:pStyle w:val="BodyText"/>
        <w:spacing w:before="10"/>
        <w:rPr>
          <w:sz w:val="20"/>
        </w:rPr>
      </w:pPr>
    </w:p>
    <w:p>
      <w:pPr>
        <w:pStyle w:val="BodyText"/>
        <w:spacing w:line="254" w:lineRule="auto"/>
        <w:ind w:left="460" w:right="120" w:hanging="345"/>
        <w:jc w:val="both"/>
      </w:pPr>
      <w:r>
        <w:rPr>
          <w:rFonts w:ascii="Wingdings" w:hAnsi="Wingdings"/>
          <w:w w:val="105"/>
        </w:rPr>
        <w:t></w:t>
      </w:r>
      <w:r>
        <w:rPr>
          <w:rFonts w:ascii="Times New Roman" w:hAnsi="Times New Roman"/>
          <w:w w:val="105"/>
        </w:rPr>
        <w:t> </w:t>
      </w:r>
      <w:r>
        <w:rPr>
          <w:w w:val="105"/>
        </w:rPr>
        <w:t>Para los primeros foros se solicitó el apoyo de las autoridades municipales para convocar, y se observó un sesgo partidista en la elección, sólo convocaban a los delegados municipales, presidentes de bienes comunales o ejidales o a aquellos que apoyaban al ayuntamiento. Con la finalidad de evitar o al menos reducir este sesgo, para los dos últimos talleres las invitaciones fueron personalizadas y firmadas tanto por la Secretaría de Ecología como por la Facultad de Geografía y se solicitó la participación de Ayuntamientos para entregar dichas invitaciones.</w:t>
      </w:r>
    </w:p>
    <w:p>
      <w:pPr>
        <w:pStyle w:val="BodyText"/>
      </w:pPr>
    </w:p>
    <w:p>
      <w:pPr>
        <w:pStyle w:val="BodyText"/>
        <w:spacing w:line="252" w:lineRule="auto"/>
        <w:ind w:left="460" w:right="102" w:hanging="345"/>
        <w:jc w:val="both"/>
      </w:pPr>
      <w:r>
        <w:rPr>
          <w:rFonts w:ascii="Wingdings" w:hAnsi="Wingdings"/>
          <w:w w:val="105"/>
        </w:rPr>
        <w:t></w:t>
      </w:r>
      <w:r>
        <w:rPr>
          <w:rFonts w:ascii="Times New Roman" w:hAnsi="Times New Roman"/>
          <w:w w:val="105"/>
        </w:rPr>
        <w:t> </w:t>
      </w:r>
      <w:r>
        <w:rPr>
          <w:w w:val="105"/>
        </w:rPr>
        <w:t>Para la identificación de actores se concentraron varias listas de organizaciones civiles, administrativas y productivas de los municipios de Amanalco y Valle de Bravo, aportadas por los miembros del comité; así como se conformaron subcomités en los municipios de Villa de Allende, Donato Guerra y Villa Victoria, y finalmente se incluyeron las autoridades municipales de Almoloya de Juárez y Zinacantepec (en estas no existe población dentro de la subcuenca).</w:t>
      </w:r>
    </w:p>
    <w:p>
      <w:pPr>
        <w:pStyle w:val="BodyText"/>
        <w:spacing w:before="5"/>
        <w:rPr>
          <w:sz w:val="20"/>
        </w:rPr>
      </w:pPr>
    </w:p>
    <w:p>
      <w:pPr>
        <w:pStyle w:val="BodyText"/>
        <w:spacing w:line="254" w:lineRule="auto" w:before="1"/>
        <w:ind w:left="460" w:right="103" w:hanging="345"/>
        <w:jc w:val="both"/>
      </w:pPr>
      <w:r>
        <w:rPr>
          <w:rFonts w:ascii="Wingdings" w:hAnsi="Wingdings"/>
          <w:w w:val="105"/>
        </w:rPr>
        <w:t></w:t>
      </w:r>
      <w:r>
        <w:rPr>
          <w:rFonts w:ascii="Times New Roman" w:hAnsi="Times New Roman"/>
          <w:w w:val="105"/>
        </w:rPr>
        <w:t> </w:t>
      </w:r>
      <w:r>
        <w:rPr>
          <w:w w:val="105"/>
        </w:rPr>
        <w:t>La cercanía de los procesos electorales tanto para diputaciones locales como para presidencias municipales influyó drásticamente en el proyecto, debido a que se tuvieron que cancelar las visitas a comunidades y foros masivos, ya que estas eran realizadas conjuntamente con la Facultad de Geografía, la Secretaría de Ecología y los Ayuntamientos, ante esta perspectiva se tomó la decisión que en lo sucesivo, la Facultad de Geografía realizaría los recorridos necesarios con una visión de investigación y sin la presencia de autoridades.</w:t>
      </w:r>
    </w:p>
    <w:p>
      <w:pPr>
        <w:pStyle w:val="BodyText"/>
      </w:pPr>
    </w:p>
    <w:p>
      <w:pPr>
        <w:pStyle w:val="BodyText"/>
        <w:spacing w:line="252" w:lineRule="auto"/>
        <w:ind w:left="115" w:right="102"/>
        <w:jc w:val="both"/>
      </w:pPr>
      <w:r>
        <w:rPr>
          <w:w w:val="105"/>
        </w:rPr>
        <w:t>Estas son sólo algunas de las circunstancias que influyeron en el proceso de participación ciudadana, podríamos concluir que participaron quienes tuvieron el interés de hacerlo y el deseo de comprometerse para darle seguimiento, que considero es más válido que haber logrado una muestra representativa de la población sin lograr un compromiso y sobre todo una capacidad replicadora.</w:t>
      </w:r>
    </w:p>
    <w:p>
      <w:pPr>
        <w:pStyle w:val="BodyText"/>
        <w:spacing w:before="5"/>
        <w:rPr>
          <w:sz w:val="20"/>
        </w:rPr>
      </w:pPr>
    </w:p>
    <w:p>
      <w:pPr>
        <w:pStyle w:val="BodyText"/>
        <w:spacing w:line="254" w:lineRule="auto" w:before="1"/>
        <w:ind w:left="115" w:right="102"/>
        <w:jc w:val="both"/>
      </w:pPr>
      <w:r>
        <w:rPr>
          <w:w w:val="105"/>
        </w:rPr>
        <w:t>Al referirme a capacidad replicadora, hago énfasis en aquellos sectores y actores plenamente convencidos de la trascendencia del programa de ordenamiento ecológico, que, utilizando su poder educativo, social, político, económico o administrativo, impulsarán la ejecución del mismo; esto es las ONG´s, la escuela secundaria y preparatoria de Amanalco, las autoridades municipales ahora en su papel de ciudadanos, las delegaciones de las diferentes dependencias gubernamentales, las asociaciones civiles, la Facultad de Geografía, entre otros.</w:t>
      </w:r>
    </w:p>
    <w:p>
      <w:pPr>
        <w:pStyle w:val="BodyText"/>
      </w:pPr>
    </w:p>
    <w:p>
      <w:pPr>
        <w:pStyle w:val="BodyText"/>
        <w:spacing w:line="254" w:lineRule="auto"/>
        <w:ind w:left="115" w:right="102"/>
        <w:jc w:val="both"/>
      </w:pPr>
      <w:r>
        <w:rPr>
          <w:w w:val="105"/>
        </w:rPr>
        <w:t>Y esto ya se está reflejando en la actualidad, es notable ver en los comunicados de prensa de la Secretaría de Desarrollo Agropecuario del Estado de México, que sus programas a corto y mediano plazo están basados en el programa de ordenamiento; es satisfactorio apreciar como las organizaciones civiles que participaron en los talleres promueven el ordenamiento cuando asisten a foros de consulta de otros instrumentos de planeación; en las páginas de internet de las ONG´s tienen</w:t>
      </w:r>
    </w:p>
    <w:p>
      <w:pPr>
        <w:spacing w:after="0" w:line="254" w:lineRule="auto"/>
        <w:jc w:val="both"/>
        <w:sectPr>
          <w:pgSz w:w="12240" w:h="15840"/>
          <w:pgMar w:header="0" w:footer="711" w:top="1360" w:bottom="900" w:left="1580" w:right="1320"/>
        </w:sectPr>
      </w:pPr>
    </w:p>
    <w:p>
      <w:pPr>
        <w:pStyle w:val="BodyText"/>
        <w:spacing w:line="252" w:lineRule="auto" w:before="66"/>
        <w:ind w:left="115" w:right="115"/>
        <w:jc w:val="both"/>
      </w:pPr>
      <w:r>
        <w:rPr>
          <w:w w:val="105"/>
        </w:rPr>
        <w:t>un apartado especial de su participación en el ordenamiento; Fondo Pro Cuenca Valle de Bravo A.C. retomó el formato de los programas de radio que se hicieron para el ordenamiento y en lo que va del año continua con programas semanales de contenido ambiental; la Comisión Nacional del Agua reconoce al programa como complemento del programa hidráulico y de saneamiento de la cuenca que ellos elaboran; incluso nos informaron que el ordenamiento ecológico fue bandera política de algunos candidatos durante las pasadas elecciones para presidentes municipales. Estos son sólo los primeros frutos prácticos del programa, pero estamos seguros que con constancia, trabajo y creatividad, la lista puede crecer en poco tiempo.</w:t>
      </w:r>
    </w:p>
    <w:p>
      <w:pPr>
        <w:pStyle w:val="BodyText"/>
      </w:pPr>
    </w:p>
    <w:p>
      <w:pPr>
        <w:pStyle w:val="Heading1"/>
      </w:pPr>
      <w:r>
        <w:rPr/>
        <w:t>5.-APROPIACIÓN DEL PROGRAMA</w:t>
      </w:r>
    </w:p>
    <w:p>
      <w:pPr>
        <w:pStyle w:val="BodyText"/>
        <w:spacing w:before="5"/>
        <w:rPr>
          <w:b/>
          <w:sz w:val="20"/>
        </w:rPr>
      </w:pPr>
    </w:p>
    <w:p>
      <w:pPr>
        <w:pStyle w:val="BodyText"/>
        <w:spacing w:line="254" w:lineRule="auto" w:before="1"/>
        <w:ind w:left="115" w:right="130"/>
        <w:jc w:val="both"/>
      </w:pPr>
      <w:r>
        <w:rPr>
          <w:w w:val="105"/>
        </w:rPr>
        <w:t>El término apropiación para estos fines en particular, puede definirse como el sentirse incluido y considerado en la toma de decisiones. No podríamos asumir que este objetivo se ha cumplido, pero</w:t>
      </w:r>
      <w:r>
        <w:rPr>
          <w:spacing w:val="55"/>
          <w:w w:val="105"/>
        </w:rPr>
        <w:t> </w:t>
      </w:r>
      <w:r>
        <w:rPr>
          <w:w w:val="105"/>
        </w:rPr>
        <w:t>se han dado los primeros pasos, a continuación se enlistan los factores de éxito identificados durante el proceso que de alguna manera podrían coadyuvar al logro de la apropiación del programa, sobre todo de aquellos responsables de su</w:t>
      </w:r>
      <w:r>
        <w:rPr>
          <w:spacing w:val="-23"/>
          <w:w w:val="105"/>
        </w:rPr>
        <w:t> </w:t>
      </w:r>
      <w:r>
        <w:rPr>
          <w:w w:val="105"/>
        </w:rPr>
        <w:t>ejecución.</w:t>
      </w:r>
    </w:p>
    <w:p>
      <w:pPr>
        <w:pStyle w:val="BodyText"/>
      </w:pPr>
    </w:p>
    <w:p>
      <w:pPr>
        <w:pStyle w:val="ListParagraph"/>
        <w:numPr>
          <w:ilvl w:val="0"/>
          <w:numId w:val="6"/>
        </w:numPr>
        <w:tabs>
          <w:tab w:pos="835" w:val="left" w:leader="none"/>
        </w:tabs>
        <w:spacing w:line="240" w:lineRule="auto" w:before="0" w:after="0"/>
        <w:ind w:left="835" w:right="0" w:hanging="360"/>
        <w:jc w:val="left"/>
        <w:rPr>
          <w:sz w:val="19"/>
        </w:rPr>
      </w:pPr>
      <w:r>
        <w:rPr>
          <w:w w:val="105"/>
          <w:sz w:val="19"/>
        </w:rPr>
        <w:t>•Establecer compromisos</w:t>
      </w:r>
      <w:r>
        <w:rPr>
          <w:spacing w:val="-27"/>
          <w:w w:val="105"/>
          <w:sz w:val="19"/>
        </w:rPr>
        <w:t> </w:t>
      </w:r>
      <w:r>
        <w:rPr>
          <w:w w:val="105"/>
          <w:sz w:val="19"/>
        </w:rPr>
        <w:t>(convenios).</w:t>
      </w:r>
    </w:p>
    <w:p>
      <w:pPr>
        <w:pStyle w:val="BodyText"/>
        <w:spacing w:before="5"/>
        <w:rPr>
          <w:sz w:val="21"/>
        </w:rPr>
      </w:pPr>
    </w:p>
    <w:p>
      <w:pPr>
        <w:pStyle w:val="ListParagraph"/>
        <w:numPr>
          <w:ilvl w:val="0"/>
          <w:numId w:val="6"/>
        </w:numPr>
        <w:tabs>
          <w:tab w:pos="835" w:val="left" w:leader="none"/>
        </w:tabs>
        <w:spacing w:line="240" w:lineRule="auto" w:before="0" w:after="0"/>
        <w:ind w:left="835" w:right="0" w:hanging="360"/>
        <w:jc w:val="left"/>
        <w:rPr>
          <w:sz w:val="19"/>
        </w:rPr>
      </w:pPr>
      <w:r>
        <w:rPr>
          <w:w w:val="105"/>
          <w:sz w:val="19"/>
        </w:rPr>
        <w:t>•Involucramiento</w:t>
      </w:r>
      <w:r>
        <w:rPr>
          <w:spacing w:val="-4"/>
          <w:w w:val="105"/>
          <w:sz w:val="19"/>
        </w:rPr>
        <w:t> </w:t>
      </w:r>
      <w:r>
        <w:rPr>
          <w:w w:val="105"/>
          <w:sz w:val="19"/>
        </w:rPr>
        <w:t>de</w:t>
      </w:r>
      <w:r>
        <w:rPr>
          <w:spacing w:val="-4"/>
          <w:w w:val="105"/>
          <w:sz w:val="19"/>
        </w:rPr>
        <w:t> </w:t>
      </w:r>
      <w:r>
        <w:rPr>
          <w:w w:val="105"/>
          <w:sz w:val="19"/>
        </w:rPr>
        <w:t>los</w:t>
      </w:r>
      <w:r>
        <w:rPr>
          <w:spacing w:val="-4"/>
          <w:w w:val="105"/>
          <w:sz w:val="19"/>
        </w:rPr>
        <w:t> </w:t>
      </w:r>
      <w:r>
        <w:rPr>
          <w:w w:val="105"/>
          <w:sz w:val="19"/>
        </w:rPr>
        <w:t>sectores</w:t>
      </w:r>
      <w:r>
        <w:rPr>
          <w:spacing w:val="-4"/>
          <w:w w:val="105"/>
          <w:sz w:val="19"/>
        </w:rPr>
        <w:t> </w:t>
      </w:r>
      <w:r>
        <w:rPr>
          <w:w w:val="105"/>
          <w:sz w:val="19"/>
        </w:rPr>
        <w:t>gubernamentales</w:t>
      </w:r>
      <w:r>
        <w:rPr>
          <w:spacing w:val="-4"/>
          <w:w w:val="105"/>
          <w:sz w:val="19"/>
        </w:rPr>
        <w:t> </w:t>
      </w:r>
      <w:r>
        <w:rPr>
          <w:w w:val="105"/>
          <w:sz w:val="19"/>
        </w:rPr>
        <w:t>y</w:t>
      </w:r>
      <w:r>
        <w:rPr>
          <w:spacing w:val="-4"/>
          <w:w w:val="105"/>
          <w:sz w:val="19"/>
        </w:rPr>
        <w:t> </w:t>
      </w:r>
      <w:r>
        <w:rPr>
          <w:w w:val="105"/>
          <w:sz w:val="19"/>
        </w:rPr>
        <w:t>de</w:t>
      </w:r>
      <w:r>
        <w:rPr>
          <w:spacing w:val="-4"/>
          <w:w w:val="105"/>
          <w:sz w:val="19"/>
        </w:rPr>
        <w:t> </w:t>
      </w:r>
      <w:r>
        <w:rPr>
          <w:w w:val="105"/>
          <w:sz w:val="19"/>
        </w:rPr>
        <w:t>los</w:t>
      </w:r>
      <w:r>
        <w:rPr>
          <w:spacing w:val="-4"/>
          <w:w w:val="105"/>
          <w:sz w:val="19"/>
        </w:rPr>
        <w:t> </w:t>
      </w:r>
      <w:r>
        <w:rPr>
          <w:w w:val="105"/>
          <w:sz w:val="19"/>
        </w:rPr>
        <w:t>actores</w:t>
      </w:r>
      <w:r>
        <w:rPr>
          <w:spacing w:val="-4"/>
          <w:w w:val="105"/>
          <w:sz w:val="19"/>
        </w:rPr>
        <w:t> </w:t>
      </w:r>
      <w:r>
        <w:rPr>
          <w:w w:val="105"/>
          <w:sz w:val="19"/>
        </w:rPr>
        <w:t>(formalización</w:t>
      </w:r>
      <w:r>
        <w:rPr>
          <w:spacing w:val="-4"/>
          <w:w w:val="105"/>
          <w:sz w:val="19"/>
        </w:rPr>
        <w:t> </w:t>
      </w:r>
      <w:r>
        <w:rPr>
          <w:w w:val="105"/>
          <w:sz w:val="19"/>
        </w:rPr>
        <w:t>del</w:t>
      </w:r>
      <w:r>
        <w:rPr>
          <w:spacing w:val="-4"/>
          <w:w w:val="105"/>
          <w:sz w:val="19"/>
        </w:rPr>
        <w:t> </w:t>
      </w:r>
      <w:r>
        <w:rPr>
          <w:w w:val="105"/>
          <w:sz w:val="19"/>
        </w:rPr>
        <w:t>comité).</w:t>
      </w:r>
    </w:p>
    <w:p>
      <w:pPr>
        <w:pStyle w:val="BodyText"/>
        <w:spacing w:before="5"/>
        <w:rPr>
          <w:sz w:val="21"/>
        </w:rPr>
      </w:pPr>
    </w:p>
    <w:p>
      <w:pPr>
        <w:pStyle w:val="ListParagraph"/>
        <w:numPr>
          <w:ilvl w:val="0"/>
          <w:numId w:val="6"/>
        </w:numPr>
        <w:tabs>
          <w:tab w:pos="835" w:val="left" w:leader="none"/>
        </w:tabs>
        <w:spacing w:line="240" w:lineRule="auto" w:before="0" w:after="0"/>
        <w:ind w:left="835" w:right="0" w:hanging="360"/>
        <w:jc w:val="left"/>
        <w:rPr>
          <w:sz w:val="19"/>
        </w:rPr>
      </w:pPr>
      <w:r>
        <w:rPr>
          <w:w w:val="105"/>
          <w:sz w:val="19"/>
        </w:rPr>
        <w:t>•Promover la participación de acuerdo a intereses</w:t>
      </w:r>
      <w:r>
        <w:rPr>
          <w:spacing w:val="-22"/>
          <w:w w:val="105"/>
          <w:sz w:val="19"/>
        </w:rPr>
        <w:t> </w:t>
      </w:r>
      <w:r>
        <w:rPr>
          <w:w w:val="105"/>
          <w:sz w:val="19"/>
        </w:rPr>
        <w:t>locales.</w:t>
      </w:r>
    </w:p>
    <w:p>
      <w:pPr>
        <w:pStyle w:val="BodyText"/>
        <w:spacing w:before="1"/>
        <w:rPr>
          <w:sz w:val="20"/>
        </w:rPr>
      </w:pPr>
    </w:p>
    <w:p>
      <w:pPr>
        <w:pStyle w:val="ListParagraph"/>
        <w:numPr>
          <w:ilvl w:val="0"/>
          <w:numId w:val="6"/>
        </w:numPr>
        <w:tabs>
          <w:tab w:pos="835" w:val="left" w:leader="none"/>
        </w:tabs>
        <w:spacing w:line="240" w:lineRule="auto" w:before="0" w:after="0"/>
        <w:ind w:left="835" w:right="0" w:hanging="360"/>
        <w:jc w:val="left"/>
        <w:rPr>
          <w:sz w:val="19"/>
        </w:rPr>
      </w:pPr>
      <w:r>
        <w:rPr>
          <w:w w:val="105"/>
          <w:sz w:val="19"/>
        </w:rPr>
        <w:t>•Flexibilidad y</w:t>
      </w:r>
      <w:r>
        <w:rPr>
          <w:spacing w:val="-39"/>
          <w:w w:val="105"/>
          <w:sz w:val="19"/>
        </w:rPr>
        <w:t> </w:t>
      </w:r>
      <w:r>
        <w:rPr>
          <w:w w:val="105"/>
          <w:sz w:val="19"/>
        </w:rPr>
        <w:t>Transparencia</w:t>
      </w:r>
    </w:p>
    <w:p>
      <w:pPr>
        <w:pStyle w:val="BodyText"/>
        <w:spacing w:before="5"/>
        <w:rPr>
          <w:sz w:val="21"/>
        </w:rPr>
      </w:pPr>
    </w:p>
    <w:p>
      <w:pPr>
        <w:pStyle w:val="ListParagraph"/>
        <w:numPr>
          <w:ilvl w:val="0"/>
          <w:numId w:val="6"/>
        </w:numPr>
        <w:tabs>
          <w:tab w:pos="835" w:val="left" w:leader="none"/>
        </w:tabs>
        <w:spacing w:line="240" w:lineRule="auto" w:before="0" w:after="0"/>
        <w:ind w:left="835" w:right="0" w:hanging="360"/>
        <w:jc w:val="left"/>
        <w:rPr>
          <w:sz w:val="19"/>
        </w:rPr>
      </w:pPr>
      <w:r>
        <w:rPr>
          <w:w w:val="105"/>
          <w:sz w:val="19"/>
        </w:rPr>
        <w:t>•Inclusión en lo político y exclusión de la</w:t>
      </w:r>
      <w:r>
        <w:rPr>
          <w:spacing w:val="-4"/>
          <w:w w:val="105"/>
          <w:sz w:val="19"/>
        </w:rPr>
        <w:t> </w:t>
      </w:r>
      <w:r>
        <w:rPr>
          <w:w w:val="105"/>
          <w:sz w:val="19"/>
        </w:rPr>
        <w:t>política</w:t>
      </w:r>
    </w:p>
    <w:p>
      <w:pPr>
        <w:pStyle w:val="BodyText"/>
        <w:spacing w:before="5"/>
        <w:rPr>
          <w:sz w:val="21"/>
        </w:rPr>
      </w:pPr>
    </w:p>
    <w:p>
      <w:pPr>
        <w:pStyle w:val="ListParagraph"/>
        <w:numPr>
          <w:ilvl w:val="0"/>
          <w:numId w:val="6"/>
        </w:numPr>
        <w:tabs>
          <w:tab w:pos="834" w:val="left" w:leader="none"/>
          <w:tab w:pos="835" w:val="left" w:leader="none"/>
        </w:tabs>
        <w:spacing w:line="240" w:lineRule="auto" w:before="0" w:after="0"/>
        <w:ind w:left="835" w:right="0" w:hanging="360"/>
        <w:jc w:val="left"/>
        <w:rPr>
          <w:sz w:val="19"/>
        </w:rPr>
      </w:pPr>
      <w:r>
        <w:rPr>
          <w:w w:val="105"/>
          <w:sz w:val="19"/>
        </w:rPr>
        <w:t>•Crear mecanismos de inclusión de actores entre</w:t>
      </w:r>
      <w:r>
        <w:rPr>
          <w:spacing w:val="-22"/>
          <w:w w:val="105"/>
          <w:sz w:val="19"/>
        </w:rPr>
        <w:t> </w:t>
      </w:r>
      <w:r>
        <w:rPr>
          <w:w w:val="105"/>
          <w:sz w:val="19"/>
        </w:rPr>
        <w:t>todos</w:t>
      </w:r>
    </w:p>
    <w:p>
      <w:pPr>
        <w:pStyle w:val="BodyText"/>
        <w:spacing w:before="1"/>
        <w:rPr>
          <w:sz w:val="20"/>
        </w:rPr>
      </w:pPr>
    </w:p>
    <w:p>
      <w:pPr>
        <w:pStyle w:val="ListParagraph"/>
        <w:numPr>
          <w:ilvl w:val="0"/>
          <w:numId w:val="6"/>
        </w:numPr>
        <w:tabs>
          <w:tab w:pos="894" w:val="left" w:leader="none"/>
          <w:tab w:pos="895" w:val="left" w:leader="none"/>
        </w:tabs>
        <w:spacing w:line="240" w:lineRule="auto" w:before="0" w:after="0"/>
        <w:ind w:left="895" w:right="0" w:hanging="420"/>
        <w:jc w:val="left"/>
        <w:rPr>
          <w:sz w:val="19"/>
        </w:rPr>
      </w:pPr>
      <w:r>
        <w:rPr>
          <w:w w:val="105"/>
          <w:sz w:val="19"/>
        </w:rPr>
        <w:t>Crear</w:t>
      </w:r>
      <w:r>
        <w:rPr>
          <w:spacing w:val="-5"/>
          <w:w w:val="105"/>
          <w:sz w:val="19"/>
        </w:rPr>
        <w:t> </w:t>
      </w:r>
      <w:r>
        <w:rPr>
          <w:w w:val="105"/>
          <w:sz w:val="19"/>
        </w:rPr>
        <w:t>mecanismos</w:t>
      </w:r>
      <w:r>
        <w:rPr>
          <w:spacing w:val="-4"/>
          <w:w w:val="105"/>
          <w:sz w:val="19"/>
        </w:rPr>
        <w:t> </w:t>
      </w:r>
      <w:r>
        <w:rPr>
          <w:w w:val="105"/>
          <w:sz w:val="19"/>
        </w:rPr>
        <w:t>de</w:t>
      </w:r>
      <w:r>
        <w:rPr>
          <w:spacing w:val="-4"/>
          <w:w w:val="105"/>
          <w:sz w:val="19"/>
        </w:rPr>
        <w:t> </w:t>
      </w:r>
      <w:r>
        <w:rPr>
          <w:w w:val="105"/>
          <w:sz w:val="19"/>
        </w:rPr>
        <w:t>difusión,</w:t>
      </w:r>
      <w:r>
        <w:rPr>
          <w:spacing w:val="-4"/>
          <w:w w:val="105"/>
          <w:sz w:val="19"/>
        </w:rPr>
        <w:t> </w:t>
      </w:r>
      <w:r>
        <w:rPr>
          <w:w w:val="105"/>
          <w:sz w:val="19"/>
        </w:rPr>
        <w:t>divulgación</w:t>
      </w:r>
      <w:r>
        <w:rPr>
          <w:spacing w:val="-4"/>
          <w:w w:val="105"/>
          <w:sz w:val="19"/>
        </w:rPr>
        <w:t> </w:t>
      </w:r>
      <w:r>
        <w:rPr>
          <w:w w:val="105"/>
          <w:sz w:val="19"/>
        </w:rPr>
        <w:t>e</w:t>
      </w:r>
      <w:r>
        <w:rPr>
          <w:spacing w:val="-4"/>
          <w:w w:val="105"/>
          <w:sz w:val="19"/>
        </w:rPr>
        <w:t> </w:t>
      </w:r>
      <w:r>
        <w:rPr>
          <w:w w:val="105"/>
          <w:sz w:val="19"/>
        </w:rPr>
        <w:t>instrumentación</w:t>
      </w:r>
      <w:r>
        <w:rPr>
          <w:spacing w:val="-4"/>
          <w:w w:val="105"/>
          <w:sz w:val="19"/>
        </w:rPr>
        <w:t> </w:t>
      </w:r>
      <w:r>
        <w:rPr>
          <w:w w:val="105"/>
          <w:sz w:val="19"/>
        </w:rPr>
        <w:t>en</w:t>
      </w:r>
      <w:r>
        <w:rPr>
          <w:spacing w:val="-4"/>
          <w:w w:val="105"/>
          <w:sz w:val="19"/>
        </w:rPr>
        <w:t> </w:t>
      </w:r>
      <w:r>
        <w:rPr>
          <w:w w:val="105"/>
          <w:sz w:val="19"/>
        </w:rPr>
        <w:t>todas</w:t>
      </w:r>
      <w:r>
        <w:rPr>
          <w:spacing w:val="-4"/>
          <w:w w:val="105"/>
          <w:sz w:val="19"/>
        </w:rPr>
        <w:t> </w:t>
      </w:r>
      <w:r>
        <w:rPr>
          <w:w w:val="105"/>
          <w:sz w:val="19"/>
        </w:rPr>
        <w:t>las</w:t>
      </w:r>
      <w:r>
        <w:rPr>
          <w:spacing w:val="-4"/>
          <w:w w:val="105"/>
          <w:sz w:val="19"/>
        </w:rPr>
        <w:t> </w:t>
      </w:r>
      <w:r>
        <w:rPr>
          <w:w w:val="105"/>
          <w:sz w:val="19"/>
        </w:rPr>
        <w:t>comunidades.</w:t>
      </w:r>
    </w:p>
    <w:p>
      <w:pPr>
        <w:pStyle w:val="BodyText"/>
        <w:spacing w:before="5"/>
        <w:rPr>
          <w:sz w:val="21"/>
        </w:rPr>
      </w:pPr>
    </w:p>
    <w:p>
      <w:pPr>
        <w:pStyle w:val="ListParagraph"/>
        <w:numPr>
          <w:ilvl w:val="0"/>
          <w:numId w:val="6"/>
        </w:numPr>
        <w:tabs>
          <w:tab w:pos="894" w:val="left" w:leader="none"/>
          <w:tab w:pos="895" w:val="left" w:leader="none"/>
        </w:tabs>
        <w:spacing w:line="240" w:lineRule="auto" w:before="0" w:after="0"/>
        <w:ind w:left="895" w:right="0" w:hanging="420"/>
        <w:jc w:val="left"/>
        <w:rPr>
          <w:sz w:val="19"/>
        </w:rPr>
      </w:pPr>
      <w:r>
        <w:rPr>
          <w:w w:val="105"/>
          <w:sz w:val="19"/>
        </w:rPr>
        <w:t>Informar de lo que es y no es el ordenamiento (no crear falsas</w:t>
      </w:r>
      <w:r>
        <w:rPr>
          <w:spacing w:val="-18"/>
          <w:w w:val="105"/>
          <w:sz w:val="19"/>
        </w:rPr>
        <w:t> </w:t>
      </w:r>
      <w:r>
        <w:rPr>
          <w:w w:val="105"/>
          <w:sz w:val="19"/>
        </w:rPr>
        <w:t>expectativas).</w:t>
      </w:r>
    </w:p>
    <w:p>
      <w:pPr>
        <w:pStyle w:val="BodyText"/>
        <w:spacing w:before="5"/>
        <w:rPr>
          <w:sz w:val="21"/>
        </w:rPr>
      </w:pPr>
    </w:p>
    <w:p>
      <w:pPr>
        <w:pStyle w:val="ListParagraph"/>
        <w:numPr>
          <w:ilvl w:val="0"/>
          <w:numId w:val="6"/>
        </w:numPr>
        <w:tabs>
          <w:tab w:pos="894" w:val="left" w:leader="none"/>
          <w:tab w:pos="895" w:val="left" w:leader="none"/>
        </w:tabs>
        <w:spacing w:line="247" w:lineRule="auto" w:before="0" w:after="0"/>
        <w:ind w:left="835" w:right="123" w:hanging="360"/>
        <w:jc w:val="left"/>
        <w:rPr>
          <w:sz w:val="19"/>
        </w:rPr>
      </w:pPr>
      <w:r>
        <w:rPr>
          <w:w w:val="105"/>
          <w:sz w:val="19"/>
        </w:rPr>
        <w:t>Concentrar en la bitácora ambiental toda la información relacionada con la región (investigación,</w:t>
      </w:r>
      <w:r>
        <w:rPr>
          <w:spacing w:val="-9"/>
          <w:w w:val="105"/>
          <w:sz w:val="19"/>
        </w:rPr>
        <w:t> </w:t>
      </w:r>
      <w:r>
        <w:rPr>
          <w:spacing w:val="2"/>
          <w:w w:val="105"/>
          <w:sz w:val="19"/>
        </w:rPr>
        <w:t>programas</w:t>
      </w:r>
      <w:r>
        <w:rPr>
          <w:spacing w:val="-9"/>
          <w:w w:val="105"/>
          <w:sz w:val="19"/>
        </w:rPr>
        <w:t> </w:t>
      </w:r>
      <w:r>
        <w:rPr>
          <w:w w:val="105"/>
          <w:sz w:val="19"/>
        </w:rPr>
        <w:t>sectoriales,</w:t>
      </w:r>
      <w:r>
        <w:rPr>
          <w:spacing w:val="-9"/>
          <w:w w:val="105"/>
          <w:sz w:val="19"/>
        </w:rPr>
        <w:t> </w:t>
      </w:r>
      <w:r>
        <w:rPr>
          <w:w w:val="105"/>
          <w:sz w:val="19"/>
        </w:rPr>
        <w:t>monitoreo,</w:t>
      </w:r>
      <w:r>
        <w:rPr>
          <w:spacing w:val="-9"/>
          <w:w w:val="105"/>
          <w:sz w:val="19"/>
        </w:rPr>
        <w:t> </w:t>
      </w:r>
      <w:r>
        <w:rPr>
          <w:w w:val="105"/>
          <w:sz w:val="19"/>
        </w:rPr>
        <w:t>nuevos</w:t>
      </w:r>
      <w:r>
        <w:rPr>
          <w:spacing w:val="-9"/>
          <w:w w:val="105"/>
          <w:sz w:val="19"/>
        </w:rPr>
        <w:t> </w:t>
      </w:r>
      <w:r>
        <w:rPr>
          <w:w w:val="105"/>
          <w:sz w:val="19"/>
        </w:rPr>
        <w:t>proyectos,</w:t>
      </w:r>
      <w:r>
        <w:rPr>
          <w:spacing w:val="-9"/>
          <w:w w:val="105"/>
          <w:sz w:val="19"/>
        </w:rPr>
        <w:t> </w:t>
      </w:r>
      <w:r>
        <w:rPr>
          <w:w w:val="105"/>
          <w:sz w:val="19"/>
        </w:rPr>
        <w:t>financiamientos,</w:t>
      </w:r>
      <w:r>
        <w:rPr>
          <w:spacing w:val="-9"/>
          <w:w w:val="105"/>
          <w:sz w:val="19"/>
        </w:rPr>
        <w:t> </w:t>
      </w:r>
      <w:r>
        <w:rPr>
          <w:w w:val="105"/>
          <w:sz w:val="19"/>
        </w:rPr>
        <w:t>etc.).</w:t>
      </w:r>
    </w:p>
    <w:p>
      <w:pPr>
        <w:pStyle w:val="BodyText"/>
        <w:spacing w:before="10"/>
        <w:rPr>
          <w:sz w:val="20"/>
        </w:rPr>
      </w:pPr>
    </w:p>
    <w:p>
      <w:pPr>
        <w:pStyle w:val="ListParagraph"/>
        <w:numPr>
          <w:ilvl w:val="0"/>
          <w:numId w:val="6"/>
        </w:numPr>
        <w:tabs>
          <w:tab w:pos="834" w:val="left" w:leader="none"/>
          <w:tab w:pos="835" w:val="left" w:leader="none"/>
        </w:tabs>
        <w:spacing w:line="247" w:lineRule="auto" w:before="0" w:after="0"/>
        <w:ind w:left="835" w:right="155" w:hanging="360"/>
        <w:jc w:val="left"/>
        <w:rPr>
          <w:sz w:val="19"/>
        </w:rPr>
      </w:pPr>
      <w:r>
        <w:rPr>
          <w:w w:val="105"/>
          <w:sz w:val="19"/>
        </w:rPr>
        <w:t>Decodificación de lo técnico (complejo) a acciones concretas (claras y de fácil asimilación</w:t>
      </w:r>
      <w:r>
        <w:rPr>
          <w:spacing w:val="55"/>
          <w:w w:val="105"/>
          <w:sz w:val="19"/>
        </w:rPr>
        <w:t> </w:t>
      </w:r>
      <w:r>
        <w:rPr>
          <w:w w:val="105"/>
          <w:sz w:val="19"/>
        </w:rPr>
        <w:t>para la población en</w:t>
      </w:r>
      <w:r>
        <w:rPr>
          <w:spacing w:val="-34"/>
          <w:w w:val="105"/>
          <w:sz w:val="19"/>
        </w:rPr>
        <w:t> </w:t>
      </w:r>
      <w:r>
        <w:rPr>
          <w:w w:val="105"/>
          <w:sz w:val="19"/>
        </w:rPr>
        <w:t>general).</w:t>
      </w:r>
    </w:p>
    <w:p>
      <w:pPr>
        <w:pStyle w:val="BodyText"/>
        <w:spacing w:before="10"/>
        <w:rPr>
          <w:sz w:val="20"/>
        </w:rPr>
      </w:pPr>
    </w:p>
    <w:p>
      <w:pPr>
        <w:pStyle w:val="ListParagraph"/>
        <w:numPr>
          <w:ilvl w:val="0"/>
          <w:numId w:val="6"/>
        </w:numPr>
        <w:tabs>
          <w:tab w:pos="835" w:val="left" w:leader="none"/>
        </w:tabs>
        <w:spacing w:line="240" w:lineRule="auto" w:before="0" w:after="0"/>
        <w:ind w:left="835" w:right="0" w:hanging="360"/>
        <w:jc w:val="left"/>
        <w:rPr>
          <w:sz w:val="19"/>
        </w:rPr>
      </w:pPr>
      <w:r>
        <w:rPr>
          <w:w w:val="105"/>
          <w:sz w:val="19"/>
        </w:rPr>
        <w:t>Ser</w:t>
      </w:r>
      <w:r>
        <w:rPr>
          <w:spacing w:val="-27"/>
          <w:w w:val="105"/>
          <w:sz w:val="19"/>
        </w:rPr>
        <w:t> </w:t>
      </w:r>
      <w:r>
        <w:rPr>
          <w:w w:val="105"/>
          <w:sz w:val="19"/>
        </w:rPr>
        <w:t>replicadores</w:t>
      </w:r>
    </w:p>
    <w:p>
      <w:pPr>
        <w:pStyle w:val="BodyText"/>
        <w:spacing w:before="1"/>
        <w:rPr>
          <w:sz w:val="20"/>
        </w:rPr>
      </w:pPr>
    </w:p>
    <w:p>
      <w:pPr>
        <w:pStyle w:val="ListParagraph"/>
        <w:numPr>
          <w:ilvl w:val="0"/>
          <w:numId w:val="6"/>
        </w:numPr>
        <w:tabs>
          <w:tab w:pos="834" w:val="left" w:leader="none"/>
          <w:tab w:pos="835" w:val="left" w:leader="none"/>
        </w:tabs>
        <w:spacing w:line="264" w:lineRule="auto" w:before="0" w:after="0"/>
        <w:ind w:left="835" w:right="123" w:hanging="360"/>
        <w:jc w:val="left"/>
        <w:rPr>
          <w:sz w:val="19"/>
        </w:rPr>
      </w:pPr>
      <w:r>
        <w:rPr>
          <w:w w:val="105"/>
          <w:sz w:val="19"/>
        </w:rPr>
        <w:t>Con creatividad entre todos los </w:t>
      </w:r>
      <w:r>
        <w:rPr>
          <w:spacing w:val="2"/>
          <w:w w:val="105"/>
          <w:sz w:val="19"/>
        </w:rPr>
        <w:t>involucrados </w:t>
      </w:r>
      <w:r>
        <w:rPr>
          <w:w w:val="105"/>
          <w:sz w:val="19"/>
        </w:rPr>
        <w:t>establecer instrumentos económicos, administrativos o legales específicos para la zona (no copiar</w:t>
      </w:r>
      <w:r>
        <w:rPr>
          <w:spacing w:val="-31"/>
          <w:w w:val="105"/>
          <w:sz w:val="19"/>
        </w:rPr>
        <w:t> </w:t>
      </w:r>
      <w:r>
        <w:rPr>
          <w:w w:val="105"/>
          <w:sz w:val="19"/>
        </w:rPr>
        <w:t>modelos).</w:t>
      </w:r>
    </w:p>
    <w:p>
      <w:pPr>
        <w:pStyle w:val="BodyText"/>
        <w:spacing w:before="3"/>
        <w:rPr>
          <w:sz w:val="18"/>
        </w:rPr>
      </w:pPr>
    </w:p>
    <w:p>
      <w:pPr>
        <w:pStyle w:val="ListParagraph"/>
        <w:numPr>
          <w:ilvl w:val="0"/>
          <w:numId w:val="6"/>
        </w:numPr>
        <w:tabs>
          <w:tab w:pos="835" w:val="left" w:leader="none"/>
        </w:tabs>
        <w:spacing w:line="264" w:lineRule="auto" w:before="0" w:after="0"/>
        <w:ind w:left="835" w:right="150" w:hanging="360"/>
        <w:jc w:val="left"/>
        <w:rPr>
          <w:sz w:val="19"/>
        </w:rPr>
      </w:pPr>
      <w:r>
        <w:rPr>
          <w:w w:val="105"/>
          <w:sz w:val="19"/>
        </w:rPr>
        <w:t>A través de compromisos personales de la sociedad, fomentar la continuidad y apoyo al programa,</w:t>
      </w:r>
      <w:r>
        <w:rPr>
          <w:spacing w:val="-5"/>
          <w:w w:val="105"/>
          <w:sz w:val="19"/>
        </w:rPr>
        <w:t> </w:t>
      </w:r>
      <w:r>
        <w:rPr>
          <w:w w:val="105"/>
          <w:sz w:val="19"/>
        </w:rPr>
        <w:t>para</w:t>
      </w:r>
      <w:r>
        <w:rPr>
          <w:spacing w:val="-5"/>
          <w:w w:val="105"/>
          <w:sz w:val="19"/>
        </w:rPr>
        <w:t> </w:t>
      </w:r>
      <w:r>
        <w:rPr>
          <w:w w:val="105"/>
          <w:sz w:val="19"/>
        </w:rPr>
        <w:t>que</w:t>
      </w:r>
      <w:r>
        <w:rPr>
          <w:spacing w:val="-5"/>
          <w:w w:val="105"/>
          <w:sz w:val="19"/>
        </w:rPr>
        <w:t> </w:t>
      </w:r>
      <w:r>
        <w:rPr>
          <w:w w:val="105"/>
          <w:sz w:val="19"/>
        </w:rPr>
        <w:t>no</w:t>
      </w:r>
      <w:r>
        <w:rPr>
          <w:spacing w:val="-5"/>
          <w:w w:val="105"/>
          <w:sz w:val="19"/>
        </w:rPr>
        <w:t> </w:t>
      </w:r>
      <w:r>
        <w:rPr>
          <w:w w:val="105"/>
          <w:sz w:val="19"/>
        </w:rPr>
        <w:t>se</w:t>
      </w:r>
      <w:r>
        <w:rPr>
          <w:spacing w:val="-5"/>
          <w:w w:val="105"/>
          <w:sz w:val="19"/>
        </w:rPr>
        <w:t> </w:t>
      </w:r>
      <w:r>
        <w:rPr>
          <w:w w:val="105"/>
          <w:sz w:val="19"/>
        </w:rPr>
        <w:t>afecte</w:t>
      </w:r>
      <w:r>
        <w:rPr>
          <w:spacing w:val="-5"/>
          <w:w w:val="105"/>
          <w:sz w:val="19"/>
        </w:rPr>
        <w:t> </w:t>
      </w:r>
      <w:r>
        <w:rPr>
          <w:w w:val="105"/>
          <w:sz w:val="19"/>
        </w:rPr>
        <w:t>por</w:t>
      </w:r>
      <w:r>
        <w:rPr>
          <w:spacing w:val="-5"/>
          <w:w w:val="105"/>
          <w:sz w:val="19"/>
        </w:rPr>
        <w:t> </w:t>
      </w:r>
      <w:r>
        <w:rPr>
          <w:w w:val="105"/>
          <w:sz w:val="19"/>
        </w:rPr>
        <w:t>cambio</w:t>
      </w:r>
      <w:r>
        <w:rPr>
          <w:spacing w:val="-5"/>
          <w:w w:val="105"/>
          <w:sz w:val="19"/>
        </w:rPr>
        <w:t> </w:t>
      </w:r>
      <w:r>
        <w:rPr>
          <w:w w:val="105"/>
          <w:sz w:val="19"/>
        </w:rPr>
        <w:t>de</w:t>
      </w:r>
      <w:r>
        <w:rPr>
          <w:spacing w:val="-5"/>
          <w:w w:val="105"/>
          <w:sz w:val="19"/>
        </w:rPr>
        <w:t> </w:t>
      </w:r>
      <w:r>
        <w:rPr>
          <w:spacing w:val="2"/>
          <w:w w:val="105"/>
          <w:sz w:val="19"/>
        </w:rPr>
        <w:t>administraciones</w:t>
      </w:r>
      <w:r>
        <w:rPr>
          <w:spacing w:val="-3"/>
          <w:w w:val="105"/>
          <w:sz w:val="19"/>
        </w:rPr>
        <w:t> </w:t>
      </w:r>
      <w:r>
        <w:rPr>
          <w:w w:val="105"/>
          <w:sz w:val="19"/>
        </w:rPr>
        <w:t>gubernamentales.</w:t>
      </w:r>
    </w:p>
    <w:p>
      <w:pPr>
        <w:pStyle w:val="BodyText"/>
        <w:rPr>
          <w:sz w:val="20"/>
        </w:rPr>
      </w:pPr>
    </w:p>
    <w:p>
      <w:pPr>
        <w:pStyle w:val="BodyText"/>
        <w:rPr>
          <w:sz w:val="20"/>
        </w:rPr>
      </w:pPr>
    </w:p>
    <w:p>
      <w:pPr>
        <w:pStyle w:val="BodyText"/>
        <w:rPr>
          <w:sz w:val="20"/>
        </w:rPr>
      </w:pPr>
    </w:p>
    <w:p>
      <w:pPr>
        <w:pStyle w:val="BodyText"/>
        <w:spacing w:before="6"/>
        <w:rPr>
          <w:sz w:val="28"/>
        </w:rPr>
      </w:pPr>
    </w:p>
    <w:p>
      <w:pPr>
        <w:pStyle w:val="Heading1"/>
      </w:pPr>
      <w:r>
        <w:rPr/>
        <w:t>6.- MARCO DE REFERENCIA ACTUAL</w:t>
      </w:r>
    </w:p>
    <w:p>
      <w:pPr>
        <w:pStyle w:val="BodyText"/>
        <w:spacing w:before="9"/>
        <w:rPr>
          <w:b/>
          <w:sz w:val="21"/>
        </w:rPr>
      </w:pPr>
    </w:p>
    <w:p>
      <w:pPr>
        <w:pStyle w:val="BodyText"/>
        <w:spacing w:line="254" w:lineRule="auto"/>
        <w:ind w:left="115" w:right="124"/>
        <w:jc w:val="both"/>
      </w:pPr>
      <w:r>
        <w:rPr>
          <w:w w:val="105"/>
        </w:rPr>
        <w:t>Durante los años 2002 y 2003 se dan ciertos hechos históricos que redimensionan el papel del ordenamiento ecológico y del manejo ambiental de cuencas en la política tanto a nivel internacional como nacional, estatal, regional y local.</w:t>
      </w:r>
    </w:p>
    <w:p>
      <w:pPr>
        <w:spacing w:after="0" w:line="254" w:lineRule="auto"/>
        <w:jc w:val="both"/>
        <w:sectPr>
          <w:pgSz w:w="12240" w:h="15840"/>
          <w:pgMar w:header="0" w:footer="711" w:top="1360" w:bottom="900" w:left="1580" w:right="1300"/>
        </w:sectPr>
      </w:pPr>
    </w:p>
    <w:p>
      <w:pPr>
        <w:pStyle w:val="BodyText"/>
        <w:spacing w:before="151"/>
        <w:ind w:left="115"/>
      </w:pPr>
      <w:r>
        <w:rPr>
          <w:w w:val="105"/>
        </w:rPr>
        <w:t>Dentro de los más importantes destacan:</w:t>
      </w:r>
    </w:p>
    <w:p>
      <w:pPr>
        <w:pStyle w:val="BodyText"/>
        <w:spacing w:before="5"/>
        <w:rPr>
          <w:sz w:val="21"/>
        </w:rPr>
      </w:pPr>
    </w:p>
    <w:p>
      <w:pPr>
        <w:pStyle w:val="Heading3"/>
        <w:rPr>
          <w:i/>
        </w:rPr>
      </w:pPr>
      <w:r>
        <w:rPr>
          <w:i/>
        </w:rPr>
        <w:t>Plano</w:t>
      </w:r>
      <w:r>
        <w:rPr>
          <w:i/>
          <w:spacing w:val="51"/>
        </w:rPr>
        <w:t> </w:t>
      </w:r>
      <w:r>
        <w:rPr>
          <w:i/>
        </w:rPr>
        <w:t>internacional</w:t>
      </w:r>
    </w:p>
    <w:p>
      <w:pPr>
        <w:pStyle w:val="BodyText"/>
        <w:spacing w:before="1"/>
        <w:rPr>
          <w:b/>
          <w:i/>
          <w:sz w:val="20"/>
        </w:rPr>
      </w:pPr>
    </w:p>
    <w:p>
      <w:pPr>
        <w:pStyle w:val="ListParagraph"/>
        <w:numPr>
          <w:ilvl w:val="0"/>
          <w:numId w:val="7"/>
        </w:numPr>
        <w:tabs>
          <w:tab w:pos="1224" w:val="left" w:leader="none"/>
          <w:tab w:pos="1225" w:val="left" w:leader="none"/>
        </w:tabs>
        <w:spacing w:line="254" w:lineRule="auto" w:before="0" w:after="0"/>
        <w:ind w:left="505" w:right="116" w:firstLine="0"/>
        <w:jc w:val="both"/>
        <w:rPr>
          <w:sz w:val="19"/>
        </w:rPr>
      </w:pPr>
      <w:r>
        <w:rPr>
          <w:w w:val="105"/>
          <w:sz w:val="19"/>
        </w:rPr>
        <w:t>En la Declaración del Milenio de las Naciones Unidas emitida en el año 2002, uno de sus objetivos es garantizar la sostenibilidad del medio ambiente. Las metas planteadas son: a) incorporar los principios del desarrollo sostenible en las políticas y los programas nacionales e invertir la pérdida de recursos ambientales; b) reducir a la mitad para el año 2015 la proporción de personas que carecen de acceso sostenible a agua potable y, c) mejorar considerablemente para el año 2020, la vida de por lo menos 100 millones de habitantes de los barrios mas</w:t>
      </w:r>
      <w:r>
        <w:rPr>
          <w:spacing w:val="-1"/>
          <w:w w:val="105"/>
          <w:sz w:val="19"/>
        </w:rPr>
        <w:t> </w:t>
      </w:r>
      <w:r>
        <w:rPr>
          <w:w w:val="105"/>
          <w:sz w:val="19"/>
        </w:rPr>
        <w:t>precarios.</w:t>
      </w:r>
    </w:p>
    <w:p>
      <w:pPr>
        <w:pStyle w:val="BodyText"/>
        <w:spacing w:before="3"/>
        <w:rPr>
          <w:sz w:val="20"/>
        </w:rPr>
      </w:pPr>
    </w:p>
    <w:p>
      <w:pPr>
        <w:pStyle w:val="ListParagraph"/>
        <w:numPr>
          <w:ilvl w:val="0"/>
          <w:numId w:val="7"/>
        </w:numPr>
        <w:tabs>
          <w:tab w:pos="1224" w:val="left" w:leader="none"/>
          <w:tab w:pos="1225" w:val="left" w:leader="none"/>
        </w:tabs>
        <w:spacing w:line="249" w:lineRule="auto" w:before="1" w:after="0"/>
        <w:ind w:left="505" w:right="124" w:firstLine="0"/>
        <w:jc w:val="both"/>
        <w:rPr>
          <w:sz w:val="19"/>
        </w:rPr>
      </w:pPr>
      <w:r>
        <w:rPr>
          <w:w w:val="105"/>
          <w:sz w:val="19"/>
        </w:rPr>
        <w:t>En esta declaración, las políticas ambientales descansan sobre seis principios: a) consolidación de las </w:t>
      </w:r>
      <w:r>
        <w:rPr>
          <w:spacing w:val="2"/>
          <w:w w:val="105"/>
          <w:sz w:val="19"/>
        </w:rPr>
        <w:t>instituciones </w:t>
      </w:r>
      <w:r>
        <w:rPr>
          <w:w w:val="105"/>
          <w:sz w:val="19"/>
        </w:rPr>
        <w:t>y de la </w:t>
      </w:r>
      <w:r>
        <w:rPr>
          <w:spacing w:val="2"/>
          <w:w w:val="105"/>
          <w:sz w:val="19"/>
        </w:rPr>
        <w:t>gobernabilidad; </w:t>
      </w:r>
      <w:r>
        <w:rPr>
          <w:w w:val="105"/>
          <w:sz w:val="19"/>
        </w:rPr>
        <w:t>b) </w:t>
      </w:r>
      <w:r>
        <w:rPr>
          <w:spacing w:val="2"/>
          <w:w w:val="105"/>
          <w:sz w:val="19"/>
        </w:rPr>
        <w:t>integración </w:t>
      </w:r>
      <w:r>
        <w:rPr>
          <w:w w:val="105"/>
          <w:sz w:val="19"/>
        </w:rPr>
        <w:t>de la </w:t>
      </w:r>
      <w:r>
        <w:rPr>
          <w:spacing w:val="3"/>
          <w:w w:val="105"/>
          <w:sz w:val="19"/>
        </w:rPr>
        <w:t>sostenibilidad </w:t>
      </w:r>
      <w:r>
        <w:rPr>
          <w:spacing w:val="2"/>
          <w:w w:val="105"/>
          <w:sz w:val="19"/>
        </w:rPr>
        <w:t>ambiental </w:t>
      </w:r>
      <w:r>
        <w:rPr>
          <w:w w:val="105"/>
          <w:sz w:val="19"/>
        </w:rPr>
        <w:t>en </w:t>
      </w:r>
      <w:r>
        <w:rPr>
          <w:spacing w:val="2"/>
          <w:w w:val="105"/>
          <w:sz w:val="19"/>
        </w:rPr>
        <w:t>todas </w:t>
      </w:r>
      <w:r>
        <w:rPr>
          <w:w w:val="105"/>
          <w:sz w:val="19"/>
        </w:rPr>
        <w:t>las </w:t>
      </w:r>
      <w:r>
        <w:rPr>
          <w:spacing w:val="2"/>
          <w:w w:val="105"/>
          <w:sz w:val="19"/>
        </w:rPr>
        <w:t>políticas sectoriales; </w:t>
      </w:r>
      <w:r>
        <w:rPr>
          <w:w w:val="105"/>
          <w:sz w:val="19"/>
        </w:rPr>
        <w:t>c) </w:t>
      </w:r>
      <w:r>
        <w:rPr>
          <w:spacing w:val="2"/>
          <w:w w:val="105"/>
          <w:sz w:val="19"/>
        </w:rPr>
        <w:t>mejora </w:t>
      </w:r>
      <w:r>
        <w:rPr>
          <w:w w:val="105"/>
          <w:sz w:val="19"/>
        </w:rPr>
        <w:t>de los </w:t>
      </w:r>
      <w:r>
        <w:rPr>
          <w:spacing w:val="2"/>
          <w:w w:val="105"/>
          <w:sz w:val="19"/>
        </w:rPr>
        <w:t>mercados </w:t>
      </w:r>
      <w:r>
        <w:rPr>
          <w:w w:val="105"/>
          <w:sz w:val="19"/>
        </w:rPr>
        <w:t>y </w:t>
      </w:r>
      <w:r>
        <w:rPr>
          <w:spacing w:val="2"/>
          <w:w w:val="105"/>
          <w:sz w:val="19"/>
        </w:rPr>
        <w:t>supresión </w:t>
      </w:r>
      <w:r>
        <w:rPr>
          <w:w w:val="105"/>
          <w:sz w:val="19"/>
        </w:rPr>
        <w:t>de </w:t>
      </w:r>
      <w:r>
        <w:rPr>
          <w:spacing w:val="3"/>
          <w:w w:val="105"/>
          <w:sz w:val="19"/>
        </w:rPr>
        <w:t>las </w:t>
      </w:r>
      <w:r>
        <w:rPr>
          <w:w w:val="105"/>
          <w:sz w:val="19"/>
        </w:rPr>
        <w:t>subvenciones nocivas para el medio ambiente; d) refuerzo de los mecanismos internacionales </w:t>
      </w:r>
      <w:r>
        <w:rPr>
          <w:spacing w:val="4"/>
          <w:w w:val="105"/>
          <w:sz w:val="19"/>
        </w:rPr>
        <w:t>de </w:t>
      </w:r>
      <w:r>
        <w:rPr>
          <w:w w:val="105"/>
          <w:sz w:val="19"/>
        </w:rPr>
        <w:t>gestión ambiental; e) inversión en ciencia y tecnología para el medio ambiente; y f) aumento de</w:t>
      </w:r>
      <w:r>
        <w:rPr>
          <w:spacing w:val="55"/>
          <w:w w:val="105"/>
          <w:sz w:val="19"/>
        </w:rPr>
        <w:t> </w:t>
      </w:r>
      <w:r>
        <w:rPr>
          <w:w w:val="105"/>
          <w:sz w:val="19"/>
        </w:rPr>
        <w:t>los esfuerzos para conservar ecosistemas</w:t>
      </w:r>
      <w:r>
        <w:rPr>
          <w:spacing w:val="-29"/>
          <w:w w:val="105"/>
          <w:sz w:val="19"/>
        </w:rPr>
        <w:t> </w:t>
      </w:r>
      <w:r>
        <w:rPr>
          <w:w w:val="105"/>
          <w:sz w:val="19"/>
        </w:rPr>
        <w:t>esenciales.</w:t>
      </w:r>
    </w:p>
    <w:p>
      <w:pPr>
        <w:pStyle w:val="BodyText"/>
        <w:spacing w:before="8"/>
        <w:rPr>
          <w:sz w:val="20"/>
        </w:rPr>
      </w:pPr>
    </w:p>
    <w:p>
      <w:pPr>
        <w:pStyle w:val="ListParagraph"/>
        <w:numPr>
          <w:ilvl w:val="0"/>
          <w:numId w:val="7"/>
        </w:numPr>
        <w:tabs>
          <w:tab w:pos="1225" w:val="left" w:leader="none"/>
        </w:tabs>
        <w:spacing w:line="254" w:lineRule="auto" w:before="0" w:after="0"/>
        <w:ind w:left="505" w:right="125" w:firstLine="0"/>
        <w:jc w:val="both"/>
        <w:rPr>
          <w:sz w:val="19"/>
        </w:rPr>
      </w:pPr>
      <w:r>
        <w:rPr>
          <w:w w:val="105"/>
          <w:sz w:val="19"/>
        </w:rPr>
        <w:t>En el III Foro Iberoamericano de Ministros de Medio Ambiente, celebrado en octubre de 2003 en Oaxaca, México; se identificaron como temas prioritarios los aspectos vinculados al agua y los</w:t>
      </w:r>
      <w:r>
        <w:rPr>
          <w:spacing w:val="-5"/>
          <w:w w:val="105"/>
          <w:sz w:val="19"/>
        </w:rPr>
        <w:t> </w:t>
      </w:r>
      <w:r>
        <w:rPr>
          <w:w w:val="105"/>
          <w:sz w:val="19"/>
        </w:rPr>
        <w:t>residuos.</w:t>
      </w:r>
    </w:p>
    <w:p>
      <w:pPr>
        <w:pStyle w:val="BodyText"/>
      </w:pPr>
    </w:p>
    <w:p>
      <w:pPr>
        <w:pStyle w:val="ListParagraph"/>
        <w:numPr>
          <w:ilvl w:val="0"/>
          <w:numId w:val="7"/>
        </w:numPr>
        <w:tabs>
          <w:tab w:pos="1225" w:val="left" w:leader="none"/>
        </w:tabs>
        <w:spacing w:line="252" w:lineRule="auto" w:before="0" w:after="0"/>
        <w:ind w:left="505" w:right="122" w:firstLine="0"/>
        <w:jc w:val="both"/>
        <w:rPr>
          <w:sz w:val="19"/>
        </w:rPr>
      </w:pPr>
      <w:r>
        <w:rPr>
          <w:w w:val="105"/>
          <w:sz w:val="19"/>
        </w:rPr>
        <w:t>Se elaboró la “Iniciativa para el Agua de la Unión Europea,</w:t>
      </w:r>
      <w:r>
        <w:rPr>
          <w:spacing w:val="55"/>
          <w:w w:val="105"/>
          <w:sz w:val="19"/>
        </w:rPr>
        <w:t> </w:t>
      </w:r>
      <w:r>
        <w:rPr>
          <w:w w:val="105"/>
          <w:sz w:val="19"/>
        </w:rPr>
        <w:t>Componente</w:t>
      </w:r>
      <w:r>
        <w:rPr>
          <w:spacing w:val="55"/>
          <w:w w:val="105"/>
          <w:sz w:val="19"/>
        </w:rPr>
        <w:t> </w:t>
      </w:r>
      <w:r>
        <w:rPr>
          <w:w w:val="105"/>
          <w:sz w:val="19"/>
        </w:rPr>
        <w:t>Latinoamericana” en el contexto de la III Conferencia de Directores Generales del </w:t>
      </w:r>
      <w:r>
        <w:rPr>
          <w:spacing w:val="3"/>
          <w:w w:val="105"/>
          <w:sz w:val="19"/>
        </w:rPr>
        <w:t>Agua </w:t>
      </w:r>
      <w:r>
        <w:rPr>
          <w:spacing w:val="5"/>
          <w:w w:val="105"/>
          <w:sz w:val="19"/>
        </w:rPr>
        <w:t>de </w:t>
      </w:r>
      <w:r>
        <w:rPr>
          <w:w w:val="105"/>
          <w:sz w:val="19"/>
        </w:rPr>
        <w:t>Iberoamérica, en septiembre de 2003 en Cancún, México. Esta iniciativa se formalizará en la </w:t>
      </w:r>
      <w:r>
        <w:rPr>
          <w:spacing w:val="2"/>
          <w:w w:val="105"/>
          <w:sz w:val="19"/>
        </w:rPr>
        <w:t>III </w:t>
      </w:r>
      <w:r>
        <w:rPr>
          <w:w w:val="105"/>
          <w:sz w:val="19"/>
        </w:rPr>
        <w:t>Cumbre de Jefes de Estado y de Gobierno de América Latina y el Caribe – Unión Europea, a celebrarse en mayo de 2004 en Guadalajara,</w:t>
      </w:r>
      <w:r>
        <w:rPr>
          <w:spacing w:val="-26"/>
          <w:w w:val="105"/>
          <w:sz w:val="19"/>
        </w:rPr>
        <w:t> </w:t>
      </w:r>
      <w:r>
        <w:rPr>
          <w:w w:val="105"/>
          <w:sz w:val="19"/>
        </w:rPr>
        <w:t>México.</w:t>
      </w:r>
    </w:p>
    <w:p>
      <w:pPr>
        <w:pStyle w:val="BodyText"/>
        <w:spacing w:before="5"/>
        <w:rPr>
          <w:sz w:val="20"/>
        </w:rPr>
      </w:pPr>
    </w:p>
    <w:p>
      <w:pPr>
        <w:pStyle w:val="Heading3"/>
        <w:spacing w:before="1"/>
        <w:rPr>
          <w:i/>
        </w:rPr>
      </w:pPr>
      <w:r>
        <w:rPr>
          <w:i/>
          <w:w w:val="105"/>
        </w:rPr>
        <w:t>Plano Nacional</w:t>
      </w:r>
    </w:p>
    <w:p>
      <w:pPr>
        <w:pStyle w:val="BodyText"/>
        <w:spacing w:before="5"/>
        <w:rPr>
          <w:b/>
          <w:i/>
          <w:sz w:val="21"/>
        </w:rPr>
      </w:pPr>
    </w:p>
    <w:p>
      <w:pPr>
        <w:pStyle w:val="ListParagraph"/>
        <w:numPr>
          <w:ilvl w:val="0"/>
          <w:numId w:val="8"/>
        </w:numPr>
        <w:tabs>
          <w:tab w:pos="1224" w:val="left" w:leader="none"/>
          <w:tab w:pos="1225" w:val="left" w:leader="none"/>
        </w:tabs>
        <w:spacing w:line="247" w:lineRule="auto" w:before="0" w:after="0"/>
        <w:ind w:left="505" w:right="153" w:firstLine="0"/>
        <w:jc w:val="both"/>
        <w:rPr>
          <w:sz w:val="19"/>
        </w:rPr>
      </w:pPr>
      <w:r>
        <w:rPr>
          <w:w w:val="105"/>
          <w:sz w:val="19"/>
        </w:rPr>
        <w:t>Se </w:t>
      </w:r>
      <w:r>
        <w:rPr>
          <w:spacing w:val="2"/>
          <w:w w:val="105"/>
          <w:sz w:val="19"/>
        </w:rPr>
        <w:t>cuenta </w:t>
      </w:r>
      <w:r>
        <w:rPr>
          <w:w w:val="105"/>
          <w:sz w:val="19"/>
        </w:rPr>
        <w:t>con un </w:t>
      </w:r>
      <w:r>
        <w:rPr>
          <w:spacing w:val="2"/>
          <w:w w:val="105"/>
          <w:sz w:val="19"/>
        </w:rPr>
        <w:t>Programa Estratégico Forestal para México 2025 </w:t>
      </w:r>
      <w:r>
        <w:rPr>
          <w:w w:val="105"/>
          <w:sz w:val="19"/>
        </w:rPr>
        <w:t>y el </w:t>
      </w:r>
      <w:r>
        <w:rPr>
          <w:spacing w:val="2"/>
          <w:w w:val="105"/>
          <w:sz w:val="19"/>
        </w:rPr>
        <w:t>Proyecto </w:t>
      </w:r>
      <w:r>
        <w:rPr>
          <w:spacing w:val="3"/>
          <w:w w:val="105"/>
          <w:sz w:val="19"/>
        </w:rPr>
        <w:t>de </w:t>
      </w:r>
      <w:r>
        <w:rPr>
          <w:w w:val="105"/>
          <w:sz w:val="19"/>
        </w:rPr>
        <w:t>Conservación</w:t>
      </w:r>
      <w:r>
        <w:rPr>
          <w:spacing w:val="-5"/>
          <w:w w:val="105"/>
          <w:sz w:val="19"/>
        </w:rPr>
        <w:t> </w:t>
      </w:r>
      <w:r>
        <w:rPr>
          <w:w w:val="105"/>
          <w:sz w:val="19"/>
        </w:rPr>
        <w:t>y</w:t>
      </w:r>
      <w:r>
        <w:rPr>
          <w:spacing w:val="-5"/>
          <w:w w:val="105"/>
          <w:sz w:val="19"/>
        </w:rPr>
        <w:t> </w:t>
      </w:r>
      <w:r>
        <w:rPr>
          <w:w w:val="105"/>
          <w:sz w:val="19"/>
        </w:rPr>
        <w:t>Manejo</w:t>
      </w:r>
      <w:r>
        <w:rPr>
          <w:spacing w:val="-5"/>
          <w:w w:val="105"/>
          <w:sz w:val="19"/>
        </w:rPr>
        <w:t> </w:t>
      </w:r>
      <w:r>
        <w:rPr>
          <w:w w:val="105"/>
          <w:sz w:val="19"/>
        </w:rPr>
        <w:t>Sustentable</w:t>
      </w:r>
      <w:r>
        <w:rPr>
          <w:spacing w:val="-5"/>
          <w:w w:val="105"/>
          <w:sz w:val="19"/>
        </w:rPr>
        <w:t> </w:t>
      </w:r>
      <w:r>
        <w:rPr>
          <w:w w:val="105"/>
          <w:sz w:val="19"/>
        </w:rPr>
        <w:t>de</w:t>
      </w:r>
      <w:r>
        <w:rPr>
          <w:spacing w:val="-5"/>
          <w:w w:val="105"/>
          <w:sz w:val="19"/>
        </w:rPr>
        <w:t> </w:t>
      </w:r>
      <w:r>
        <w:rPr>
          <w:w w:val="105"/>
          <w:sz w:val="19"/>
        </w:rPr>
        <w:t>los</w:t>
      </w:r>
      <w:r>
        <w:rPr>
          <w:spacing w:val="-5"/>
          <w:w w:val="105"/>
          <w:sz w:val="19"/>
        </w:rPr>
        <w:t> </w:t>
      </w:r>
      <w:r>
        <w:rPr>
          <w:w w:val="105"/>
          <w:sz w:val="19"/>
        </w:rPr>
        <w:t>Recursos</w:t>
      </w:r>
      <w:r>
        <w:rPr>
          <w:spacing w:val="-5"/>
          <w:w w:val="105"/>
          <w:sz w:val="19"/>
        </w:rPr>
        <w:t> </w:t>
      </w:r>
      <w:r>
        <w:rPr>
          <w:w w:val="105"/>
          <w:sz w:val="19"/>
        </w:rPr>
        <w:t>Forestales</w:t>
      </w:r>
      <w:r>
        <w:rPr>
          <w:spacing w:val="-5"/>
          <w:w w:val="105"/>
          <w:sz w:val="19"/>
        </w:rPr>
        <w:t> </w:t>
      </w:r>
      <w:r>
        <w:rPr>
          <w:w w:val="105"/>
          <w:sz w:val="19"/>
        </w:rPr>
        <w:t>en</w:t>
      </w:r>
      <w:r>
        <w:rPr>
          <w:spacing w:val="-5"/>
          <w:w w:val="105"/>
          <w:sz w:val="19"/>
        </w:rPr>
        <w:t> </w:t>
      </w:r>
      <w:r>
        <w:rPr>
          <w:w w:val="105"/>
          <w:sz w:val="19"/>
        </w:rPr>
        <w:t>México.</w:t>
      </w:r>
    </w:p>
    <w:p>
      <w:pPr>
        <w:pStyle w:val="BodyText"/>
        <w:spacing w:before="10"/>
        <w:rPr>
          <w:sz w:val="20"/>
        </w:rPr>
      </w:pPr>
    </w:p>
    <w:p>
      <w:pPr>
        <w:pStyle w:val="ListParagraph"/>
        <w:numPr>
          <w:ilvl w:val="0"/>
          <w:numId w:val="8"/>
        </w:numPr>
        <w:tabs>
          <w:tab w:pos="1224" w:val="left" w:leader="none"/>
          <w:tab w:pos="1225" w:val="left" w:leader="none"/>
        </w:tabs>
        <w:spacing w:line="247" w:lineRule="auto" w:before="0" w:after="0"/>
        <w:ind w:left="505" w:right="141" w:firstLine="0"/>
        <w:jc w:val="both"/>
        <w:rPr>
          <w:sz w:val="19"/>
        </w:rPr>
      </w:pPr>
      <w:r>
        <w:rPr>
          <w:w w:val="105"/>
          <w:sz w:val="19"/>
        </w:rPr>
        <w:t>La Comisión Nacional del Agua organizó la Segunda Reunión Nacional de Consejos de Cuenca en la </w:t>
      </w:r>
      <w:r>
        <w:rPr>
          <w:spacing w:val="-7"/>
          <w:w w:val="105"/>
          <w:sz w:val="19"/>
        </w:rPr>
        <w:t>cual  </w:t>
      </w:r>
      <w:r>
        <w:rPr>
          <w:w w:val="105"/>
          <w:sz w:val="19"/>
        </w:rPr>
        <w:t>participaron los diputados federales que están promoviendo el “Proyecto de</w:t>
      </w:r>
      <w:r>
        <w:rPr>
          <w:spacing w:val="55"/>
          <w:w w:val="105"/>
          <w:sz w:val="19"/>
        </w:rPr>
        <w:t> </w:t>
      </w:r>
      <w:r>
        <w:rPr>
          <w:w w:val="105"/>
          <w:sz w:val="19"/>
        </w:rPr>
        <w:t>Ley General de Cuencas y Aguas</w:t>
      </w:r>
      <w:r>
        <w:rPr>
          <w:spacing w:val="-12"/>
          <w:w w:val="105"/>
          <w:sz w:val="19"/>
        </w:rPr>
        <w:t> </w:t>
      </w:r>
      <w:r>
        <w:rPr>
          <w:w w:val="105"/>
          <w:sz w:val="19"/>
        </w:rPr>
        <w:t>Nacionales”.</w:t>
      </w:r>
    </w:p>
    <w:p>
      <w:pPr>
        <w:pStyle w:val="BodyText"/>
        <w:spacing w:before="10"/>
        <w:rPr>
          <w:sz w:val="20"/>
        </w:rPr>
      </w:pPr>
    </w:p>
    <w:p>
      <w:pPr>
        <w:pStyle w:val="ListParagraph"/>
        <w:numPr>
          <w:ilvl w:val="0"/>
          <w:numId w:val="8"/>
        </w:numPr>
        <w:tabs>
          <w:tab w:pos="1225" w:val="left" w:leader="none"/>
        </w:tabs>
        <w:spacing w:line="240" w:lineRule="auto" w:before="0" w:after="0"/>
        <w:ind w:left="1225" w:right="0" w:hanging="720"/>
        <w:jc w:val="both"/>
        <w:rPr>
          <w:sz w:val="19"/>
        </w:rPr>
      </w:pPr>
      <w:r>
        <w:rPr>
          <w:w w:val="105"/>
          <w:sz w:val="19"/>
        </w:rPr>
        <w:t>En</w:t>
      </w:r>
      <w:r>
        <w:rPr>
          <w:spacing w:val="-4"/>
          <w:w w:val="105"/>
          <w:sz w:val="19"/>
        </w:rPr>
        <w:t> </w:t>
      </w:r>
      <w:r>
        <w:rPr>
          <w:w w:val="105"/>
          <w:sz w:val="19"/>
        </w:rPr>
        <w:t>abril</w:t>
      </w:r>
      <w:r>
        <w:rPr>
          <w:spacing w:val="-4"/>
          <w:w w:val="105"/>
          <w:sz w:val="19"/>
        </w:rPr>
        <w:t> </w:t>
      </w:r>
      <w:r>
        <w:rPr>
          <w:w w:val="105"/>
          <w:sz w:val="19"/>
        </w:rPr>
        <w:t>de</w:t>
      </w:r>
      <w:r>
        <w:rPr>
          <w:spacing w:val="-4"/>
          <w:w w:val="105"/>
          <w:sz w:val="19"/>
        </w:rPr>
        <w:t> </w:t>
      </w:r>
      <w:r>
        <w:rPr>
          <w:w w:val="105"/>
          <w:sz w:val="19"/>
        </w:rPr>
        <w:t>2006</w:t>
      </w:r>
      <w:r>
        <w:rPr>
          <w:spacing w:val="-4"/>
          <w:w w:val="105"/>
          <w:sz w:val="19"/>
        </w:rPr>
        <w:t> </w:t>
      </w:r>
      <w:r>
        <w:rPr>
          <w:w w:val="105"/>
          <w:sz w:val="19"/>
        </w:rPr>
        <w:t>México</w:t>
      </w:r>
      <w:r>
        <w:rPr>
          <w:spacing w:val="-4"/>
          <w:w w:val="105"/>
          <w:sz w:val="19"/>
        </w:rPr>
        <w:t> </w:t>
      </w:r>
      <w:r>
        <w:rPr>
          <w:w w:val="105"/>
          <w:sz w:val="19"/>
        </w:rPr>
        <w:t>será</w:t>
      </w:r>
      <w:r>
        <w:rPr>
          <w:spacing w:val="-4"/>
          <w:w w:val="105"/>
          <w:sz w:val="19"/>
        </w:rPr>
        <w:t> </w:t>
      </w:r>
      <w:r>
        <w:rPr>
          <w:w w:val="105"/>
          <w:sz w:val="19"/>
        </w:rPr>
        <w:t>sede</w:t>
      </w:r>
      <w:r>
        <w:rPr>
          <w:spacing w:val="-4"/>
          <w:w w:val="105"/>
          <w:sz w:val="19"/>
        </w:rPr>
        <w:t> </w:t>
      </w:r>
      <w:r>
        <w:rPr>
          <w:w w:val="105"/>
          <w:sz w:val="19"/>
        </w:rPr>
        <w:t>del</w:t>
      </w:r>
      <w:r>
        <w:rPr>
          <w:spacing w:val="-4"/>
          <w:w w:val="105"/>
          <w:sz w:val="19"/>
        </w:rPr>
        <w:t> </w:t>
      </w:r>
      <w:r>
        <w:rPr>
          <w:w w:val="105"/>
          <w:sz w:val="19"/>
        </w:rPr>
        <w:t>IV</w:t>
      </w:r>
      <w:r>
        <w:rPr>
          <w:spacing w:val="-4"/>
          <w:w w:val="105"/>
          <w:sz w:val="19"/>
        </w:rPr>
        <w:t> </w:t>
      </w:r>
      <w:r>
        <w:rPr>
          <w:w w:val="105"/>
          <w:sz w:val="19"/>
        </w:rPr>
        <w:t>Foro</w:t>
      </w:r>
      <w:r>
        <w:rPr>
          <w:spacing w:val="-4"/>
          <w:w w:val="105"/>
          <w:sz w:val="19"/>
        </w:rPr>
        <w:t> </w:t>
      </w:r>
      <w:r>
        <w:rPr>
          <w:w w:val="105"/>
          <w:sz w:val="19"/>
        </w:rPr>
        <w:t>Mundial</w:t>
      </w:r>
      <w:r>
        <w:rPr>
          <w:spacing w:val="-4"/>
          <w:w w:val="105"/>
          <w:sz w:val="19"/>
        </w:rPr>
        <w:t> </w:t>
      </w:r>
      <w:r>
        <w:rPr>
          <w:w w:val="105"/>
          <w:sz w:val="19"/>
        </w:rPr>
        <w:t>del</w:t>
      </w:r>
      <w:r>
        <w:rPr>
          <w:spacing w:val="-4"/>
          <w:w w:val="105"/>
          <w:sz w:val="19"/>
        </w:rPr>
        <w:t> </w:t>
      </w:r>
      <w:r>
        <w:rPr>
          <w:w w:val="105"/>
          <w:sz w:val="19"/>
        </w:rPr>
        <w:t>Agua.</w:t>
      </w:r>
    </w:p>
    <w:p>
      <w:pPr>
        <w:pStyle w:val="BodyText"/>
        <w:spacing w:before="5"/>
        <w:rPr>
          <w:sz w:val="21"/>
        </w:rPr>
      </w:pPr>
    </w:p>
    <w:p>
      <w:pPr>
        <w:pStyle w:val="Heading3"/>
        <w:rPr>
          <w:i/>
        </w:rPr>
      </w:pPr>
      <w:r>
        <w:rPr>
          <w:i/>
          <w:w w:val="105"/>
        </w:rPr>
        <w:t>Plano estatal</w:t>
      </w:r>
    </w:p>
    <w:p>
      <w:pPr>
        <w:pStyle w:val="BodyText"/>
        <w:spacing w:before="1"/>
        <w:rPr>
          <w:b/>
          <w:i/>
          <w:sz w:val="20"/>
        </w:rPr>
      </w:pPr>
    </w:p>
    <w:p>
      <w:pPr>
        <w:pStyle w:val="ListParagraph"/>
        <w:numPr>
          <w:ilvl w:val="0"/>
          <w:numId w:val="9"/>
        </w:numPr>
        <w:tabs>
          <w:tab w:pos="1224" w:val="left" w:leader="none"/>
          <w:tab w:pos="1225" w:val="left" w:leader="none"/>
        </w:tabs>
        <w:spacing w:line="252" w:lineRule="auto" w:before="0" w:after="0"/>
        <w:ind w:left="505" w:right="113" w:firstLine="0"/>
        <w:jc w:val="both"/>
        <w:rPr>
          <w:sz w:val="19"/>
        </w:rPr>
      </w:pPr>
      <w:r>
        <w:rPr>
          <w:w w:val="105"/>
          <w:sz w:val="19"/>
        </w:rPr>
        <w:t>La Comisión Nacional del Agua y el Gobierno estatal elaboraron el Programa Hidráulico Integral del Estado de México 2002-2025, primero en el país, el cual establece con visión integral, las estrategias y acciones que deben regir el desarrollo del sector, para garantizar el aprovechamiento sustentable del</w:t>
      </w:r>
      <w:r>
        <w:rPr>
          <w:spacing w:val="-23"/>
          <w:w w:val="105"/>
          <w:sz w:val="19"/>
        </w:rPr>
        <w:t> </w:t>
      </w:r>
      <w:r>
        <w:rPr>
          <w:w w:val="105"/>
          <w:sz w:val="19"/>
        </w:rPr>
        <w:t>recurso.</w:t>
      </w:r>
    </w:p>
    <w:p>
      <w:pPr>
        <w:pStyle w:val="BodyText"/>
        <w:spacing w:before="5"/>
        <w:rPr>
          <w:sz w:val="20"/>
        </w:rPr>
      </w:pPr>
    </w:p>
    <w:p>
      <w:pPr>
        <w:pStyle w:val="ListParagraph"/>
        <w:numPr>
          <w:ilvl w:val="0"/>
          <w:numId w:val="9"/>
        </w:numPr>
        <w:tabs>
          <w:tab w:pos="1224" w:val="left" w:leader="none"/>
          <w:tab w:pos="1225" w:val="left" w:leader="none"/>
        </w:tabs>
        <w:spacing w:line="252" w:lineRule="auto" w:before="1" w:after="0"/>
        <w:ind w:left="505" w:right="114" w:firstLine="0"/>
        <w:jc w:val="both"/>
        <w:rPr>
          <w:sz w:val="19"/>
        </w:rPr>
      </w:pPr>
      <w:r>
        <w:rPr>
          <w:w w:val="105"/>
          <w:sz w:val="19"/>
        </w:rPr>
        <w:t>El Gobierno del Estado de México está promoviendo una controversia contra el Distrito Federal y la SEMARNAT, por incumplimiento de acuerdos firmados en los años 70, en los </w:t>
      </w:r>
      <w:r>
        <w:rPr>
          <w:spacing w:val="2"/>
          <w:w w:val="105"/>
          <w:sz w:val="19"/>
        </w:rPr>
        <w:t>que </w:t>
      </w:r>
      <w:r>
        <w:rPr>
          <w:w w:val="105"/>
          <w:sz w:val="19"/>
        </w:rPr>
        <w:t>estos organismos se comprometen a resarcir con obras o con reforestación, la degradación de las cuencas de las que se extrae el</w:t>
      </w:r>
      <w:r>
        <w:rPr>
          <w:spacing w:val="-8"/>
          <w:w w:val="105"/>
          <w:sz w:val="19"/>
        </w:rPr>
        <w:t> </w:t>
      </w:r>
      <w:r>
        <w:rPr>
          <w:w w:val="105"/>
          <w:sz w:val="19"/>
        </w:rPr>
        <w:t>agua.</w:t>
      </w:r>
    </w:p>
    <w:p>
      <w:pPr>
        <w:pStyle w:val="ListParagraph"/>
        <w:numPr>
          <w:ilvl w:val="0"/>
          <w:numId w:val="9"/>
        </w:numPr>
        <w:tabs>
          <w:tab w:pos="1225" w:val="left" w:leader="none"/>
        </w:tabs>
        <w:spacing w:line="252" w:lineRule="auto" w:before="0" w:after="0"/>
        <w:ind w:left="505" w:right="116" w:firstLine="0"/>
        <w:jc w:val="both"/>
        <w:rPr>
          <w:sz w:val="19"/>
        </w:rPr>
      </w:pPr>
      <w:r>
        <w:rPr>
          <w:w w:val="105"/>
          <w:sz w:val="19"/>
        </w:rPr>
        <w:t>El Gobernador del Estado de México es presidente de la Comisión 6 “Gestión del </w:t>
      </w:r>
      <w:r>
        <w:rPr>
          <w:spacing w:val="2"/>
          <w:w w:val="105"/>
          <w:sz w:val="19"/>
        </w:rPr>
        <w:t>Agua”, </w:t>
      </w:r>
      <w:r>
        <w:rPr>
          <w:w w:val="105"/>
          <w:sz w:val="19"/>
        </w:rPr>
        <w:t>dentro de la Asociación Mundial de Metrópolis y en la reunión del Consejo de Administración, celebrada en octubre de 2003 en Estambul, Turquía, se propuso una declaratoria del Agua, en la que</w:t>
      </w:r>
      <w:r>
        <w:rPr>
          <w:spacing w:val="15"/>
          <w:w w:val="105"/>
          <w:sz w:val="19"/>
        </w:rPr>
        <w:t> </w:t>
      </w:r>
      <w:r>
        <w:rPr>
          <w:w w:val="105"/>
          <w:sz w:val="19"/>
        </w:rPr>
        <w:t>se</w:t>
      </w:r>
      <w:r>
        <w:rPr>
          <w:spacing w:val="15"/>
          <w:w w:val="105"/>
          <w:sz w:val="19"/>
        </w:rPr>
        <w:t> </w:t>
      </w:r>
      <w:r>
        <w:rPr>
          <w:w w:val="105"/>
          <w:sz w:val="19"/>
        </w:rPr>
        <w:t>hace</w:t>
      </w:r>
      <w:r>
        <w:rPr>
          <w:spacing w:val="15"/>
          <w:w w:val="105"/>
          <w:sz w:val="19"/>
        </w:rPr>
        <w:t> </w:t>
      </w:r>
      <w:r>
        <w:rPr>
          <w:w w:val="105"/>
          <w:sz w:val="19"/>
        </w:rPr>
        <w:t>un</w:t>
      </w:r>
      <w:r>
        <w:rPr>
          <w:spacing w:val="15"/>
          <w:w w:val="105"/>
          <w:sz w:val="19"/>
        </w:rPr>
        <w:t> </w:t>
      </w:r>
      <w:r>
        <w:rPr>
          <w:w w:val="105"/>
          <w:sz w:val="19"/>
        </w:rPr>
        <w:t>enérgico</w:t>
      </w:r>
      <w:r>
        <w:rPr>
          <w:spacing w:val="15"/>
          <w:w w:val="105"/>
          <w:sz w:val="19"/>
        </w:rPr>
        <w:t> </w:t>
      </w:r>
      <w:r>
        <w:rPr>
          <w:w w:val="105"/>
          <w:sz w:val="19"/>
        </w:rPr>
        <w:t>llamado</w:t>
      </w:r>
      <w:r>
        <w:rPr>
          <w:spacing w:val="15"/>
          <w:w w:val="105"/>
          <w:sz w:val="19"/>
        </w:rPr>
        <w:t> </w:t>
      </w:r>
      <w:r>
        <w:rPr>
          <w:w w:val="105"/>
          <w:sz w:val="19"/>
        </w:rPr>
        <w:t>a</w:t>
      </w:r>
      <w:r>
        <w:rPr>
          <w:spacing w:val="15"/>
          <w:w w:val="105"/>
          <w:sz w:val="19"/>
        </w:rPr>
        <w:t> </w:t>
      </w:r>
      <w:r>
        <w:rPr>
          <w:w w:val="105"/>
          <w:sz w:val="19"/>
        </w:rPr>
        <w:t>las</w:t>
      </w:r>
      <w:r>
        <w:rPr>
          <w:spacing w:val="15"/>
          <w:w w:val="105"/>
          <w:sz w:val="19"/>
        </w:rPr>
        <w:t> </w:t>
      </w:r>
      <w:r>
        <w:rPr>
          <w:w w:val="105"/>
          <w:sz w:val="19"/>
        </w:rPr>
        <w:t>naciones</w:t>
      </w:r>
      <w:r>
        <w:rPr>
          <w:spacing w:val="15"/>
          <w:w w:val="105"/>
          <w:sz w:val="19"/>
        </w:rPr>
        <w:t> </w:t>
      </w:r>
      <w:r>
        <w:rPr>
          <w:w w:val="105"/>
          <w:sz w:val="19"/>
        </w:rPr>
        <w:t>para</w:t>
      </w:r>
      <w:r>
        <w:rPr>
          <w:spacing w:val="15"/>
          <w:w w:val="105"/>
          <w:sz w:val="19"/>
        </w:rPr>
        <w:t> </w:t>
      </w:r>
      <w:r>
        <w:rPr>
          <w:w w:val="105"/>
          <w:sz w:val="19"/>
        </w:rPr>
        <w:t>que</w:t>
      </w:r>
      <w:r>
        <w:rPr>
          <w:spacing w:val="15"/>
          <w:w w:val="105"/>
          <w:sz w:val="19"/>
        </w:rPr>
        <w:t> </w:t>
      </w:r>
      <w:r>
        <w:rPr>
          <w:w w:val="105"/>
          <w:sz w:val="19"/>
        </w:rPr>
        <w:t>se</w:t>
      </w:r>
      <w:r>
        <w:rPr>
          <w:spacing w:val="15"/>
          <w:w w:val="105"/>
          <w:sz w:val="19"/>
        </w:rPr>
        <w:t> </w:t>
      </w:r>
      <w:r>
        <w:rPr>
          <w:w w:val="105"/>
          <w:sz w:val="19"/>
        </w:rPr>
        <w:t>incorpore</w:t>
      </w:r>
      <w:r>
        <w:rPr>
          <w:spacing w:val="15"/>
          <w:w w:val="105"/>
          <w:sz w:val="19"/>
        </w:rPr>
        <w:t> </w:t>
      </w:r>
      <w:r>
        <w:rPr>
          <w:w w:val="105"/>
          <w:sz w:val="19"/>
        </w:rPr>
        <w:t>el</w:t>
      </w:r>
      <w:r>
        <w:rPr>
          <w:spacing w:val="15"/>
          <w:w w:val="105"/>
          <w:sz w:val="19"/>
        </w:rPr>
        <w:t> </w:t>
      </w:r>
      <w:r>
        <w:rPr>
          <w:w w:val="105"/>
          <w:sz w:val="19"/>
        </w:rPr>
        <w:t>tema</w:t>
      </w:r>
      <w:r>
        <w:rPr>
          <w:spacing w:val="15"/>
          <w:w w:val="105"/>
          <w:sz w:val="19"/>
        </w:rPr>
        <w:t> </w:t>
      </w:r>
      <w:r>
        <w:rPr>
          <w:w w:val="105"/>
          <w:sz w:val="19"/>
        </w:rPr>
        <w:t>del</w:t>
      </w:r>
      <w:r>
        <w:rPr>
          <w:spacing w:val="15"/>
          <w:w w:val="105"/>
          <w:sz w:val="19"/>
        </w:rPr>
        <w:t> </w:t>
      </w:r>
      <w:r>
        <w:rPr>
          <w:w w:val="105"/>
          <w:sz w:val="19"/>
        </w:rPr>
        <w:t>agua</w:t>
      </w:r>
      <w:r>
        <w:rPr>
          <w:spacing w:val="15"/>
          <w:w w:val="105"/>
          <w:sz w:val="19"/>
        </w:rPr>
        <w:t> </w:t>
      </w:r>
      <w:r>
        <w:rPr>
          <w:w w:val="105"/>
          <w:sz w:val="19"/>
        </w:rPr>
        <w:t>al</w:t>
      </w:r>
      <w:r>
        <w:rPr>
          <w:spacing w:val="15"/>
          <w:w w:val="105"/>
          <w:sz w:val="19"/>
        </w:rPr>
        <w:t> </w:t>
      </w:r>
      <w:r>
        <w:rPr>
          <w:w w:val="105"/>
          <w:sz w:val="19"/>
        </w:rPr>
        <w:t>más</w:t>
      </w:r>
    </w:p>
    <w:p>
      <w:pPr>
        <w:spacing w:after="0" w:line="252" w:lineRule="auto"/>
        <w:jc w:val="both"/>
        <w:rPr>
          <w:sz w:val="19"/>
        </w:rPr>
        <w:sectPr>
          <w:pgSz w:w="12240" w:h="15840"/>
          <w:pgMar w:header="0" w:footer="711" w:top="1500" w:bottom="900" w:left="1580" w:right="1300"/>
        </w:sectPr>
      </w:pPr>
    </w:p>
    <w:p>
      <w:pPr>
        <w:pStyle w:val="BodyText"/>
        <w:spacing w:line="247" w:lineRule="auto" w:before="66"/>
        <w:ind w:left="505" w:right="126"/>
        <w:jc w:val="both"/>
      </w:pPr>
      <w:r>
        <w:rPr>
          <w:w w:val="105"/>
        </w:rPr>
        <w:t>alto nivel de la legislación y se formulen estrategias para un programa hidráulico mundial de largo plazo.</w:t>
      </w:r>
    </w:p>
    <w:p>
      <w:pPr>
        <w:pStyle w:val="BodyText"/>
        <w:spacing w:before="10"/>
        <w:rPr>
          <w:sz w:val="20"/>
        </w:rPr>
      </w:pPr>
    </w:p>
    <w:p>
      <w:pPr>
        <w:pStyle w:val="ListParagraph"/>
        <w:numPr>
          <w:ilvl w:val="0"/>
          <w:numId w:val="9"/>
        </w:numPr>
        <w:tabs>
          <w:tab w:pos="1225" w:val="left" w:leader="none"/>
        </w:tabs>
        <w:spacing w:line="252" w:lineRule="auto" w:before="0" w:after="0"/>
        <w:ind w:left="505" w:right="123" w:firstLine="0"/>
        <w:jc w:val="both"/>
        <w:rPr>
          <w:sz w:val="19"/>
        </w:rPr>
      </w:pPr>
      <w:r>
        <w:rPr>
          <w:w w:val="105"/>
          <w:sz w:val="19"/>
        </w:rPr>
        <w:t>En el marco de los Cuartos Encuentros de </w:t>
      </w:r>
      <w:r>
        <w:rPr>
          <w:spacing w:val="2"/>
          <w:w w:val="105"/>
          <w:sz w:val="19"/>
        </w:rPr>
        <w:t>Europa- </w:t>
      </w:r>
      <w:r>
        <w:rPr>
          <w:w w:val="105"/>
          <w:sz w:val="19"/>
        </w:rPr>
        <w:t>América Latina, Foro de Biarritz, organizado por el Gobierno estatal y celebrado en octubre de 2003 en Valle de Bravo, México; se llevó a cabo la Primera Reunión de la Red de Gobiernos Regionales para el Desarrollo</w:t>
      </w:r>
      <w:r>
        <w:rPr>
          <w:spacing w:val="55"/>
          <w:w w:val="105"/>
          <w:sz w:val="19"/>
        </w:rPr>
        <w:t> </w:t>
      </w:r>
      <w:r>
        <w:rPr>
          <w:w w:val="105"/>
          <w:sz w:val="19"/>
        </w:rPr>
        <w:t>Sustentable de Latinoamérica y del Caribe, siendo uno de los temas principales el agua y los servicios</w:t>
      </w:r>
      <w:r>
        <w:rPr>
          <w:spacing w:val="-18"/>
          <w:w w:val="105"/>
          <w:sz w:val="19"/>
        </w:rPr>
        <w:t> </w:t>
      </w:r>
      <w:r>
        <w:rPr>
          <w:w w:val="105"/>
          <w:sz w:val="19"/>
        </w:rPr>
        <w:t>ambientales.</w:t>
      </w:r>
    </w:p>
    <w:p>
      <w:pPr>
        <w:pStyle w:val="BodyText"/>
        <w:spacing w:before="5"/>
        <w:rPr>
          <w:sz w:val="20"/>
        </w:rPr>
      </w:pPr>
    </w:p>
    <w:p>
      <w:pPr>
        <w:pStyle w:val="ListParagraph"/>
        <w:numPr>
          <w:ilvl w:val="0"/>
          <w:numId w:val="9"/>
        </w:numPr>
        <w:tabs>
          <w:tab w:pos="1225" w:val="left" w:leader="none"/>
        </w:tabs>
        <w:spacing w:line="252" w:lineRule="auto" w:before="1" w:after="0"/>
        <w:ind w:left="505" w:right="122" w:firstLine="0"/>
        <w:jc w:val="both"/>
        <w:rPr>
          <w:sz w:val="19"/>
        </w:rPr>
      </w:pPr>
      <w:r>
        <w:rPr>
          <w:w w:val="105"/>
          <w:sz w:val="19"/>
        </w:rPr>
        <w:t>La Secretaría de Ecología promueve declaratorias de 14 presas, 5 manantiales, dos</w:t>
      </w:r>
      <w:r>
        <w:rPr>
          <w:spacing w:val="55"/>
          <w:w w:val="105"/>
          <w:sz w:val="19"/>
        </w:rPr>
        <w:t> </w:t>
      </w:r>
      <w:r>
        <w:rPr>
          <w:w w:val="105"/>
          <w:sz w:val="19"/>
        </w:rPr>
        <w:t>lagos, una laguna y dos humedales como santuarios del agua y santuarios forestales, con el fín</w:t>
      </w:r>
      <w:r>
        <w:rPr>
          <w:spacing w:val="55"/>
          <w:w w:val="105"/>
          <w:sz w:val="19"/>
        </w:rPr>
        <w:t> </w:t>
      </w:r>
      <w:r>
        <w:rPr>
          <w:w w:val="105"/>
          <w:sz w:val="19"/>
        </w:rPr>
        <w:t>de inducir acciones para la conservación de cuencas. Actualmente se cuenta con los Santuarios de Corral de Piedra en Amanalco, Laguna de Zumpango en la zona oriente de la entidad y la</w:t>
      </w:r>
      <w:r>
        <w:rPr>
          <w:spacing w:val="55"/>
          <w:w w:val="105"/>
          <w:sz w:val="19"/>
        </w:rPr>
        <w:t> </w:t>
      </w:r>
      <w:r>
        <w:rPr>
          <w:w w:val="105"/>
          <w:sz w:val="19"/>
        </w:rPr>
        <w:t>presa de Valle de</w:t>
      </w:r>
      <w:r>
        <w:rPr>
          <w:spacing w:val="-28"/>
          <w:w w:val="105"/>
          <w:sz w:val="19"/>
        </w:rPr>
        <w:t> </w:t>
      </w:r>
      <w:r>
        <w:rPr>
          <w:w w:val="105"/>
          <w:sz w:val="19"/>
        </w:rPr>
        <w:t>Bravo.</w:t>
      </w:r>
    </w:p>
    <w:p>
      <w:pPr>
        <w:pStyle w:val="BodyText"/>
        <w:spacing w:before="5"/>
        <w:rPr>
          <w:sz w:val="20"/>
        </w:rPr>
      </w:pPr>
    </w:p>
    <w:p>
      <w:pPr>
        <w:pStyle w:val="ListParagraph"/>
        <w:numPr>
          <w:ilvl w:val="0"/>
          <w:numId w:val="9"/>
        </w:numPr>
        <w:tabs>
          <w:tab w:pos="1225" w:val="left" w:leader="none"/>
        </w:tabs>
        <w:spacing w:line="252" w:lineRule="auto" w:before="1" w:after="0"/>
        <w:ind w:left="505" w:right="126" w:firstLine="0"/>
        <w:jc w:val="both"/>
        <w:rPr>
          <w:sz w:val="19"/>
        </w:rPr>
      </w:pPr>
      <w:r>
        <w:rPr>
          <w:w w:val="105"/>
          <w:sz w:val="19"/>
        </w:rPr>
        <w:t>Se </w:t>
      </w:r>
      <w:r>
        <w:rPr>
          <w:spacing w:val="2"/>
          <w:w w:val="105"/>
          <w:sz w:val="19"/>
        </w:rPr>
        <w:t>crea </w:t>
      </w:r>
      <w:r>
        <w:rPr>
          <w:w w:val="105"/>
          <w:sz w:val="19"/>
        </w:rPr>
        <w:t>la </w:t>
      </w:r>
      <w:r>
        <w:rPr>
          <w:spacing w:val="2"/>
          <w:w w:val="105"/>
          <w:sz w:val="19"/>
        </w:rPr>
        <w:t>Comisión </w:t>
      </w:r>
      <w:r>
        <w:rPr>
          <w:w w:val="105"/>
          <w:sz w:val="19"/>
        </w:rPr>
        <w:t>de </w:t>
      </w:r>
      <w:r>
        <w:rPr>
          <w:spacing w:val="2"/>
          <w:w w:val="105"/>
          <w:sz w:val="19"/>
        </w:rPr>
        <w:t>Cuenca </w:t>
      </w:r>
      <w:r>
        <w:rPr>
          <w:w w:val="105"/>
          <w:sz w:val="19"/>
        </w:rPr>
        <w:t>de </w:t>
      </w:r>
      <w:r>
        <w:rPr>
          <w:spacing w:val="2"/>
          <w:w w:val="105"/>
          <w:sz w:val="19"/>
        </w:rPr>
        <w:t>Valle </w:t>
      </w:r>
      <w:r>
        <w:rPr>
          <w:w w:val="105"/>
          <w:sz w:val="19"/>
        </w:rPr>
        <w:t>de </w:t>
      </w:r>
      <w:r>
        <w:rPr>
          <w:spacing w:val="2"/>
          <w:w w:val="105"/>
          <w:sz w:val="19"/>
        </w:rPr>
        <w:t>Bravo, presidida </w:t>
      </w:r>
      <w:r>
        <w:rPr>
          <w:w w:val="105"/>
          <w:sz w:val="19"/>
        </w:rPr>
        <w:t>por el </w:t>
      </w:r>
      <w:r>
        <w:rPr>
          <w:spacing w:val="2"/>
          <w:w w:val="105"/>
          <w:sz w:val="19"/>
        </w:rPr>
        <w:t>gobierno estatal, </w:t>
      </w:r>
      <w:r>
        <w:rPr>
          <w:spacing w:val="3"/>
          <w:w w:val="105"/>
          <w:sz w:val="19"/>
        </w:rPr>
        <w:t>con </w:t>
      </w:r>
      <w:r>
        <w:rPr>
          <w:w w:val="105"/>
          <w:sz w:val="19"/>
        </w:rPr>
        <w:t>los siguientes objetivos: coordinar programas para mejorar la administración del agua, contribuir a la construcción de infraestructura hidráulica y preservar los recursos naturales con una </w:t>
      </w:r>
      <w:r>
        <w:rPr>
          <w:spacing w:val="2"/>
          <w:w w:val="105"/>
          <w:sz w:val="19"/>
        </w:rPr>
        <w:t>visión </w:t>
      </w:r>
      <w:r>
        <w:rPr>
          <w:w w:val="105"/>
          <w:sz w:val="19"/>
        </w:rPr>
        <w:t>social.</w:t>
      </w:r>
    </w:p>
    <w:p>
      <w:pPr>
        <w:pStyle w:val="BodyText"/>
        <w:spacing w:before="2"/>
      </w:pPr>
    </w:p>
    <w:p>
      <w:pPr>
        <w:pStyle w:val="ListParagraph"/>
        <w:numPr>
          <w:ilvl w:val="0"/>
          <w:numId w:val="9"/>
        </w:numPr>
        <w:tabs>
          <w:tab w:pos="1225" w:val="left" w:leader="none"/>
        </w:tabs>
        <w:spacing w:line="264" w:lineRule="auto" w:before="0" w:after="0"/>
        <w:ind w:left="505" w:right="142" w:firstLine="0"/>
        <w:jc w:val="both"/>
        <w:rPr>
          <w:sz w:val="19"/>
        </w:rPr>
      </w:pPr>
      <w:r>
        <w:rPr>
          <w:w w:val="105"/>
          <w:sz w:val="19"/>
        </w:rPr>
        <w:t>Se prevé un programa estatal de reubicación de familias que viven en zonas de </w:t>
      </w:r>
      <w:r>
        <w:rPr>
          <w:spacing w:val="2"/>
          <w:w w:val="105"/>
          <w:sz w:val="19"/>
        </w:rPr>
        <w:t>riesgo </w:t>
      </w:r>
      <w:r>
        <w:rPr>
          <w:w w:val="105"/>
          <w:sz w:val="19"/>
        </w:rPr>
        <w:t>(orillas de ríos y lagos) a través de ofertas de vivienda en sitios</w:t>
      </w:r>
      <w:r>
        <w:rPr>
          <w:spacing w:val="3"/>
          <w:w w:val="105"/>
          <w:sz w:val="19"/>
        </w:rPr>
        <w:t> </w:t>
      </w:r>
      <w:r>
        <w:rPr>
          <w:w w:val="105"/>
          <w:sz w:val="19"/>
        </w:rPr>
        <w:t>seguros.</w:t>
      </w:r>
    </w:p>
    <w:p>
      <w:pPr>
        <w:pStyle w:val="BodyText"/>
        <w:spacing w:before="4"/>
        <w:rPr>
          <w:sz w:val="11"/>
        </w:rPr>
      </w:pPr>
    </w:p>
    <w:p>
      <w:pPr>
        <w:spacing w:after="0"/>
        <w:rPr>
          <w:sz w:val="11"/>
        </w:rPr>
        <w:sectPr>
          <w:pgSz w:w="12240" w:h="15840"/>
          <w:pgMar w:header="0" w:footer="711" w:top="1360" w:bottom="900" w:left="1580" w:right="1300"/>
        </w:sectPr>
      </w:pPr>
    </w:p>
    <w:p>
      <w:pPr>
        <w:pStyle w:val="ListParagraph"/>
        <w:numPr>
          <w:ilvl w:val="0"/>
          <w:numId w:val="9"/>
        </w:numPr>
        <w:tabs>
          <w:tab w:pos="1224" w:val="left" w:leader="none"/>
          <w:tab w:pos="1225" w:val="left" w:leader="none"/>
        </w:tabs>
        <w:spacing w:line="264" w:lineRule="auto" w:before="80" w:after="0"/>
        <w:ind w:left="505" w:right="0" w:firstLine="0"/>
        <w:jc w:val="left"/>
        <w:rPr>
          <w:sz w:val="19"/>
        </w:rPr>
      </w:pPr>
      <w:r>
        <w:rPr>
          <w:spacing w:val="4"/>
          <w:w w:val="102"/>
          <w:sz w:val="19"/>
        </w:rPr>
        <w:t>S</w:t>
      </w:r>
      <w:r>
        <w:rPr>
          <w:w w:val="102"/>
          <w:sz w:val="19"/>
        </w:rPr>
        <w:t>e</w:t>
      </w:r>
      <w:r>
        <w:rPr>
          <w:sz w:val="19"/>
        </w:rPr>
        <w:t> </w:t>
      </w:r>
      <w:r>
        <w:rPr>
          <w:spacing w:val="22"/>
          <w:sz w:val="19"/>
        </w:rPr>
        <w:t> </w:t>
      </w:r>
      <w:r>
        <w:rPr>
          <w:spacing w:val="4"/>
          <w:w w:val="102"/>
          <w:sz w:val="19"/>
        </w:rPr>
        <w:t>firm</w:t>
      </w:r>
      <w:r>
        <w:rPr>
          <w:w w:val="102"/>
          <w:sz w:val="19"/>
        </w:rPr>
        <w:t>ó</w:t>
      </w:r>
      <w:r>
        <w:rPr>
          <w:sz w:val="19"/>
        </w:rPr>
        <w:t> </w:t>
      </w:r>
      <w:r>
        <w:rPr>
          <w:spacing w:val="22"/>
          <w:sz w:val="19"/>
        </w:rPr>
        <w:t> </w:t>
      </w:r>
      <w:r>
        <w:rPr>
          <w:spacing w:val="4"/>
          <w:w w:val="102"/>
          <w:sz w:val="19"/>
        </w:rPr>
        <w:t>u</w:t>
      </w:r>
      <w:r>
        <w:rPr>
          <w:w w:val="102"/>
          <w:sz w:val="19"/>
        </w:rPr>
        <w:t>n</w:t>
      </w:r>
      <w:r>
        <w:rPr>
          <w:sz w:val="19"/>
        </w:rPr>
        <w:t> </w:t>
      </w:r>
      <w:r>
        <w:rPr>
          <w:spacing w:val="22"/>
          <w:sz w:val="19"/>
        </w:rPr>
        <w:t> </w:t>
      </w:r>
      <w:r>
        <w:rPr>
          <w:spacing w:val="4"/>
          <w:w w:val="102"/>
          <w:sz w:val="19"/>
        </w:rPr>
        <w:t>conveni</w:t>
      </w:r>
      <w:r>
        <w:rPr>
          <w:w w:val="102"/>
          <w:sz w:val="19"/>
        </w:rPr>
        <w:t>o</w:t>
      </w:r>
      <w:r>
        <w:rPr>
          <w:sz w:val="19"/>
        </w:rPr>
        <w:t> </w:t>
      </w:r>
      <w:r>
        <w:rPr>
          <w:spacing w:val="22"/>
          <w:sz w:val="19"/>
        </w:rPr>
        <w:t> </w:t>
      </w:r>
      <w:r>
        <w:rPr>
          <w:spacing w:val="4"/>
          <w:w w:val="102"/>
          <w:sz w:val="19"/>
        </w:rPr>
        <w:t>par</w:t>
      </w:r>
      <w:r>
        <w:rPr>
          <w:w w:val="102"/>
          <w:sz w:val="19"/>
        </w:rPr>
        <w:t>a</w:t>
      </w:r>
      <w:r>
        <w:rPr>
          <w:sz w:val="19"/>
        </w:rPr>
        <w:t> </w:t>
      </w:r>
      <w:r>
        <w:rPr>
          <w:spacing w:val="10"/>
          <w:sz w:val="19"/>
        </w:rPr>
        <w:t> </w:t>
      </w:r>
      <w:r>
        <w:rPr>
          <w:spacing w:val="-97"/>
          <w:w w:val="102"/>
          <w:sz w:val="19"/>
        </w:rPr>
        <w:t>a</w:t>
      </w:r>
      <w:r>
        <w:rPr>
          <w:w w:val="102"/>
          <w:sz w:val="19"/>
        </w:rPr>
        <w:t>l </w:t>
      </w:r>
      <w:r>
        <w:rPr>
          <w:w w:val="105"/>
          <w:sz w:val="19"/>
        </w:rPr>
        <w:t>gobierno estatal en materia</w:t>
      </w:r>
      <w:r>
        <w:rPr>
          <w:spacing w:val="-17"/>
          <w:w w:val="105"/>
          <w:sz w:val="19"/>
        </w:rPr>
        <w:t> </w:t>
      </w:r>
      <w:r>
        <w:rPr>
          <w:w w:val="105"/>
          <w:sz w:val="19"/>
        </w:rPr>
        <w:t>forestal.</w:t>
      </w:r>
    </w:p>
    <w:p>
      <w:pPr>
        <w:pStyle w:val="BodyText"/>
        <w:spacing w:before="80"/>
        <w:ind w:left="136"/>
      </w:pPr>
      <w:r>
        <w:rPr/>
        <w:br w:type="column"/>
      </w:r>
      <w:r>
        <w:rPr>
          <w:w w:val="105"/>
        </w:rPr>
        <w:t>descentralización  de  funciones  de  la  SEMARNAT  al</w:t>
      </w:r>
    </w:p>
    <w:p>
      <w:pPr>
        <w:spacing w:after="0"/>
        <w:sectPr>
          <w:type w:val="continuous"/>
          <w:pgSz w:w="12240" w:h="15840"/>
          <w:pgMar w:top="1360" w:bottom="900" w:left="1580" w:right="1300"/>
          <w:cols w:num="2" w:equalWidth="0">
            <w:col w:w="4041" w:space="40"/>
            <w:col w:w="5279"/>
          </w:cols>
        </w:sectPr>
      </w:pPr>
    </w:p>
    <w:p>
      <w:pPr>
        <w:pStyle w:val="BodyText"/>
        <w:spacing w:before="4"/>
        <w:rPr>
          <w:sz w:val="11"/>
        </w:rPr>
      </w:pPr>
    </w:p>
    <w:p>
      <w:pPr>
        <w:pStyle w:val="ListParagraph"/>
        <w:numPr>
          <w:ilvl w:val="0"/>
          <w:numId w:val="9"/>
        </w:numPr>
        <w:tabs>
          <w:tab w:pos="1225" w:val="left" w:leader="none"/>
        </w:tabs>
        <w:spacing w:line="254" w:lineRule="auto" w:before="80" w:after="0"/>
        <w:ind w:left="505" w:right="139" w:firstLine="0"/>
        <w:jc w:val="both"/>
        <w:rPr>
          <w:sz w:val="19"/>
        </w:rPr>
      </w:pPr>
      <w:r>
        <w:rPr>
          <w:w w:val="105"/>
          <w:sz w:val="19"/>
        </w:rPr>
        <w:t>Las Secretarías de Desarrollo Agropecuario y Ecología promueven el premio estatal de reforestación 2002-2003, priorizando los predios reforestados en cabeceras de cuenca y </w:t>
      </w:r>
      <w:r>
        <w:rPr>
          <w:spacing w:val="2"/>
          <w:w w:val="105"/>
          <w:sz w:val="19"/>
        </w:rPr>
        <w:t>con </w:t>
      </w:r>
      <w:r>
        <w:rPr>
          <w:w w:val="105"/>
          <w:sz w:val="19"/>
        </w:rPr>
        <w:t>especies nativas y considerando el porcentaje de</w:t>
      </w:r>
      <w:r>
        <w:rPr>
          <w:spacing w:val="-35"/>
          <w:w w:val="105"/>
          <w:sz w:val="19"/>
        </w:rPr>
        <w:t> </w:t>
      </w:r>
      <w:r>
        <w:rPr>
          <w:w w:val="105"/>
          <w:sz w:val="19"/>
        </w:rPr>
        <w:t>sobrevivencia.</w:t>
      </w:r>
    </w:p>
    <w:p>
      <w:pPr>
        <w:pStyle w:val="BodyText"/>
      </w:pPr>
    </w:p>
    <w:p>
      <w:pPr>
        <w:pStyle w:val="ListParagraph"/>
        <w:numPr>
          <w:ilvl w:val="0"/>
          <w:numId w:val="9"/>
        </w:numPr>
        <w:tabs>
          <w:tab w:pos="1225" w:val="left" w:leader="none"/>
        </w:tabs>
        <w:spacing w:line="252" w:lineRule="auto" w:before="0" w:after="0"/>
        <w:ind w:left="505" w:right="111" w:firstLine="0"/>
        <w:jc w:val="both"/>
        <w:rPr>
          <w:sz w:val="19"/>
        </w:rPr>
      </w:pPr>
      <w:r>
        <w:rPr>
          <w:w w:val="105"/>
          <w:sz w:val="19"/>
        </w:rPr>
        <w:t>El 16 de octubre de 2003 se decreta el Acuerdo del Ejecutivo Estatal para concentrar </w:t>
      </w:r>
      <w:r>
        <w:rPr>
          <w:spacing w:val="2"/>
          <w:w w:val="105"/>
          <w:sz w:val="19"/>
        </w:rPr>
        <w:t>los </w:t>
      </w:r>
      <w:r>
        <w:rPr>
          <w:w w:val="105"/>
          <w:sz w:val="19"/>
        </w:rPr>
        <w:t>esfuerzos de la acción gubernamental e impulsar el desarrollo integral de la población </w:t>
      </w:r>
      <w:r>
        <w:rPr>
          <w:spacing w:val="3"/>
          <w:w w:val="105"/>
          <w:sz w:val="19"/>
        </w:rPr>
        <w:t>asentada  </w:t>
      </w:r>
      <w:r>
        <w:rPr>
          <w:w w:val="105"/>
          <w:sz w:val="19"/>
        </w:rPr>
        <w:t>en regiones de atención prioritaria, entendiéndose estas como las zonas con alta vulnerabilidad social.</w:t>
      </w:r>
    </w:p>
    <w:p>
      <w:pPr>
        <w:pStyle w:val="BodyText"/>
        <w:spacing w:before="5"/>
        <w:rPr>
          <w:sz w:val="20"/>
        </w:rPr>
      </w:pPr>
    </w:p>
    <w:p>
      <w:pPr>
        <w:pStyle w:val="Heading3"/>
        <w:spacing w:before="1"/>
        <w:jc w:val="both"/>
        <w:rPr>
          <w:i/>
        </w:rPr>
      </w:pPr>
      <w:r>
        <w:rPr>
          <w:i/>
          <w:w w:val="105"/>
        </w:rPr>
        <w:t>Plano regional</w:t>
      </w:r>
    </w:p>
    <w:p>
      <w:pPr>
        <w:pStyle w:val="BodyText"/>
        <w:spacing w:before="5"/>
        <w:rPr>
          <w:b/>
          <w:i/>
          <w:sz w:val="21"/>
        </w:rPr>
      </w:pPr>
    </w:p>
    <w:p>
      <w:pPr>
        <w:pStyle w:val="BodyText"/>
        <w:tabs>
          <w:tab w:pos="1224" w:val="left" w:leader="none"/>
        </w:tabs>
        <w:spacing w:line="247" w:lineRule="auto"/>
        <w:ind w:left="505" w:right="111"/>
        <w:jc w:val="both"/>
      </w:pPr>
      <w:r>
        <w:rPr>
          <w:spacing w:val="-5"/>
          <w:w w:val="105"/>
        </w:rPr>
        <w:t>I.</w:t>
        <w:tab/>
      </w:r>
      <w:r>
        <w:rPr>
          <w:w w:val="105"/>
        </w:rPr>
        <w:t>El Gobierno del Estado de México ha elaborado planes de desarrollo para las</w:t>
      </w:r>
      <w:r>
        <w:rPr>
          <w:spacing w:val="11"/>
          <w:w w:val="105"/>
        </w:rPr>
        <w:t> </w:t>
      </w:r>
      <w:r>
        <w:rPr>
          <w:w w:val="105"/>
        </w:rPr>
        <w:t>12 regiones</w:t>
      </w:r>
      <w:r>
        <w:rPr>
          <w:spacing w:val="1"/>
          <w:w w:val="102"/>
        </w:rPr>
        <w:t> </w:t>
      </w:r>
      <w:r>
        <w:rPr>
          <w:w w:val="105"/>
        </w:rPr>
        <w:t>de la entidad, en los cuales se pretende establecer las infraestructura necesaria para promover el desarrollo socio-económico de cada una de</w:t>
      </w:r>
      <w:r>
        <w:rPr>
          <w:spacing w:val="-16"/>
          <w:w w:val="105"/>
        </w:rPr>
        <w:t> </w:t>
      </w:r>
      <w:r>
        <w:rPr>
          <w:w w:val="105"/>
        </w:rPr>
        <w:t>ellas.</w:t>
      </w:r>
    </w:p>
    <w:p>
      <w:pPr>
        <w:pStyle w:val="BodyText"/>
        <w:spacing w:before="10"/>
        <w:rPr>
          <w:sz w:val="20"/>
        </w:rPr>
      </w:pPr>
    </w:p>
    <w:p>
      <w:pPr>
        <w:pStyle w:val="Heading3"/>
        <w:jc w:val="both"/>
        <w:rPr>
          <w:i/>
        </w:rPr>
      </w:pPr>
      <w:r>
        <w:rPr>
          <w:i/>
          <w:w w:val="105"/>
        </w:rPr>
        <w:t>Plano local</w:t>
      </w:r>
    </w:p>
    <w:p>
      <w:pPr>
        <w:pStyle w:val="BodyText"/>
        <w:spacing w:before="5"/>
        <w:rPr>
          <w:b/>
          <w:i/>
          <w:sz w:val="21"/>
        </w:rPr>
      </w:pPr>
    </w:p>
    <w:p>
      <w:pPr>
        <w:pStyle w:val="BodyText"/>
        <w:spacing w:line="252" w:lineRule="auto"/>
        <w:ind w:left="115" w:right="124"/>
        <w:jc w:val="both"/>
      </w:pPr>
      <w:r>
        <w:rPr>
          <w:w w:val="105"/>
        </w:rPr>
        <w:t>Con la organización de los Cuartos Encuentros Europa – América Latina se invirtieron millonarias cantidades en obras tanto en Valle de Bravo como en Amanalco, algunas de las cuales se enfocaron a infraestructura para el saneamiento, conservación de suelos, reforestación, rehabilitación de caminos  y vialidades, mejoramiento de la imagen urbana, promoción de actividades culturales y artísticas, entre otros.</w:t>
      </w:r>
    </w:p>
    <w:p>
      <w:pPr>
        <w:pStyle w:val="BodyText"/>
        <w:rPr>
          <w:sz w:val="20"/>
        </w:rPr>
      </w:pPr>
    </w:p>
    <w:p>
      <w:pPr>
        <w:pStyle w:val="BodyText"/>
        <w:rPr>
          <w:sz w:val="20"/>
        </w:rPr>
      </w:pPr>
    </w:p>
    <w:p>
      <w:pPr>
        <w:pStyle w:val="BodyText"/>
        <w:rPr>
          <w:sz w:val="20"/>
        </w:rPr>
      </w:pPr>
    </w:p>
    <w:p>
      <w:pPr>
        <w:pStyle w:val="BodyText"/>
      </w:pPr>
    </w:p>
    <w:p>
      <w:pPr>
        <w:pStyle w:val="Heading1"/>
      </w:pPr>
      <w:r>
        <w:rPr/>
        <w:t>8.- RETOS</w:t>
      </w:r>
    </w:p>
    <w:p>
      <w:pPr>
        <w:pStyle w:val="BodyText"/>
        <w:rPr>
          <w:b/>
          <w:sz w:val="24"/>
        </w:rPr>
      </w:pPr>
    </w:p>
    <w:p>
      <w:pPr>
        <w:pStyle w:val="ListParagraph"/>
        <w:numPr>
          <w:ilvl w:val="0"/>
          <w:numId w:val="10"/>
        </w:numPr>
        <w:tabs>
          <w:tab w:pos="835" w:val="left" w:leader="none"/>
        </w:tabs>
        <w:spacing w:line="240" w:lineRule="auto" w:before="200" w:after="0"/>
        <w:ind w:left="835" w:right="0" w:hanging="360"/>
        <w:jc w:val="both"/>
        <w:rPr>
          <w:sz w:val="19"/>
        </w:rPr>
      </w:pPr>
      <w:r>
        <w:rPr>
          <w:w w:val="105"/>
          <w:sz w:val="19"/>
        </w:rPr>
        <w:t>Aprovechar el marco de referencia actual para impulsar la aplicación del</w:t>
      </w:r>
      <w:r>
        <w:rPr>
          <w:spacing w:val="-35"/>
          <w:w w:val="105"/>
          <w:sz w:val="19"/>
        </w:rPr>
        <w:t> </w:t>
      </w:r>
      <w:r>
        <w:rPr>
          <w:w w:val="105"/>
          <w:sz w:val="19"/>
        </w:rPr>
        <w:t>programa.</w:t>
      </w:r>
    </w:p>
    <w:p>
      <w:pPr>
        <w:spacing w:after="0" w:line="240" w:lineRule="auto"/>
        <w:jc w:val="both"/>
        <w:rPr>
          <w:sz w:val="19"/>
        </w:rPr>
        <w:sectPr>
          <w:type w:val="continuous"/>
          <w:pgSz w:w="12240" w:h="15840"/>
          <w:pgMar w:top="1360" w:bottom="900" w:left="1580" w:right="1300"/>
        </w:sectPr>
      </w:pPr>
    </w:p>
    <w:p>
      <w:pPr>
        <w:pStyle w:val="ListParagraph"/>
        <w:numPr>
          <w:ilvl w:val="0"/>
          <w:numId w:val="10"/>
        </w:numPr>
        <w:tabs>
          <w:tab w:pos="835" w:val="left" w:leader="none"/>
        </w:tabs>
        <w:spacing w:line="247" w:lineRule="auto" w:before="151" w:after="0"/>
        <w:ind w:left="835" w:right="133" w:hanging="360"/>
        <w:jc w:val="both"/>
        <w:rPr>
          <w:sz w:val="19"/>
        </w:rPr>
      </w:pPr>
      <w:r>
        <w:rPr>
          <w:w w:val="105"/>
          <w:sz w:val="19"/>
        </w:rPr>
        <w:t>Participar en las consultas de otros planes y programas, a fín de lograr incluir la variable ambiental en</w:t>
      </w:r>
      <w:r>
        <w:rPr>
          <w:spacing w:val="-11"/>
          <w:w w:val="105"/>
          <w:sz w:val="19"/>
        </w:rPr>
        <w:t> </w:t>
      </w:r>
      <w:r>
        <w:rPr>
          <w:w w:val="105"/>
          <w:sz w:val="19"/>
        </w:rPr>
        <w:t>ellos.</w:t>
      </w:r>
    </w:p>
    <w:p>
      <w:pPr>
        <w:pStyle w:val="BodyText"/>
        <w:spacing w:before="10"/>
        <w:rPr>
          <w:sz w:val="20"/>
        </w:rPr>
      </w:pPr>
    </w:p>
    <w:p>
      <w:pPr>
        <w:pStyle w:val="ListParagraph"/>
        <w:numPr>
          <w:ilvl w:val="0"/>
          <w:numId w:val="10"/>
        </w:numPr>
        <w:tabs>
          <w:tab w:pos="835" w:val="left" w:leader="none"/>
        </w:tabs>
        <w:spacing w:line="254" w:lineRule="auto" w:before="0" w:after="0"/>
        <w:ind w:left="835" w:right="103" w:hanging="360"/>
        <w:jc w:val="both"/>
        <w:rPr>
          <w:sz w:val="19"/>
        </w:rPr>
      </w:pPr>
      <w:r>
        <w:rPr>
          <w:w w:val="105"/>
          <w:sz w:val="19"/>
        </w:rPr>
        <w:t>De toda la gama de oportunidades y ventajas que ofrece la región en estos momentos, </w:t>
      </w:r>
      <w:r>
        <w:rPr>
          <w:spacing w:val="2"/>
          <w:w w:val="105"/>
          <w:sz w:val="19"/>
        </w:rPr>
        <w:t>apoyar </w:t>
      </w:r>
      <w:r>
        <w:rPr>
          <w:w w:val="105"/>
          <w:sz w:val="19"/>
        </w:rPr>
        <w:t>los proyectos congruentes con el ordenamiento y concertar aquellos que pudieran ser incongruentes, para que se encuentren soluciones</w:t>
      </w:r>
      <w:r>
        <w:rPr>
          <w:spacing w:val="-16"/>
          <w:w w:val="105"/>
          <w:sz w:val="19"/>
        </w:rPr>
        <w:t> </w:t>
      </w:r>
      <w:r>
        <w:rPr>
          <w:w w:val="105"/>
          <w:sz w:val="19"/>
        </w:rPr>
        <w:t>viables.</w:t>
      </w:r>
    </w:p>
    <w:p>
      <w:pPr>
        <w:pStyle w:val="BodyText"/>
      </w:pPr>
    </w:p>
    <w:p>
      <w:pPr>
        <w:pStyle w:val="ListParagraph"/>
        <w:numPr>
          <w:ilvl w:val="0"/>
          <w:numId w:val="10"/>
        </w:numPr>
        <w:tabs>
          <w:tab w:pos="835" w:val="left" w:leader="none"/>
        </w:tabs>
        <w:spacing w:line="254" w:lineRule="auto" w:before="0" w:after="0"/>
        <w:ind w:left="835" w:right="106" w:hanging="360"/>
        <w:jc w:val="both"/>
        <w:rPr>
          <w:sz w:val="19"/>
        </w:rPr>
      </w:pPr>
      <w:r>
        <w:rPr>
          <w:w w:val="105"/>
          <w:sz w:val="19"/>
        </w:rPr>
        <w:t>Se requiere de un arduo trabajo del comité </w:t>
      </w:r>
      <w:r>
        <w:rPr>
          <w:spacing w:val="-3"/>
          <w:w w:val="105"/>
          <w:sz w:val="19"/>
        </w:rPr>
        <w:t>para </w:t>
      </w:r>
      <w:r>
        <w:rPr>
          <w:w w:val="105"/>
          <w:sz w:val="19"/>
        </w:rPr>
        <w:t>plantear acciones y proyectos específicos y sus indicadores respectivos, de tal manera que el ordenamiento sea pionero a nivel nacional, promoviendo el acceso a la información de una manera</w:t>
      </w:r>
      <w:r>
        <w:rPr>
          <w:spacing w:val="-33"/>
          <w:w w:val="105"/>
          <w:sz w:val="19"/>
        </w:rPr>
        <w:t> </w:t>
      </w:r>
      <w:r>
        <w:rPr>
          <w:w w:val="105"/>
          <w:sz w:val="19"/>
        </w:rPr>
        <w:t>transparente.</w:t>
      </w:r>
    </w:p>
    <w:p>
      <w:pPr>
        <w:pStyle w:val="BodyText"/>
        <w:spacing w:before="3"/>
        <w:rPr>
          <w:sz w:val="20"/>
        </w:rPr>
      </w:pPr>
    </w:p>
    <w:p>
      <w:pPr>
        <w:pStyle w:val="ListParagraph"/>
        <w:numPr>
          <w:ilvl w:val="0"/>
          <w:numId w:val="10"/>
        </w:numPr>
        <w:tabs>
          <w:tab w:pos="835" w:val="left" w:leader="none"/>
        </w:tabs>
        <w:spacing w:line="247" w:lineRule="auto" w:before="1" w:after="0"/>
        <w:ind w:left="835" w:right="102" w:hanging="360"/>
        <w:jc w:val="both"/>
        <w:rPr>
          <w:sz w:val="19"/>
        </w:rPr>
      </w:pPr>
      <w:r>
        <w:rPr>
          <w:w w:val="105"/>
          <w:sz w:val="19"/>
        </w:rPr>
        <w:t>El programa tendrá que permear en todas las </w:t>
      </w:r>
      <w:r>
        <w:rPr>
          <w:spacing w:val="3"/>
          <w:w w:val="105"/>
          <w:sz w:val="19"/>
        </w:rPr>
        <w:t>políticas </w:t>
      </w:r>
      <w:r>
        <w:rPr>
          <w:w w:val="105"/>
          <w:sz w:val="19"/>
        </w:rPr>
        <w:t>del desarrollo social y económico, para lograr la sustentabilidad de la subcuenca a largo</w:t>
      </w:r>
      <w:r>
        <w:rPr>
          <w:spacing w:val="-19"/>
          <w:w w:val="105"/>
          <w:sz w:val="19"/>
        </w:rPr>
        <w:t> </w:t>
      </w:r>
      <w:r>
        <w:rPr>
          <w:w w:val="105"/>
          <w:sz w:val="19"/>
        </w:rPr>
        <w:t>plazo.</w:t>
      </w:r>
    </w:p>
    <w:p>
      <w:pPr>
        <w:pStyle w:val="BodyText"/>
        <w:spacing w:before="10"/>
        <w:rPr>
          <w:sz w:val="20"/>
        </w:rPr>
      </w:pPr>
    </w:p>
    <w:p>
      <w:pPr>
        <w:pStyle w:val="ListParagraph"/>
        <w:numPr>
          <w:ilvl w:val="0"/>
          <w:numId w:val="10"/>
        </w:numPr>
        <w:tabs>
          <w:tab w:pos="835" w:val="left" w:leader="none"/>
        </w:tabs>
        <w:spacing w:line="247" w:lineRule="auto" w:before="0" w:after="0"/>
        <w:ind w:left="835" w:right="103" w:hanging="360"/>
        <w:jc w:val="both"/>
        <w:rPr>
          <w:sz w:val="19"/>
        </w:rPr>
      </w:pPr>
      <w:r>
        <w:rPr>
          <w:w w:val="105"/>
          <w:sz w:val="19"/>
        </w:rPr>
        <w:t>Se tienen que establecer políticas con enfoque de género, por que al menos en el medio rural, las mujeres son las que padecen los costos ambientales de escasez de agua o de contaminación.</w:t>
      </w:r>
    </w:p>
    <w:p>
      <w:pPr>
        <w:pStyle w:val="BodyText"/>
        <w:spacing w:before="10"/>
        <w:rPr>
          <w:sz w:val="20"/>
        </w:rPr>
      </w:pPr>
    </w:p>
    <w:p>
      <w:pPr>
        <w:pStyle w:val="ListParagraph"/>
        <w:numPr>
          <w:ilvl w:val="0"/>
          <w:numId w:val="10"/>
        </w:numPr>
        <w:tabs>
          <w:tab w:pos="835" w:val="left" w:leader="none"/>
        </w:tabs>
        <w:spacing w:line="254" w:lineRule="auto" w:before="0" w:after="0"/>
        <w:ind w:left="835" w:right="106" w:hanging="360"/>
        <w:jc w:val="both"/>
        <w:rPr>
          <w:sz w:val="19"/>
        </w:rPr>
      </w:pPr>
      <w:r>
        <w:rPr>
          <w:w w:val="105"/>
          <w:sz w:val="19"/>
        </w:rPr>
        <w:t>La </w:t>
      </w:r>
      <w:r>
        <w:rPr>
          <w:spacing w:val="2"/>
          <w:w w:val="105"/>
          <w:sz w:val="19"/>
        </w:rPr>
        <w:t>participación </w:t>
      </w:r>
      <w:r>
        <w:rPr>
          <w:w w:val="105"/>
          <w:sz w:val="19"/>
        </w:rPr>
        <w:t>de la </w:t>
      </w:r>
      <w:r>
        <w:rPr>
          <w:spacing w:val="2"/>
          <w:w w:val="105"/>
          <w:sz w:val="19"/>
        </w:rPr>
        <w:t>ciudadanía </w:t>
      </w:r>
      <w:r>
        <w:rPr>
          <w:w w:val="105"/>
          <w:sz w:val="19"/>
        </w:rPr>
        <w:t>en </w:t>
      </w:r>
      <w:r>
        <w:rPr>
          <w:spacing w:val="2"/>
          <w:w w:val="105"/>
          <w:sz w:val="19"/>
        </w:rPr>
        <w:t>todo </w:t>
      </w:r>
      <w:r>
        <w:rPr>
          <w:w w:val="105"/>
          <w:sz w:val="19"/>
        </w:rPr>
        <w:t>el </w:t>
      </w:r>
      <w:r>
        <w:rPr>
          <w:spacing w:val="2"/>
          <w:w w:val="105"/>
          <w:sz w:val="19"/>
        </w:rPr>
        <w:t>proceso tendrá </w:t>
      </w:r>
      <w:r>
        <w:rPr>
          <w:w w:val="105"/>
          <w:sz w:val="19"/>
        </w:rPr>
        <w:t>que ser más </w:t>
      </w:r>
      <w:r>
        <w:rPr>
          <w:spacing w:val="2"/>
          <w:w w:val="105"/>
          <w:sz w:val="19"/>
        </w:rPr>
        <w:t>propositiva </w:t>
      </w:r>
      <w:r>
        <w:rPr>
          <w:spacing w:val="3"/>
          <w:w w:val="105"/>
          <w:sz w:val="19"/>
        </w:rPr>
        <w:t>que </w:t>
      </w:r>
      <w:r>
        <w:rPr>
          <w:w w:val="105"/>
          <w:sz w:val="19"/>
        </w:rPr>
        <w:t>inquisitiva y el gobierno cada vez más abierto para que juntos se logren consensos para el desarrollo regional</w:t>
      </w:r>
      <w:r>
        <w:rPr>
          <w:spacing w:val="-22"/>
          <w:w w:val="105"/>
          <w:sz w:val="19"/>
        </w:rPr>
        <w:t> </w:t>
      </w:r>
      <w:r>
        <w:rPr>
          <w:w w:val="105"/>
          <w:sz w:val="19"/>
        </w:rPr>
        <w:t>sustentable.</w:t>
      </w:r>
    </w:p>
    <w:p>
      <w:pPr>
        <w:pStyle w:val="BodyText"/>
        <w:rPr>
          <w:sz w:val="20"/>
        </w:rPr>
      </w:pPr>
    </w:p>
    <w:p>
      <w:pPr>
        <w:pStyle w:val="BodyText"/>
        <w:spacing w:before="10"/>
      </w:pPr>
    </w:p>
    <w:p>
      <w:pPr>
        <w:pStyle w:val="BodyText"/>
        <w:spacing w:line="247" w:lineRule="auto"/>
        <w:ind w:left="115" w:right="102"/>
        <w:jc w:val="both"/>
      </w:pPr>
      <w:r>
        <w:rPr>
          <w:w w:val="105"/>
        </w:rPr>
        <w:t>Los retos son muchos y muy grandes, pero si todos hacemos lo que nos corresponde desde  cualquiera de nuestros ámbitos, la tarea se cumplirá en menos</w:t>
      </w:r>
      <w:r>
        <w:rPr>
          <w:spacing w:val="-28"/>
          <w:w w:val="105"/>
        </w:rPr>
        <w:t> </w:t>
      </w:r>
      <w:r>
        <w:rPr>
          <w:w w:val="105"/>
        </w:rPr>
        <w:t>tiempo.</w:t>
      </w:r>
    </w:p>
    <w:p>
      <w:pPr>
        <w:pStyle w:val="BodyText"/>
        <w:spacing w:before="6"/>
      </w:pPr>
    </w:p>
    <w:p>
      <w:pPr>
        <w:pStyle w:val="BodyText"/>
        <w:spacing w:line="254" w:lineRule="auto"/>
        <w:ind w:left="115" w:right="108"/>
        <w:jc w:val="both"/>
      </w:pPr>
      <w:r>
        <w:rPr>
          <w:w w:val="105"/>
        </w:rPr>
        <w:t>Concluyo con una frase de la Premio Nobel de la Paz, Rigoberta Menchú: “Hay que hacer un uso sustentable de la naturaleza, basado en el amor, el respeto y la piedad hacia ella, atendiendo también las necesidades de los pobres, por que en esta lucha por la coexistencia, nadie sobra ni nadie falta”.</w:t>
      </w:r>
    </w:p>
    <w:p>
      <w:pPr>
        <w:pStyle w:val="BodyText"/>
        <w:rPr>
          <w:sz w:val="20"/>
        </w:rPr>
      </w:pPr>
    </w:p>
    <w:p>
      <w:pPr>
        <w:pStyle w:val="BodyText"/>
        <w:spacing w:before="4"/>
        <w:rPr>
          <w:sz w:val="18"/>
        </w:rPr>
      </w:pPr>
    </w:p>
    <w:p>
      <w:pPr>
        <w:pStyle w:val="Heading1"/>
        <w:spacing w:before="1"/>
      </w:pPr>
      <w:r>
        <w:rPr/>
        <w:t>BIBLIOGRAFÍA</w:t>
      </w:r>
    </w:p>
    <w:p>
      <w:pPr>
        <w:pStyle w:val="BodyText"/>
        <w:spacing w:before="9"/>
        <w:rPr>
          <w:b/>
          <w:sz w:val="21"/>
        </w:rPr>
      </w:pPr>
    </w:p>
    <w:p>
      <w:pPr>
        <w:pStyle w:val="BodyText"/>
        <w:spacing w:line="247" w:lineRule="auto"/>
        <w:ind w:left="115" w:right="104"/>
        <w:jc w:val="both"/>
      </w:pPr>
      <w:r>
        <w:rPr>
          <w:w w:val="105"/>
        </w:rPr>
        <w:t>Gaceta del Gobierno del Estado de México. No. 87. Decreto del Programa de Ordenamiento Ecológico Regional de la Subcuenca de Valle de Bravo – Amanalco. 30 de Octubre de 2003.</w:t>
      </w:r>
    </w:p>
    <w:p>
      <w:pPr>
        <w:pStyle w:val="BodyText"/>
        <w:spacing w:before="10"/>
        <w:rPr>
          <w:sz w:val="20"/>
        </w:rPr>
      </w:pPr>
    </w:p>
    <w:p>
      <w:pPr>
        <w:pStyle w:val="BodyText"/>
        <w:spacing w:line="247" w:lineRule="auto"/>
        <w:ind w:left="115" w:right="107"/>
        <w:jc w:val="both"/>
      </w:pPr>
      <w:r>
        <w:rPr>
          <w:w w:val="105"/>
        </w:rPr>
        <w:t>Gobierno del Estado de México. Programa de Ordenamiento Ecológico Regional de la Subcuenca de Valle de Bravo – Amanalco. 2003.</w:t>
      </w:r>
    </w:p>
    <w:p>
      <w:pPr>
        <w:pStyle w:val="BodyText"/>
        <w:rPr>
          <w:sz w:val="20"/>
        </w:rPr>
      </w:pPr>
    </w:p>
    <w:p>
      <w:pPr>
        <w:pStyle w:val="BodyText"/>
        <w:spacing w:before="5"/>
        <w:rPr>
          <w:sz w:val="20"/>
        </w:rPr>
      </w:pPr>
    </w:p>
    <w:p>
      <w:pPr>
        <w:pStyle w:val="BodyText"/>
        <w:ind w:left="115"/>
        <w:jc w:val="both"/>
      </w:pPr>
      <w:r>
        <w:rPr>
          <w:w w:val="105"/>
        </w:rPr>
        <w:t>http/www/edomex.gob.mx. Comunicados de prensa.</w:t>
      </w:r>
    </w:p>
    <w:sectPr>
      <w:pgSz w:w="12240" w:h="15840"/>
      <w:pgMar w:header="0" w:footer="711" w:top="1500" w:bottom="900" w:left="158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Marlett">
    <w:altName w:val="Marlett"/>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3.75pt;margin-top:745.457153pt;width:218.3pt;height:11pt;mso-position-horizontal-relative:page;mso-position-vertical-relative:page;z-index:-22240" type="#_x0000_t202" filled="false" stroked="false">
          <v:textbox inset="0,0,0,0">
            <w:txbxContent>
              <w:p>
                <w:pPr>
                  <w:spacing w:line="204" w:lineRule="exact" w:before="0"/>
                  <w:ind w:left="20" w:right="0" w:firstLine="0"/>
                  <w:jc w:val="left"/>
                  <w:rPr>
                    <w:sz w:val="18"/>
                  </w:rPr>
                </w:pPr>
                <w:r>
                  <w:rPr>
                    <w:sz w:val="18"/>
                  </w:rPr>
                  <w:t>II Congreso Internacional de Ordenación del Territorio</w:t>
                </w:r>
              </w:p>
            </w:txbxContent>
          </v:textbox>
          <w10:wrap type="none"/>
        </v:shape>
      </w:pict>
    </w:r>
    <w:r>
      <w:rPr/>
      <w:pict>
        <v:shape style="position:absolute;margin-left:338.545807pt;margin-top:745.457153pt;width:184.5pt;height:11pt;mso-position-horizontal-relative:page;mso-position-vertical-relative:page;z-index:-22216" type="#_x0000_t202" filled="false" stroked="false">
          <v:textbox inset="0,0,0,0">
            <w:txbxContent>
              <w:p>
                <w:pPr>
                  <w:spacing w:line="204" w:lineRule="exact" w:before="0"/>
                  <w:ind w:left="20" w:right="0" w:firstLine="0"/>
                  <w:jc w:val="left"/>
                  <w:rPr>
                    <w:sz w:val="18"/>
                  </w:rPr>
                </w:pPr>
                <w:r>
                  <w:rPr>
                    <w:sz w:val="18"/>
                  </w:rPr>
                  <w:t>Toluca, </w:t>
                </w:r>
                <w:r>
                  <w:rPr>
                    <w:spacing w:val="-7"/>
                    <w:sz w:val="18"/>
                  </w:rPr>
                  <w:t>Mé </w:t>
                </w:r>
                <w:r>
                  <w:rPr>
                    <w:sz w:val="18"/>
                  </w:rPr>
                  <w:t>xico; 26-28 de Noviembre de</w:t>
                </w:r>
                <w:r>
                  <w:rPr>
                    <w:spacing w:val="-33"/>
                    <w:sz w:val="18"/>
                  </w:rPr>
                  <w:t> </w:t>
                </w:r>
                <w:r>
                  <w:rPr>
                    <w:sz w:val="18"/>
                  </w:rPr>
                  <w:t>2003</w:t>
                </w:r>
              </w:p>
            </w:txbxContent>
          </v:textbox>
          <w10:wrap type="none"/>
        </v:shape>
      </w:pict>
    </w:r>
    <w:r>
      <w:rPr/>
      <w:pict>
        <v:shape style="position:absolute;margin-left:533.75pt;margin-top:746.093933pt;width:8pt;height:14pt;mso-position-horizontal-relative:page;mso-position-vertical-relative:page;z-index:-22192" type="#_x0000_t202" filled="false" stroked="false">
          <v:textbox inset="0,0,0,0">
            <w:txbxContent>
              <w:p>
                <w:pPr>
                  <w:spacing w:line="265" w:lineRule="exact" w:before="0"/>
                  <w:ind w:left="20" w:right="0" w:firstLine="0"/>
                  <w:jc w:val="left"/>
                  <w:rPr>
                    <w:rFonts w:ascii="Times New Roman"/>
                    <w:sz w:val="24"/>
                  </w:rPr>
                </w:pPr>
                <w:r>
                  <w:rPr>
                    <w:rFonts w:ascii="Times New Roman"/>
                    <w:sz w:val="24"/>
                  </w:rPr>
                  <w:t>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75pt;margin-top:745.457153pt;width:218.3pt;height:11pt;mso-position-horizontal-relative:page;mso-position-vertical-relative:page;z-index:-22168" type="#_x0000_t202" filled="false" stroked="false">
          <v:textbox inset="0,0,0,0">
            <w:txbxContent>
              <w:p>
                <w:pPr>
                  <w:spacing w:line="204" w:lineRule="exact" w:before="0"/>
                  <w:ind w:left="20" w:right="0" w:firstLine="0"/>
                  <w:jc w:val="left"/>
                  <w:rPr>
                    <w:sz w:val="18"/>
                  </w:rPr>
                </w:pPr>
                <w:r>
                  <w:rPr>
                    <w:sz w:val="18"/>
                  </w:rPr>
                  <w:t>II Congreso Internacional de Ordenación del Territorio</w:t>
                </w:r>
              </w:p>
            </w:txbxContent>
          </v:textbox>
          <w10:wrap type="none"/>
        </v:shape>
      </w:pict>
    </w:r>
    <w:r>
      <w:rPr/>
      <w:pict>
        <v:shape style="position:absolute;margin-left:338.545807pt;margin-top:745.457153pt;width:184.5pt;height:11pt;mso-position-horizontal-relative:page;mso-position-vertical-relative:page;z-index:-22144" type="#_x0000_t202" filled="false" stroked="false">
          <v:textbox inset="0,0,0,0">
            <w:txbxContent>
              <w:p>
                <w:pPr>
                  <w:spacing w:line="204" w:lineRule="exact" w:before="0"/>
                  <w:ind w:left="20" w:right="0" w:firstLine="0"/>
                  <w:jc w:val="left"/>
                  <w:rPr>
                    <w:sz w:val="18"/>
                  </w:rPr>
                </w:pPr>
                <w:r>
                  <w:rPr>
                    <w:sz w:val="18"/>
                  </w:rPr>
                  <w:t>Toluca, </w:t>
                </w:r>
                <w:r>
                  <w:rPr>
                    <w:spacing w:val="-7"/>
                    <w:sz w:val="18"/>
                  </w:rPr>
                  <w:t>Mé </w:t>
                </w:r>
                <w:r>
                  <w:rPr>
                    <w:sz w:val="18"/>
                  </w:rPr>
                  <w:t>xico; 26-28 de Noviembre de</w:t>
                </w:r>
                <w:r>
                  <w:rPr>
                    <w:spacing w:val="-33"/>
                    <w:sz w:val="18"/>
                  </w:rPr>
                  <w:t> </w:t>
                </w:r>
                <w:r>
                  <w:rPr>
                    <w:sz w:val="18"/>
                  </w:rPr>
                  <w:t>2003</w:t>
                </w:r>
              </w:p>
            </w:txbxContent>
          </v:textbox>
          <w10:wrap type="none"/>
        </v:shape>
      </w:pict>
    </w:r>
    <w:r>
      <w:rPr/>
      <w:pict>
        <v:shape style="position:absolute;margin-left:532.75pt;margin-top:746.093933pt;width:10pt;height:14pt;mso-position-horizontal-relative:page;mso-position-vertical-relative:page;z-index:-22120"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3.75pt;margin-top:745.457153pt;width:218.3pt;height:11pt;mso-position-horizontal-relative:page;mso-position-vertical-relative:page;z-index:-22096" type="#_x0000_t202" filled="false" stroked="false">
          <v:textbox inset="0,0,0,0">
            <w:txbxContent>
              <w:p>
                <w:pPr>
                  <w:spacing w:line="204" w:lineRule="exact" w:before="0"/>
                  <w:ind w:left="20" w:right="0" w:firstLine="0"/>
                  <w:jc w:val="left"/>
                  <w:rPr>
                    <w:sz w:val="18"/>
                  </w:rPr>
                </w:pPr>
                <w:r>
                  <w:rPr>
                    <w:sz w:val="18"/>
                  </w:rPr>
                  <w:t>II Congreso Internacional de Ordenación del Territorio</w:t>
                </w:r>
              </w:p>
            </w:txbxContent>
          </v:textbox>
          <w10:wrap type="none"/>
        </v:shape>
      </w:pict>
    </w:r>
    <w:r>
      <w:rPr/>
      <w:pict>
        <v:shape style="position:absolute;margin-left:338.545807pt;margin-top:745.457153pt;width:184.5pt;height:11pt;mso-position-horizontal-relative:page;mso-position-vertical-relative:page;z-index:-22072" type="#_x0000_t202" filled="false" stroked="false">
          <v:textbox inset="0,0,0,0">
            <w:txbxContent>
              <w:p>
                <w:pPr>
                  <w:spacing w:line="204" w:lineRule="exact" w:before="0"/>
                  <w:ind w:left="20" w:right="0" w:firstLine="0"/>
                  <w:jc w:val="left"/>
                  <w:rPr>
                    <w:sz w:val="18"/>
                  </w:rPr>
                </w:pPr>
                <w:r>
                  <w:rPr>
                    <w:sz w:val="18"/>
                  </w:rPr>
                  <w:t>Toluca, </w:t>
                </w:r>
                <w:r>
                  <w:rPr>
                    <w:spacing w:val="-7"/>
                    <w:sz w:val="18"/>
                  </w:rPr>
                  <w:t>Mé </w:t>
                </w:r>
                <w:r>
                  <w:rPr>
                    <w:sz w:val="18"/>
                  </w:rPr>
                  <w:t>xico; 26-28 de Noviembre de</w:t>
                </w:r>
                <w:r>
                  <w:rPr>
                    <w:spacing w:val="-33"/>
                    <w:sz w:val="18"/>
                  </w:rPr>
                  <w:t> </w:t>
                </w:r>
                <w:r>
                  <w:rPr>
                    <w:sz w:val="18"/>
                  </w:rPr>
                  <w:t>2003</w:t>
                </w:r>
              </w:p>
            </w:txbxContent>
          </v:textbox>
          <w10:wrap type="none"/>
        </v:shape>
      </w:pict>
    </w:r>
    <w:r>
      <w:rPr/>
      <w:pict>
        <v:shape style="position:absolute;margin-left:526.75pt;margin-top:746.093933pt;width:16pt;height:14pt;mso-position-horizontal-relative:page;mso-position-vertical-relative:page;z-index:-22048"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upperLetter"/>
      <w:lvlText w:val="%1)"/>
      <w:lvlJc w:val="left"/>
      <w:pPr>
        <w:ind w:left="835" w:hanging="360"/>
        <w:jc w:val="left"/>
      </w:pPr>
      <w:rPr>
        <w:rFonts w:hint="default" w:ascii="Arial" w:hAnsi="Arial" w:eastAsia="Arial" w:cs="Arial"/>
        <w:spacing w:val="0"/>
        <w:w w:val="102"/>
        <w:sz w:val="19"/>
        <w:szCs w:val="19"/>
      </w:rPr>
    </w:lvl>
    <w:lvl w:ilvl="1">
      <w:start w:val="1"/>
      <w:numFmt w:val="lowerLetter"/>
      <w:lvlText w:val="%2)"/>
      <w:lvlJc w:val="left"/>
      <w:pPr>
        <w:ind w:left="850" w:hanging="375"/>
        <w:jc w:val="right"/>
      </w:pPr>
      <w:rPr>
        <w:rFonts w:hint="default" w:ascii="Arial" w:hAnsi="Arial" w:eastAsia="Arial" w:cs="Arial"/>
        <w:spacing w:val="-5"/>
        <w:w w:val="102"/>
        <w:sz w:val="19"/>
        <w:szCs w:val="19"/>
      </w:rPr>
    </w:lvl>
    <w:lvl w:ilvl="2">
      <w:start w:val="1"/>
      <w:numFmt w:val="bullet"/>
      <w:lvlText w:val="•"/>
      <w:lvlJc w:val="left"/>
      <w:pPr>
        <w:ind w:left="1804" w:hanging="375"/>
      </w:pPr>
      <w:rPr>
        <w:rFonts w:hint="default"/>
      </w:rPr>
    </w:lvl>
    <w:lvl w:ilvl="3">
      <w:start w:val="1"/>
      <w:numFmt w:val="bullet"/>
      <w:lvlText w:val="•"/>
      <w:lvlJc w:val="left"/>
      <w:pPr>
        <w:ind w:left="2748" w:hanging="375"/>
      </w:pPr>
      <w:rPr>
        <w:rFonts w:hint="default"/>
      </w:rPr>
    </w:lvl>
    <w:lvl w:ilvl="4">
      <w:start w:val="1"/>
      <w:numFmt w:val="bullet"/>
      <w:lvlText w:val="•"/>
      <w:lvlJc w:val="left"/>
      <w:pPr>
        <w:ind w:left="3693" w:hanging="375"/>
      </w:pPr>
      <w:rPr>
        <w:rFonts w:hint="default"/>
      </w:rPr>
    </w:lvl>
    <w:lvl w:ilvl="5">
      <w:start w:val="1"/>
      <w:numFmt w:val="bullet"/>
      <w:lvlText w:val="•"/>
      <w:lvlJc w:val="left"/>
      <w:pPr>
        <w:ind w:left="4637" w:hanging="375"/>
      </w:pPr>
      <w:rPr>
        <w:rFonts w:hint="default"/>
      </w:rPr>
    </w:lvl>
    <w:lvl w:ilvl="6">
      <w:start w:val="1"/>
      <w:numFmt w:val="bullet"/>
      <w:lvlText w:val="•"/>
      <w:lvlJc w:val="left"/>
      <w:pPr>
        <w:ind w:left="5582" w:hanging="375"/>
      </w:pPr>
      <w:rPr>
        <w:rFonts w:hint="default"/>
      </w:rPr>
    </w:lvl>
    <w:lvl w:ilvl="7">
      <w:start w:val="1"/>
      <w:numFmt w:val="bullet"/>
      <w:lvlText w:val="•"/>
      <w:lvlJc w:val="left"/>
      <w:pPr>
        <w:ind w:left="6526" w:hanging="375"/>
      </w:pPr>
      <w:rPr>
        <w:rFonts w:hint="default"/>
      </w:rPr>
    </w:lvl>
    <w:lvl w:ilvl="8">
      <w:start w:val="1"/>
      <w:numFmt w:val="bullet"/>
      <w:lvlText w:val="•"/>
      <w:lvlJc w:val="left"/>
      <w:pPr>
        <w:ind w:left="7471" w:hanging="375"/>
      </w:pPr>
      <w:rPr>
        <w:rFonts w:hint="default"/>
      </w:rPr>
    </w:lvl>
  </w:abstractNum>
  <w:abstractNum w:abstractNumId="9">
    <w:multiLevelType w:val="hybridMultilevel"/>
    <w:lvl w:ilvl="0">
      <w:start w:val="1"/>
      <w:numFmt w:val="lowerLetter"/>
      <w:lvlText w:val="%1)"/>
      <w:lvlJc w:val="left"/>
      <w:pPr>
        <w:ind w:left="835" w:hanging="360"/>
        <w:jc w:val="left"/>
      </w:pPr>
      <w:rPr>
        <w:rFonts w:hint="default" w:ascii="Arial" w:hAnsi="Arial" w:eastAsia="Arial" w:cs="Arial"/>
        <w:spacing w:val="-5"/>
        <w:w w:val="102"/>
        <w:sz w:val="19"/>
        <w:szCs w:val="19"/>
      </w:rPr>
    </w:lvl>
    <w:lvl w:ilvl="1">
      <w:start w:val="1"/>
      <w:numFmt w:val="bullet"/>
      <w:lvlText w:val="•"/>
      <w:lvlJc w:val="left"/>
      <w:pPr>
        <w:ind w:left="1692" w:hanging="360"/>
      </w:pPr>
      <w:rPr>
        <w:rFonts w:hint="default"/>
      </w:rPr>
    </w:lvl>
    <w:lvl w:ilvl="2">
      <w:start w:val="1"/>
      <w:numFmt w:val="bullet"/>
      <w:lvlText w:val="•"/>
      <w:lvlJc w:val="left"/>
      <w:pPr>
        <w:ind w:left="2544" w:hanging="360"/>
      </w:pPr>
      <w:rPr>
        <w:rFonts w:hint="default"/>
      </w:rPr>
    </w:lvl>
    <w:lvl w:ilvl="3">
      <w:start w:val="1"/>
      <w:numFmt w:val="bullet"/>
      <w:lvlText w:val="•"/>
      <w:lvlJc w:val="left"/>
      <w:pPr>
        <w:ind w:left="3396" w:hanging="360"/>
      </w:pPr>
      <w:rPr>
        <w:rFonts w:hint="default"/>
      </w:rPr>
    </w:lvl>
    <w:lvl w:ilvl="4">
      <w:start w:val="1"/>
      <w:numFmt w:val="bullet"/>
      <w:lvlText w:val="•"/>
      <w:lvlJc w:val="left"/>
      <w:pPr>
        <w:ind w:left="4248"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656" w:hanging="360"/>
      </w:pPr>
      <w:rPr>
        <w:rFonts w:hint="default"/>
      </w:rPr>
    </w:lvl>
  </w:abstractNum>
  <w:abstractNum w:abstractNumId="8">
    <w:multiLevelType w:val="hybridMultilevel"/>
    <w:lvl w:ilvl="0">
      <w:start w:val="1"/>
      <w:numFmt w:val="upperRoman"/>
      <w:lvlText w:val="%1."/>
      <w:lvlJc w:val="left"/>
      <w:pPr>
        <w:ind w:left="505" w:hanging="720"/>
        <w:jc w:val="left"/>
      </w:pPr>
      <w:rPr>
        <w:rFonts w:hint="default" w:ascii="Arial" w:hAnsi="Arial" w:eastAsia="Arial" w:cs="Arial"/>
        <w:spacing w:val="-10"/>
        <w:w w:val="102"/>
        <w:sz w:val="19"/>
        <w:szCs w:val="19"/>
      </w:rPr>
    </w:lvl>
    <w:lvl w:ilvl="1">
      <w:start w:val="1"/>
      <w:numFmt w:val="bullet"/>
      <w:lvlText w:val="•"/>
      <w:lvlJc w:val="left"/>
      <w:pPr>
        <w:ind w:left="1386" w:hanging="720"/>
      </w:pPr>
      <w:rPr>
        <w:rFonts w:hint="default"/>
      </w:rPr>
    </w:lvl>
    <w:lvl w:ilvl="2">
      <w:start w:val="1"/>
      <w:numFmt w:val="bullet"/>
      <w:lvlText w:val="•"/>
      <w:lvlJc w:val="left"/>
      <w:pPr>
        <w:ind w:left="2272" w:hanging="720"/>
      </w:pPr>
      <w:rPr>
        <w:rFonts w:hint="default"/>
      </w:rPr>
    </w:lvl>
    <w:lvl w:ilvl="3">
      <w:start w:val="1"/>
      <w:numFmt w:val="bullet"/>
      <w:lvlText w:val="•"/>
      <w:lvlJc w:val="left"/>
      <w:pPr>
        <w:ind w:left="3158" w:hanging="720"/>
      </w:pPr>
      <w:rPr>
        <w:rFonts w:hint="default"/>
      </w:rPr>
    </w:lvl>
    <w:lvl w:ilvl="4">
      <w:start w:val="1"/>
      <w:numFmt w:val="bullet"/>
      <w:lvlText w:val="•"/>
      <w:lvlJc w:val="left"/>
      <w:pPr>
        <w:ind w:left="4044" w:hanging="720"/>
      </w:pPr>
      <w:rPr>
        <w:rFonts w:hint="default"/>
      </w:rPr>
    </w:lvl>
    <w:lvl w:ilvl="5">
      <w:start w:val="1"/>
      <w:numFmt w:val="bullet"/>
      <w:lvlText w:val="•"/>
      <w:lvlJc w:val="left"/>
      <w:pPr>
        <w:ind w:left="4930" w:hanging="720"/>
      </w:pPr>
      <w:rPr>
        <w:rFonts w:hint="default"/>
      </w:rPr>
    </w:lvl>
    <w:lvl w:ilvl="6">
      <w:start w:val="1"/>
      <w:numFmt w:val="bullet"/>
      <w:lvlText w:val="•"/>
      <w:lvlJc w:val="left"/>
      <w:pPr>
        <w:ind w:left="5816" w:hanging="720"/>
      </w:pPr>
      <w:rPr>
        <w:rFonts w:hint="default"/>
      </w:rPr>
    </w:lvl>
    <w:lvl w:ilvl="7">
      <w:start w:val="1"/>
      <w:numFmt w:val="bullet"/>
      <w:lvlText w:val="•"/>
      <w:lvlJc w:val="left"/>
      <w:pPr>
        <w:ind w:left="6702" w:hanging="720"/>
      </w:pPr>
      <w:rPr>
        <w:rFonts w:hint="default"/>
      </w:rPr>
    </w:lvl>
    <w:lvl w:ilvl="8">
      <w:start w:val="1"/>
      <w:numFmt w:val="bullet"/>
      <w:lvlText w:val="•"/>
      <w:lvlJc w:val="left"/>
      <w:pPr>
        <w:ind w:left="7588" w:hanging="720"/>
      </w:pPr>
      <w:rPr>
        <w:rFonts w:hint="default"/>
      </w:rPr>
    </w:lvl>
  </w:abstractNum>
  <w:abstractNum w:abstractNumId="7">
    <w:multiLevelType w:val="hybridMultilevel"/>
    <w:lvl w:ilvl="0">
      <w:start w:val="1"/>
      <w:numFmt w:val="upperRoman"/>
      <w:lvlText w:val="%1."/>
      <w:lvlJc w:val="left"/>
      <w:pPr>
        <w:ind w:left="505" w:hanging="720"/>
        <w:jc w:val="left"/>
      </w:pPr>
      <w:rPr>
        <w:rFonts w:hint="default" w:ascii="Arial" w:hAnsi="Arial" w:eastAsia="Arial" w:cs="Arial"/>
        <w:spacing w:val="-10"/>
        <w:w w:val="102"/>
        <w:sz w:val="19"/>
        <w:szCs w:val="19"/>
      </w:rPr>
    </w:lvl>
    <w:lvl w:ilvl="1">
      <w:start w:val="1"/>
      <w:numFmt w:val="bullet"/>
      <w:lvlText w:val="•"/>
      <w:lvlJc w:val="left"/>
      <w:pPr>
        <w:ind w:left="1386" w:hanging="720"/>
      </w:pPr>
      <w:rPr>
        <w:rFonts w:hint="default"/>
      </w:rPr>
    </w:lvl>
    <w:lvl w:ilvl="2">
      <w:start w:val="1"/>
      <w:numFmt w:val="bullet"/>
      <w:lvlText w:val="•"/>
      <w:lvlJc w:val="left"/>
      <w:pPr>
        <w:ind w:left="2272" w:hanging="720"/>
      </w:pPr>
      <w:rPr>
        <w:rFonts w:hint="default"/>
      </w:rPr>
    </w:lvl>
    <w:lvl w:ilvl="3">
      <w:start w:val="1"/>
      <w:numFmt w:val="bullet"/>
      <w:lvlText w:val="•"/>
      <w:lvlJc w:val="left"/>
      <w:pPr>
        <w:ind w:left="3158" w:hanging="720"/>
      </w:pPr>
      <w:rPr>
        <w:rFonts w:hint="default"/>
      </w:rPr>
    </w:lvl>
    <w:lvl w:ilvl="4">
      <w:start w:val="1"/>
      <w:numFmt w:val="bullet"/>
      <w:lvlText w:val="•"/>
      <w:lvlJc w:val="left"/>
      <w:pPr>
        <w:ind w:left="4044" w:hanging="720"/>
      </w:pPr>
      <w:rPr>
        <w:rFonts w:hint="default"/>
      </w:rPr>
    </w:lvl>
    <w:lvl w:ilvl="5">
      <w:start w:val="1"/>
      <w:numFmt w:val="bullet"/>
      <w:lvlText w:val="•"/>
      <w:lvlJc w:val="left"/>
      <w:pPr>
        <w:ind w:left="4930" w:hanging="720"/>
      </w:pPr>
      <w:rPr>
        <w:rFonts w:hint="default"/>
      </w:rPr>
    </w:lvl>
    <w:lvl w:ilvl="6">
      <w:start w:val="1"/>
      <w:numFmt w:val="bullet"/>
      <w:lvlText w:val="•"/>
      <w:lvlJc w:val="left"/>
      <w:pPr>
        <w:ind w:left="5816" w:hanging="720"/>
      </w:pPr>
      <w:rPr>
        <w:rFonts w:hint="default"/>
      </w:rPr>
    </w:lvl>
    <w:lvl w:ilvl="7">
      <w:start w:val="1"/>
      <w:numFmt w:val="bullet"/>
      <w:lvlText w:val="•"/>
      <w:lvlJc w:val="left"/>
      <w:pPr>
        <w:ind w:left="6702" w:hanging="720"/>
      </w:pPr>
      <w:rPr>
        <w:rFonts w:hint="default"/>
      </w:rPr>
    </w:lvl>
    <w:lvl w:ilvl="8">
      <w:start w:val="1"/>
      <w:numFmt w:val="bullet"/>
      <w:lvlText w:val="•"/>
      <w:lvlJc w:val="left"/>
      <w:pPr>
        <w:ind w:left="7588" w:hanging="720"/>
      </w:pPr>
      <w:rPr>
        <w:rFonts w:hint="default"/>
      </w:rPr>
    </w:lvl>
  </w:abstractNum>
  <w:abstractNum w:abstractNumId="6">
    <w:multiLevelType w:val="hybridMultilevel"/>
    <w:lvl w:ilvl="0">
      <w:start w:val="1"/>
      <w:numFmt w:val="upperRoman"/>
      <w:lvlText w:val="%1."/>
      <w:lvlJc w:val="left"/>
      <w:pPr>
        <w:ind w:left="505" w:hanging="720"/>
        <w:jc w:val="left"/>
      </w:pPr>
      <w:rPr>
        <w:rFonts w:hint="default" w:ascii="Arial" w:hAnsi="Arial" w:eastAsia="Arial" w:cs="Arial"/>
        <w:spacing w:val="-10"/>
        <w:w w:val="102"/>
        <w:sz w:val="19"/>
        <w:szCs w:val="19"/>
      </w:rPr>
    </w:lvl>
    <w:lvl w:ilvl="1">
      <w:start w:val="1"/>
      <w:numFmt w:val="bullet"/>
      <w:lvlText w:val="•"/>
      <w:lvlJc w:val="left"/>
      <w:pPr>
        <w:ind w:left="1386" w:hanging="720"/>
      </w:pPr>
      <w:rPr>
        <w:rFonts w:hint="default"/>
      </w:rPr>
    </w:lvl>
    <w:lvl w:ilvl="2">
      <w:start w:val="1"/>
      <w:numFmt w:val="bullet"/>
      <w:lvlText w:val="•"/>
      <w:lvlJc w:val="left"/>
      <w:pPr>
        <w:ind w:left="2272" w:hanging="720"/>
      </w:pPr>
      <w:rPr>
        <w:rFonts w:hint="default"/>
      </w:rPr>
    </w:lvl>
    <w:lvl w:ilvl="3">
      <w:start w:val="1"/>
      <w:numFmt w:val="bullet"/>
      <w:lvlText w:val="•"/>
      <w:lvlJc w:val="left"/>
      <w:pPr>
        <w:ind w:left="3158" w:hanging="720"/>
      </w:pPr>
      <w:rPr>
        <w:rFonts w:hint="default"/>
      </w:rPr>
    </w:lvl>
    <w:lvl w:ilvl="4">
      <w:start w:val="1"/>
      <w:numFmt w:val="bullet"/>
      <w:lvlText w:val="•"/>
      <w:lvlJc w:val="left"/>
      <w:pPr>
        <w:ind w:left="4044" w:hanging="720"/>
      </w:pPr>
      <w:rPr>
        <w:rFonts w:hint="default"/>
      </w:rPr>
    </w:lvl>
    <w:lvl w:ilvl="5">
      <w:start w:val="1"/>
      <w:numFmt w:val="bullet"/>
      <w:lvlText w:val="•"/>
      <w:lvlJc w:val="left"/>
      <w:pPr>
        <w:ind w:left="4930" w:hanging="720"/>
      </w:pPr>
      <w:rPr>
        <w:rFonts w:hint="default"/>
      </w:rPr>
    </w:lvl>
    <w:lvl w:ilvl="6">
      <w:start w:val="1"/>
      <w:numFmt w:val="bullet"/>
      <w:lvlText w:val="•"/>
      <w:lvlJc w:val="left"/>
      <w:pPr>
        <w:ind w:left="5816" w:hanging="720"/>
      </w:pPr>
      <w:rPr>
        <w:rFonts w:hint="default"/>
      </w:rPr>
    </w:lvl>
    <w:lvl w:ilvl="7">
      <w:start w:val="1"/>
      <w:numFmt w:val="bullet"/>
      <w:lvlText w:val="•"/>
      <w:lvlJc w:val="left"/>
      <w:pPr>
        <w:ind w:left="6702" w:hanging="720"/>
      </w:pPr>
      <w:rPr>
        <w:rFonts w:hint="default"/>
      </w:rPr>
    </w:lvl>
    <w:lvl w:ilvl="8">
      <w:start w:val="1"/>
      <w:numFmt w:val="bullet"/>
      <w:lvlText w:val="•"/>
      <w:lvlJc w:val="left"/>
      <w:pPr>
        <w:ind w:left="7588" w:hanging="720"/>
      </w:pPr>
      <w:rPr>
        <w:rFonts w:hint="default"/>
      </w:rPr>
    </w:lvl>
  </w:abstractNum>
  <w:abstractNum w:abstractNumId="5">
    <w:multiLevelType w:val="hybridMultilevel"/>
    <w:lvl w:ilvl="0">
      <w:start w:val="1"/>
      <w:numFmt w:val="lowerLetter"/>
      <w:lvlText w:val="%1)"/>
      <w:lvlJc w:val="left"/>
      <w:pPr>
        <w:ind w:left="835" w:hanging="360"/>
        <w:jc w:val="left"/>
      </w:pPr>
      <w:rPr>
        <w:rFonts w:hint="default" w:ascii="Arial" w:hAnsi="Arial" w:eastAsia="Arial" w:cs="Arial"/>
        <w:spacing w:val="-5"/>
        <w:w w:val="102"/>
        <w:sz w:val="19"/>
        <w:szCs w:val="19"/>
      </w:rPr>
    </w:lvl>
    <w:lvl w:ilvl="1">
      <w:start w:val="1"/>
      <w:numFmt w:val="bullet"/>
      <w:lvlText w:val="•"/>
      <w:lvlJc w:val="left"/>
      <w:pPr>
        <w:ind w:left="1692" w:hanging="360"/>
      </w:pPr>
      <w:rPr>
        <w:rFonts w:hint="default"/>
      </w:rPr>
    </w:lvl>
    <w:lvl w:ilvl="2">
      <w:start w:val="1"/>
      <w:numFmt w:val="bullet"/>
      <w:lvlText w:val="•"/>
      <w:lvlJc w:val="left"/>
      <w:pPr>
        <w:ind w:left="2544" w:hanging="360"/>
      </w:pPr>
      <w:rPr>
        <w:rFonts w:hint="default"/>
      </w:rPr>
    </w:lvl>
    <w:lvl w:ilvl="3">
      <w:start w:val="1"/>
      <w:numFmt w:val="bullet"/>
      <w:lvlText w:val="•"/>
      <w:lvlJc w:val="left"/>
      <w:pPr>
        <w:ind w:left="3396" w:hanging="360"/>
      </w:pPr>
      <w:rPr>
        <w:rFonts w:hint="default"/>
      </w:rPr>
    </w:lvl>
    <w:lvl w:ilvl="4">
      <w:start w:val="1"/>
      <w:numFmt w:val="bullet"/>
      <w:lvlText w:val="•"/>
      <w:lvlJc w:val="left"/>
      <w:pPr>
        <w:ind w:left="4248" w:hanging="360"/>
      </w:pPr>
      <w:rPr>
        <w:rFonts w:hint="default"/>
      </w:rPr>
    </w:lvl>
    <w:lvl w:ilvl="5">
      <w:start w:val="1"/>
      <w:numFmt w:val="bullet"/>
      <w:lvlText w:val="•"/>
      <w:lvlJc w:val="left"/>
      <w:pPr>
        <w:ind w:left="5100" w:hanging="360"/>
      </w:pPr>
      <w:rPr>
        <w:rFonts w:hint="default"/>
      </w:rPr>
    </w:lvl>
    <w:lvl w:ilvl="6">
      <w:start w:val="1"/>
      <w:numFmt w:val="bullet"/>
      <w:lvlText w:val="•"/>
      <w:lvlJc w:val="left"/>
      <w:pPr>
        <w:ind w:left="5952" w:hanging="360"/>
      </w:pPr>
      <w:rPr>
        <w:rFonts w:hint="default"/>
      </w:rPr>
    </w:lvl>
    <w:lvl w:ilvl="7">
      <w:start w:val="1"/>
      <w:numFmt w:val="bullet"/>
      <w:lvlText w:val="•"/>
      <w:lvlJc w:val="left"/>
      <w:pPr>
        <w:ind w:left="6804" w:hanging="360"/>
      </w:pPr>
      <w:rPr>
        <w:rFonts w:hint="default"/>
      </w:rPr>
    </w:lvl>
    <w:lvl w:ilvl="8">
      <w:start w:val="1"/>
      <w:numFmt w:val="bullet"/>
      <w:lvlText w:val="•"/>
      <w:lvlJc w:val="left"/>
      <w:pPr>
        <w:ind w:left="7656" w:hanging="360"/>
      </w:pPr>
      <w:rPr>
        <w:rFonts w:hint="default"/>
      </w:rPr>
    </w:lvl>
  </w:abstractNum>
  <w:abstractNum w:abstractNumId="3">
    <w:multiLevelType w:val="hybridMultilevel"/>
    <w:lvl w:ilvl="0">
      <w:start w:val="1"/>
      <w:numFmt w:val="bullet"/>
      <w:lvlText w:val="•"/>
      <w:lvlJc w:val="left"/>
      <w:pPr>
        <w:ind w:left="320" w:hanging="300"/>
      </w:pPr>
      <w:rPr>
        <w:rFonts w:hint="default" w:ascii="Arial" w:hAnsi="Arial" w:eastAsia="Arial" w:cs="Arial"/>
        <w:w w:val="102"/>
        <w:sz w:val="19"/>
        <w:szCs w:val="19"/>
      </w:rPr>
    </w:lvl>
    <w:lvl w:ilvl="1">
      <w:start w:val="1"/>
      <w:numFmt w:val="bullet"/>
      <w:lvlText w:val="•"/>
      <w:lvlJc w:val="left"/>
      <w:pPr>
        <w:ind w:left="452" w:hanging="300"/>
      </w:pPr>
      <w:rPr>
        <w:rFonts w:hint="default"/>
      </w:rPr>
    </w:lvl>
    <w:lvl w:ilvl="2">
      <w:start w:val="1"/>
      <w:numFmt w:val="bullet"/>
      <w:lvlText w:val="•"/>
      <w:lvlJc w:val="left"/>
      <w:pPr>
        <w:ind w:left="585" w:hanging="300"/>
      </w:pPr>
      <w:rPr>
        <w:rFonts w:hint="default"/>
      </w:rPr>
    </w:lvl>
    <w:lvl w:ilvl="3">
      <w:start w:val="1"/>
      <w:numFmt w:val="bullet"/>
      <w:lvlText w:val="•"/>
      <w:lvlJc w:val="left"/>
      <w:pPr>
        <w:ind w:left="717" w:hanging="300"/>
      </w:pPr>
      <w:rPr>
        <w:rFonts w:hint="default"/>
      </w:rPr>
    </w:lvl>
    <w:lvl w:ilvl="4">
      <w:start w:val="1"/>
      <w:numFmt w:val="bullet"/>
      <w:lvlText w:val="•"/>
      <w:lvlJc w:val="left"/>
      <w:pPr>
        <w:ind w:left="849" w:hanging="300"/>
      </w:pPr>
      <w:rPr>
        <w:rFonts w:hint="default"/>
      </w:rPr>
    </w:lvl>
    <w:lvl w:ilvl="5">
      <w:start w:val="1"/>
      <w:numFmt w:val="bullet"/>
      <w:lvlText w:val="•"/>
      <w:lvlJc w:val="left"/>
      <w:pPr>
        <w:ind w:left="982" w:hanging="300"/>
      </w:pPr>
      <w:rPr>
        <w:rFonts w:hint="default"/>
      </w:rPr>
    </w:lvl>
    <w:lvl w:ilvl="6">
      <w:start w:val="1"/>
      <w:numFmt w:val="bullet"/>
      <w:lvlText w:val="•"/>
      <w:lvlJc w:val="left"/>
      <w:pPr>
        <w:ind w:left="1114" w:hanging="300"/>
      </w:pPr>
      <w:rPr>
        <w:rFonts w:hint="default"/>
      </w:rPr>
    </w:lvl>
    <w:lvl w:ilvl="7">
      <w:start w:val="1"/>
      <w:numFmt w:val="bullet"/>
      <w:lvlText w:val="•"/>
      <w:lvlJc w:val="left"/>
      <w:pPr>
        <w:ind w:left="1247" w:hanging="300"/>
      </w:pPr>
      <w:rPr>
        <w:rFonts w:hint="default"/>
      </w:rPr>
    </w:lvl>
    <w:lvl w:ilvl="8">
      <w:start w:val="1"/>
      <w:numFmt w:val="bullet"/>
      <w:lvlText w:val="•"/>
      <w:lvlJc w:val="left"/>
      <w:pPr>
        <w:ind w:left="1379" w:hanging="300"/>
      </w:pPr>
      <w:rPr>
        <w:rFonts w:hint="default"/>
      </w:rPr>
    </w:lvl>
  </w:abstractNum>
  <w:abstractNum w:abstractNumId="4">
    <w:multiLevelType w:val="hybridMultilevel"/>
    <w:lvl w:ilvl="0">
      <w:start w:val="1"/>
      <w:numFmt w:val="bullet"/>
      <w:lvlText w:val="•"/>
      <w:lvlJc w:val="left"/>
      <w:pPr>
        <w:ind w:left="509" w:hanging="300"/>
      </w:pPr>
      <w:rPr>
        <w:rFonts w:hint="default" w:ascii="Arial" w:hAnsi="Arial" w:eastAsia="Arial" w:cs="Arial"/>
        <w:w w:val="102"/>
        <w:sz w:val="19"/>
        <w:szCs w:val="19"/>
      </w:rPr>
    </w:lvl>
    <w:lvl w:ilvl="1">
      <w:start w:val="1"/>
      <w:numFmt w:val="bullet"/>
      <w:lvlText w:val="•"/>
      <w:lvlJc w:val="left"/>
      <w:pPr>
        <w:ind w:left="935" w:hanging="300"/>
      </w:pPr>
      <w:rPr>
        <w:rFonts w:hint="default"/>
      </w:rPr>
    </w:lvl>
    <w:lvl w:ilvl="2">
      <w:start w:val="1"/>
      <w:numFmt w:val="bullet"/>
      <w:lvlText w:val="•"/>
      <w:lvlJc w:val="left"/>
      <w:pPr>
        <w:ind w:left="1371" w:hanging="300"/>
      </w:pPr>
      <w:rPr>
        <w:rFonts w:hint="default"/>
      </w:rPr>
    </w:lvl>
    <w:lvl w:ilvl="3">
      <w:start w:val="1"/>
      <w:numFmt w:val="bullet"/>
      <w:lvlText w:val="•"/>
      <w:lvlJc w:val="left"/>
      <w:pPr>
        <w:ind w:left="1807" w:hanging="300"/>
      </w:pPr>
      <w:rPr>
        <w:rFonts w:hint="default"/>
      </w:rPr>
    </w:lvl>
    <w:lvl w:ilvl="4">
      <w:start w:val="1"/>
      <w:numFmt w:val="bullet"/>
      <w:lvlText w:val="•"/>
      <w:lvlJc w:val="left"/>
      <w:pPr>
        <w:ind w:left="2243" w:hanging="300"/>
      </w:pPr>
      <w:rPr>
        <w:rFonts w:hint="default"/>
      </w:rPr>
    </w:lvl>
    <w:lvl w:ilvl="5">
      <w:start w:val="1"/>
      <w:numFmt w:val="bullet"/>
      <w:lvlText w:val="•"/>
      <w:lvlJc w:val="left"/>
      <w:pPr>
        <w:ind w:left="2679" w:hanging="300"/>
      </w:pPr>
      <w:rPr>
        <w:rFonts w:hint="default"/>
      </w:rPr>
    </w:lvl>
    <w:lvl w:ilvl="6">
      <w:start w:val="1"/>
      <w:numFmt w:val="bullet"/>
      <w:lvlText w:val="•"/>
      <w:lvlJc w:val="left"/>
      <w:pPr>
        <w:ind w:left="3115" w:hanging="300"/>
      </w:pPr>
      <w:rPr>
        <w:rFonts w:hint="default"/>
      </w:rPr>
    </w:lvl>
    <w:lvl w:ilvl="7">
      <w:start w:val="1"/>
      <w:numFmt w:val="bullet"/>
      <w:lvlText w:val="•"/>
      <w:lvlJc w:val="left"/>
      <w:pPr>
        <w:ind w:left="3551" w:hanging="300"/>
      </w:pPr>
      <w:rPr>
        <w:rFonts w:hint="default"/>
      </w:rPr>
    </w:lvl>
    <w:lvl w:ilvl="8">
      <w:start w:val="1"/>
      <w:numFmt w:val="bullet"/>
      <w:lvlText w:val="•"/>
      <w:lvlJc w:val="left"/>
      <w:pPr>
        <w:ind w:left="3987" w:hanging="300"/>
      </w:pPr>
      <w:rPr>
        <w:rFonts w:hint="default"/>
      </w:rPr>
    </w:lvl>
  </w:abstractNum>
  <w:abstractNum w:abstractNumId="2">
    <w:multiLevelType w:val="hybridMultilevel"/>
    <w:lvl w:ilvl="0">
      <w:start w:val="1"/>
      <w:numFmt w:val="lowerLetter"/>
      <w:lvlText w:val="%1)"/>
      <w:lvlJc w:val="left"/>
      <w:pPr>
        <w:ind w:left="1290" w:hanging="375"/>
        <w:jc w:val="right"/>
      </w:pPr>
      <w:rPr>
        <w:rFonts w:hint="default" w:ascii="Arial" w:hAnsi="Arial" w:eastAsia="Arial" w:cs="Arial"/>
        <w:spacing w:val="-5"/>
        <w:w w:val="102"/>
        <w:sz w:val="19"/>
        <w:szCs w:val="19"/>
      </w:rPr>
    </w:lvl>
    <w:lvl w:ilvl="1">
      <w:start w:val="1"/>
      <w:numFmt w:val="bullet"/>
      <w:lvlText w:val="•"/>
      <w:lvlJc w:val="left"/>
      <w:pPr>
        <w:ind w:left="1905" w:hanging="300"/>
      </w:pPr>
      <w:rPr>
        <w:rFonts w:hint="default" w:ascii="Arial" w:hAnsi="Arial" w:eastAsia="Arial" w:cs="Arial"/>
        <w:w w:val="102"/>
        <w:sz w:val="19"/>
        <w:szCs w:val="19"/>
      </w:rPr>
    </w:lvl>
    <w:lvl w:ilvl="2">
      <w:start w:val="1"/>
      <w:numFmt w:val="bullet"/>
      <w:lvlText w:val="•"/>
      <w:lvlJc w:val="left"/>
      <w:pPr>
        <w:ind w:left="2615" w:hanging="165"/>
      </w:pPr>
      <w:rPr>
        <w:rFonts w:hint="default" w:ascii="Arial" w:hAnsi="Arial" w:eastAsia="Arial" w:cs="Arial"/>
        <w:w w:val="102"/>
        <w:sz w:val="19"/>
        <w:szCs w:val="19"/>
      </w:rPr>
    </w:lvl>
    <w:lvl w:ilvl="3">
      <w:start w:val="1"/>
      <w:numFmt w:val="bullet"/>
      <w:lvlText w:val="•"/>
      <w:lvlJc w:val="left"/>
      <w:pPr>
        <w:ind w:left="2902" w:hanging="165"/>
      </w:pPr>
      <w:rPr>
        <w:rFonts w:hint="default"/>
      </w:rPr>
    </w:lvl>
    <w:lvl w:ilvl="4">
      <w:start w:val="1"/>
      <w:numFmt w:val="bullet"/>
      <w:lvlText w:val="•"/>
      <w:lvlJc w:val="left"/>
      <w:pPr>
        <w:ind w:left="3185" w:hanging="165"/>
      </w:pPr>
      <w:rPr>
        <w:rFonts w:hint="default"/>
      </w:rPr>
    </w:lvl>
    <w:lvl w:ilvl="5">
      <w:start w:val="1"/>
      <w:numFmt w:val="bullet"/>
      <w:lvlText w:val="•"/>
      <w:lvlJc w:val="left"/>
      <w:pPr>
        <w:ind w:left="3467" w:hanging="165"/>
      </w:pPr>
      <w:rPr>
        <w:rFonts w:hint="default"/>
      </w:rPr>
    </w:lvl>
    <w:lvl w:ilvl="6">
      <w:start w:val="1"/>
      <w:numFmt w:val="bullet"/>
      <w:lvlText w:val="•"/>
      <w:lvlJc w:val="left"/>
      <w:pPr>
        <w:ind w:left="3750" w:hanging="165"/>
      </w:pPr>
      <w:rPr>
        <w:rFonts w:hint="default"/>
      </w:rPr>
    </w:lvl>
    <w:lvl w:ilvl="7">
      <w:start w:val="1"/>
      <w:numFmt w:val="bullet"/>
      <w:lvlText w:val="•"/>
      <w:lvlJc w:val="left"/>
      <w:pPr>
        <w:ind w:left="4032" w:hanging="165"/>
      </w:pPr>
      <w:rPr>
        <w:rFonts w:hint="default"/>
      </w:rPr>
    </w:lvl>
    <w:lvl w:ilvl="8">
      <w:start w:val="1"/>
      <w:numFmt w:val="bullet"/>
      <w:lvlText w:val="•"/>
      <w:lvlJc w:val="left"/>
      <w:pPr>
        <w:ind w:left="4315" w:hanging="165"/>
      </w:pPr>
      <w:rPr>
        <w:rFonts w:hint="default"/>
      </w:rPr>
    </w:lvl>
  </w:abstractNum>
  <w:abstractNum w:abstractNumId="0">
    <w:multiLevelType w:val="hybridMultilevel"/>
    <w:lvl w:ilvl="0">
      <w:start w:val="1"/>
      <w:numFmt w:val="decimal"/>
      <w:lvlText w:val="%1."/>
      <w:lvlJc w:val="left"/>
      <w:pPr>
        <w:ind w:left="475" w:hanging="360"/>
        <w:jc w:val="left"/>
      </w:pPr>
      <w:rPr>
        <w:rFonts w:hint="default" w:ascii="Arial" w:hAnsi="Arial" w:eastAsia="Arial" w:cs="Arial"/>
        <w:spacing w:val="-7"/>
        <w:w w:val="102"/>
        <w:sz w:val="19"/>
        <w:szCs w:val="19"/>
      </w:rPr>
    </w:lvl>
    <w:lvl w:ilvl="1">
      <w:start w:val="1"/>
      <w:numFmt w:val="bullet"/>
      <w:lvlText w:val="•"/>
      <w:lvlJc w:val="left"/>
      <w:pPr>
        <w:ind w:left="1366" w:hanging="360"/>
      </w:pPr>
      <w:rPr>
        <w:rFonts w:hint="default"/>
      </w:rPr>
    </w:lvl>
    <w:lvl w:ilvl="2">
      <w:start w:val="1"/>
      <w:numFmt w:val="bullet"/>
      <w:lvlText w:val="•"/>
      <w:lvlJc w:val="left"/>
      <w:pPr>
        <w:ind w:left="2252" w:hanging="360"/>
      </w:pPr>
      <w:rPr>
        <w:rFonts w:hint="default"/>
      </w:rPr>
    </w:lvl>
    <w:lvl w:ilvl="3">
      <w:start w:val="1"/>
      <w:numFmt w:val="bullet"/>
      <w:lvlText w:val="•"/>
      <w:lvlJc w:val="left"/>
      <w:pPr>
        <w:ind w:left="3138" w:hanging="360"/>
      </w:pPr>
      <w:rPr>
        <w:rFonts w:hint="default"/>
      </w:rPr>
    </w:lvl>
    <w:lvl w:ilvl="4">
      <w:start w:val="1"/>
      <w:numFmt w:val="bullet"/>
      <w:lvlText w:val="•"/>
      <w:lvlJc w:val="left"/>
      <w:pPr>
        <w:ind w:left="4024" w:hanging="360"/>
      </w:pPr>
      <w:rPr>
        <w:rFonts w:hint="default"/>
      </w:rPr>
    </w:lvl>
    <w:lvl w:ilvl="5">
      <w:start w:val="1"/>
      <w:numFmt w:val="bullet"/>
      <w:lvlText w:val="•"/>
      <w:lvlJc w:val="left"/>
      <w:pPr>
        <w:ind w:left="4910" w:hanging="360"/>
      </w:pPr>
      <w:rPr>
        <w:rFonts w:hint="default"/>
      </w:rPr>
    </w:lvl>
    <w:lvl w:ilvl="6">
      <w:start w:val="1"/>
      <w:numFmt w:val="bullet"/>
      <w:lvlText w:val="•"/>
      <w:lvlJc w:val="left"/>
      <w:pPr>
        <w:ind w:left="5796" w:hanging="360"/>
      </w:pPr>
      <w:rPr>
        <w:rFonts w:hint="default"/>
      </w:rPr>
    </w:lvl>
    <w:lvl w:ilvl="7">
      <w:start w:val="1"/>
      <w:numFmt w:val="bullet"/>
      <w:lvlText w:val="•"/>
      <w:lvlJc w:val="left"/>
      <w:pPr>
        <w:ind w:left="6682" w:hanging="360"/>
      </w:pPr>
      <w:rPr>
        <w:rFonts w:hint="default"/>
      </w:rPr>
    </w:lvl>
    <w:lvl w:ilvl="8">
      <w:start w:val="1"/>
      <w:numFmt w:val="bullet"/>
      <w:lvlText w:val="•"/>
      <w:lvlJc w:val="left"/>
      <w:pPr>
        <w:ind w:left="7568" w:hanging="360"/>
      </w:pPr>
      <w:rPr>
        <w:rFonts w:hint="default"/>
      </w:rPr>
    </w:lvl>
  </w:abstractNum>
  <w:num w:numId="2">
    <w:abstractNumId w:val="1"/>
  </w:num>
  <w:num w:numId="10">
    <w:abstractNumId w:val="9"/>
  </w:num>
  <w:num w:numId="9">
    <w:abstractNumId w:val="8"/>
  </w:num>
  <w:num w:numId="8">
    <w:abstractNumId w:val="7"/>
  </w:num>
  <w:num w:numId="7">
    <w:abstractNumId w:val="6"/>
  </w:num>
  <w:num w:numId="6">
    <w:abstractNumId w:val="5"/>
  </w:num>
  <w:num w:numId="4">
    <w:abstractNumId w:val="3"/>
  </w:num>
  <w:num w:numId="5">
    <w:abstractNumId w:val="4"/>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9"/>
      <w:szCs w:val="19"/>
    </w:rPr>
  </w:style>
  <w:style w:styleId="Heading1" w:type="paragraph">
    <w:name w:val="Heading 1"/>
    <w:basedOn w:val="Normal"/>
    <w:uiPriority w:val="1"/>
    <w:qFormat/>
    <w:pPr>
      <w:ind w:left="115"/>
      <w:jc w:val="both"/>
      <w:outlineLvl w:val="1"/>
    </w:pPr>
    <w:rPr>
      <w:rFonts w:ascii="Arial" w:hAnsi="Arial" w:eastAsia="Arial" w:cs="Arial"/>
      <w:b/>
      <w:bCs/>
      <w:sz w:val="24"/>
      <w:szCs w:val="24"/>
    </w:rPr>
  </w:style>
  <w:style w:styleId="Heading2" w:type="paragraph">
    <w:name w:val="Heading 2"/>
    <w:basedOn w:val="Normal"/>
    <w:uiPriority w:val="1"/>
    <w:qFormat/>
    <w:pPr>
      <w:spacing w:before="80"/>
      <w:ind w:left="285"/>
      <w:outlineLvl w:val="2"/>
    </w:pPr>
    <w:rPr>
      <w:rFonts w:ascii="Arial" w:hAnsi="Arial" w:eastAsia="Arial" w:cs="Arial"/>
      <w:b/>
      <w:bCs/>
      <w:sz w:val="19"/>
      <w:szCs w:val="19"/>
    </w:rPr>
  </w:style>
  <w:style w:styleId="Heading3" w:type="paragraph">
    <w:name w:val="Heading 3"/>
    <w:basedOn w:val="Normal"/>
    <w:uiPriority w:val="1"/>
    <w:qFormat/>
    <w:pPr>
      <w:ind w:left="115"/>
      <w:outlineLvl w:val="3"/>
    </w:pPr>
    <w:rPr>
      <w:rFonts w:ascii="Arial" w:hAnsi="Arial" w:eastAsia="Arial" w:cs="Arial"/>
      <w:b/>
      <w:bCs/>
      <w:i/>
      <w:sz w:val="19"/>
      <w:szCs w:val="19"/>
    </w:rPr>
  </w:style>
  <w:style w:styleId="ListParagraph" w:type="paragraph">
    <w:name w:val="List Paragraph"/>
    <w:basedOn w:val="Normal"/>
    <w:uiPriority w:val="1"/>
    <w:qFormat/>
    <w:pPr>
      <w:ind w:left="835" w:hanging="360"/>
      <w:jc w:val="both"/>
    </w:pPr>
    <w:rPr>
      <w:rFonts w:ascii="Arial" w:hAnsi="Arial" w:eastAsia="Arial" w:cs="Arial"/>
    </w:rPr>
  </w:style>
  <w:style w:styleId="TableParagraph" w:type="paragraph">
    <w:name w:val="Table Paragraph"/>
    <w:basedOn w:val="Normal"/>
    <w:uiPriority w:val="1"/>
    <w:qFormat/>
    <w:pPr>
      <w:spacing w:before="1"/>
      <w:ind w:left="7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image" Target="media/image1.png"/><Relationship Id="rId8" Type="http://schemas.openxmlformats.org/officeDocument/2006/relationships/image" Target="media/image2.jpeg"/><Relationship Id="rId9" Type="http://schemas.openxmlformats.org/officeDocument/2006/relationships/image" Target="media/image3.png"/><Relationship Id="rId10" Type="http://schemas.openxmlformats.org/officeDocument/2006/relationships/footer" Target="footer3.xml"/><Relationship Id="rId11" Type="http://schemas.openxmlformats.org/officeDocument/2006/relationships/image" Target="media/image4.png"/><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Logros y retos del programa de ordenamiento eco_&amp;_Rosas Vi…</dc:title>
  <dcterms:created xsi:type="dcterms:W3CDTF">2017-06-07T19:17:41Z</dcterms:created>
  <dcterms:modified xsi:type="dcterms:W3CDTF">2017-06-07T19:17:41Z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Logros y retos del programa de ordenamiento eco_&amp;_Rosas Vilchis - Microsoft Word</vt:lpwstr>
  </property>
  <property fmtid="{D5CDD505-2E9C-101B-9397-08002B2CF9AE}" pid="4" name="LastSaved">
    <vt:filetime>2017-06-07T00:00:00Z</vt:filetime>
  </property>
</Properties>
</file>