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2"/>
        <w:spacing w:line="252" w:lineRule="exact"/>
        <w:ind w:left="663"/>
      </w:pPr>
      <w:r>
        <w:rPr/>
        <w:t>Ordenamiento territorial y normativas en Cuba: por un desarrollo sustentable</w:t>
      </w:r>
    </w:p>
    <w:p>
      <w:pPr>
        <w:spacing w:line="252" w:lineRule="exact" w:before="0"/>
        <w:ind w:left="3606" w:right="3615" w:firstLine="0"/>
        <w:jc w:val="center"/>
        <w:rPr>
          <w:b/>
          <w:sz w:val="22"/>
        </w:rPr>
      </w:pPr>
      <w:r>
        <w:rPr>
          <w:b/>
          <w:sz w:val="22"/>
        </w:rPr>
        <w:t>más homogéneo</w:t>
      </w:r>
    </w:p>
    <w:p>
      <w:pPr>
        <w:pStyle w:val="BodyText"/>
        <w:spacing w:before="2"/>
        <w:rPr>
          <w:b/>
        </w:rPr>
      </w:pPr>
    </w:p>
    <w:p>
      <w:pPr>
        <w:spacing w:before="1"/>
        <w:ind w:left="5551" w:right="112" w:firstLine="1174"/>
        <w:jc w:val="right"/>
        <w:rPr>
          <w:sz w:val="22"/>
        </w:rPr>
      </w:pPr>
      <w:r>
        <w:rPr>
          <w:i/>
          <w:sz w:val="22"/>
        </w:rPr>
        <w:t>Mirlis Reyes Salarichs</w:t>
      </w:r>
      <w:r>
        <w:rPr>
          <w:i/>
          <w:w w:val="100"/>
          <w:sz w:val="22"/>
        </w:rPr>
        <w:t> </w:t>
      </w:r>
      <w:r>
        <w:rPr>
          <w:i/>
          <w:sz w:val="22"/>
        </w:rPr>
        <w:t>Aram Zaldívar Rodríguez</w:t>
      </w:r>
      <w:r>
        <w:rPr>
          <w:i/>
          <w:w w:val="100"/>
          <w:sz w:val="22"/>
        </w:rPr>
        <w:t> </w:t>
      </w:r>
      <w:r>
        <w:rPr>
          <w:sz w:val="22"/>
        </w:rPr>
        <w:t>Università degli Studi di Macerata.</w:t>
      </w:r>
    </w:p>
    <w:p>
      <w:pPr>
        <w:spacing w:line="252" w:lineRule="exact" w:before="0"/>
        <w:ind w:left="0" w:right="112" w:firstLine="0"/>
        <w:jc w:val="right"/>
        <w:rPr>
          <w:i/>
          <w:sz w:val="22"/>
        </w:rPr>
      </w:pPr>
      <w:r>
        <w:rPr>
          <w:i/>
          <w:sz w:val="22"/>
        </w:rPr>
        <w:t>Macerata, Italia</w:t>
      </w:r>
    </w:p>
    <w:p>
      <w:pPr>
        <w:pStyle w:val="BodyText"/>
        <w:rPr>
          <w:i/>
        </w:rPr>
      </w:pPr>
    </w:p>
    <w:p>
      <w:pPr>
        <w:spacing w:line="252" w:lineRule="exact" w:before="0"/>
        <w:ind w:left="0" w:right="111" w:firstLine="0"/>
        <w:jc w:val="right"/>
        <w:rPr>
          <w:i/>
          <w:sz w:val="22"/>
        </w:rPr>
      </w:pPr>
      <w:hyperlink r:id="rId6">
        <w:r>
          <w:rPr>
            <w:i/>
            <w:color w:val="000080"/>
            <w:sz w:val="22"/>
            <w:u w:val="single" w:color="000080"/>
          </w:rPr>
          <w:t>@:</w:t>
        </w:r>
      </w:hyperlink>
      <w:r>
        <w:rPr>
          <w:i/>
          <w:color w:val="000080"/>
          <w:sz w:val="22"/>
          <w:u w:val="single" w:color="000080"/>
        </w:rPr>
        <w:t> </w:t>
      </w:r>
      <w:hyperlink r:id="rId6">
        <w:r>
          <w:rPr>
            <w:i/>
            <w:color w:val="000080"/>
            <w:sz w:val="22"/>
            <w:u w:val="single" w:color="000080"/>
          </w:rPr>
          <w:t>mirlisrs25@gmail.com</w:t>
        </w:r>
      </w:hyperlink>
    </w:p>
    <w:p>
      <w:pPr>
        <w:spacing w:line="252" w:lineRule="exact" w:before="0"/>
        <w:ind w:left="0" w:right="110" w:firstLine="0"/>
        <w:jc w:val="right"/>
        <w:rPr>
          <w:i/>
          <w:sz w:val="22"/>
        </w:rPr>
      </w:pPr>
      <w:hyperlink r:id="rId6">
        <w:r>
          <w:rPr>
            <w:i/>
            <w:color w:val="000080"/>
            <w:sz w:val="22"/>
            <w:u w:val="single" w:color="000080"/>
          </w:rPr>
          <w:t>@:</w:t>
        </w:r>
      </w:hyperlink>
      <w:r>
        <w:rPr>
          <w:i/>
          <w:color w:val="000080"/>
          <w:sz w:val="22"/>
          <w:u w:val="single" w:color="000080"/>
        </w:rPr>
        <w:t> </w:t>
      </w:r>
      <w:hyperlink r:id="rId6">
        <w:r>
          <w:rPr>
            <w:i/>
            <w:color w:val="000080"/>
            <w:sz w:val="22"/>
            <w:u w:val="single" w:color="000080"/>
          </w:rPr>
          <w:t>aramzaldivar1@gmail.com</w:t>
        </w:r>
      </w:hyperlink>
    </w:p>
    <w:p>
      <w:pPr>
        <w:pStyle w:val="BodyText"/>
        <w:rPr>
          <w:i/>
          <w:sz w:val="20"/>
        </w:rPr>
      </w:pPr>
    </w:p>
    <w:p>
      <w:pPr>
        <w:pStyle w:val="BodyText"/>
        <w:spacing w:before="7"/>
        <w:rPr>
          <w:i/>
          <w:sz w:val="17"/>
        </w:rPr>
      </w:pPr>
    </w:p>
    <w:p>
      <w:pPr>
        <w:pStyle w:val="Heading2"/>
        <w:spacing w:before="73"/>
        <w:ind w:left="3606" w:right="3614"/>
        <w:jc w:val="center"/>
      </w:pPr>
      <w:r>
        <w:rPr/>
        <w:t>Resumen</w:t>
      </w:r>
    </w:p>
    <w:p>
      <w:pPr>
        <w:pStyle w:val="BodyText"/>
        <w:spacing w:before="5"/>
        <w:rPr>
          <w:b/>
          <w:sz w:val="32"/>
        </w:rPr>
      </w:pPr>
    </w:p>
    <w:p>
      <w:pPr>
        <w:spacing w:before="0"/>
        <w:ind w:left="385" w:right="115" w:firstLine="0"/>
        <w:jc w:val="both"/>
        <w:rPr>
          <w:sz w:val="20"/>
        </w:rPr>
      </w:pPr>
      <w:r>
        <w:rPr>
          <w:sz w:val="20"/>
        </w:rPr>
        <w:t>Cuba ha mantenido una política coherente de desarrollo sustentable en los últimos 50 años, nutriéndose de manera particular del ordenamiento territorial en su concepción de planificación. Lograr una distribución espacial equitativa del desarrollo ha sido una preocupación constante, sin embargo los resultados muestran cuánto se debe seguir avanzando.</w:t>
      </w:r>
    </w:p>
    <w:p>
      <w:pPr>
        <w:spacing w:before="0"/>
        <w:ind w:left="385" w:right="113" w:firstLine="707"/>
        <w:jc w:val="both"/>
        <w:rPr>
          <w:sz w:val="20"/>
        </w:rPr>
      </w:pPr>
      <w:r>
        <w:rPr>
          <w:sz w:val="20"/>
        </w:rPr>
        <w:t>En este trabajo, valoramos el impacto de las políticas de planificación basadas en el ordenamiento territorial, así como las normativas implementadas a nivel local y ambiental, en el desigual desarrollo de las regiones cubanas. A partir de lo cual se pudo constatar que la estructura jurídica se ajusta a las estrategias de desarrollo sustentable; pero presenta aún problema</w:t>
      </w:r>
      <w:r>
        <w:rPr>
          <w:spacing w:val="-8"/>
          <w:sz w:val="20"/>
        </w:rPr>
        <w:t> </w:t>
      </w:r>
      <w:r>
        <w:rPr>
          <w:sz w:val="20"/>
        </w:rPr>
        <w:t>de</w:t>
      </w:r>
      <w:r>
        <w:rPr>
          <w:spacing w:val="-6"/>
          <w:sz w:val="20"/>
        </w:rPr>
        <w:t> </w:t>
      </w:r>
      <w:r>
        <w:rPr>
          <w:sz w:val="20"/>
        </w:rPr>
        <w:t>operatividad</w:t>
      </w:r>
      <w:r>
        <w:rPr>
          <w:spacing w:val="-6"/>
          <w:sz w:val="20"/>
        </w:rPr>
        <w:t> </w:t>
      </w:r>
      <w:r>
        <w:rPr>
          <w:sz w:val="20"/>
        </w:rPr>
        <w:t>que</w:t>
      </w:r>
      <w:r>
        <w:rPr>
          <w:spacing w:val="-6"/>
          <w:sz w:val="20"/>
        </w:rPr>
        <w:t> </w:t>
      </w:r>
      <w:r>
        <w:rPr>
          <w:sz w:val="20"/>
        </w:rPr>
        <w:t>influye</w:t>
      </w:r>
      <w:r>
        <w:rPr>
          <w:spacing w:val="-6"/>
          <w:sz w:val="20"/>
        </w:rPr>
        <w:t> </w:t>
      </w:r>
      <w:r>
        <w:rPr>
          <w:sz w:val="20"/>
        </w:rPr>
        <w:t>en</w:t>
      </w:r>
      <w:r>
        <w:rPr>
          <w:spacing w:val="-6"/>
          <w:sz w:val="20"/>
        </w:rPr>
        <w:t> </w:t>
      </w:r>
      <w:r>
        <w:rPr>
          <w:sz w:val="20"/>
        </w:rPr>
        <w:t>la</w:t>
      </w:r>
      <w:r>
        <w:rPr>
          <w:spacing w:val="-6"/>
          <w:sz w:val="20"/>
        </w:rPr>
        <w:t> </w:t>
      </w:r>
      <w:r>
        <w:rPr>
          <w:sz w:val="20"/>
        </w:rPr>
        <w:t>gestión</w:t>
      </w:r>
      <w:r>
        <w:rPr>
          <w:spacing w:val="-6"/>
          <w:sz w:val="20"/>
        </w:rPr>
        <w:t> </w:t>
      </w:r>
      <w:r>
        <w:rPr>
          <w:sz w:val="20"/>
        </w:rPr>
        <w:t>e</w:t>
      </w:r>
      <w:r>
        <w:rPr>
          <w:spacing w:val="-6"/>
          <w:sz w:val="20"/>
        </w:rPr>
        <w:t> </w:t>
      </w:r>
      <w:r>
        <w:rPr>
          <w:sz w:val="20"/>
        </w:rPr>
        <w:t>integración</w:t>
      </w:r>
      <w:r>
        <w:rPr>
          <w:spacing w:val="-6"/>
          <w:sz w:val="20"/>
        </w:rPr>
        <w:t> </w:t>
      </w:r>
      <w:r>
        <w:rPr>
          <w:sz w:val="20"/>
        </w:rPr>
        <w:t>de</w:t>
      </w:r>
      <w:r>
        <w:rPr>
          <w:spacing w:val="-6"/>
          <w:sz w:val="20"/>
        </w:rPr>
        <w:t> </w:t>
      </w:r>
      <w:r>
        <w:rPr>
          <w:sz w:val="20"/>
        </w:rPr>
        <w:t>los</w:t>
      </w:r>
      <w:r>
        <w:rPr>
          <w:spacing w:val="-5"/>
          <w:sz w:val="20"/>
        </w:rPr>
        <w:t> </w:t>
      </w:r>
      <w:r>
        <w:rPr>
          <w:sz w:val="20"/>
        </w:rPr>
        <w:t>gobiernos</w:t>
      </w:r>
      <w:r>
        <w:rPr>
          <w:spacing w:val="-5"/>
          <w:sz w:val="20"/>
        </w:rPr>
        <w:t> </w:t>
      </w:r>
      <w:r>
        <w:rPr>
          <w:sz w:val="20"/>
        </w:rPr>
        <w:t>locales.</w:t>
      </w:r>
      <w:r>
        <w:rPr>
          <w:spacing w:val="-6"/>
          <w:sz w:val="20"/>
        </w:rPr>
        <w:t> </w:t>
      </w:r>
      <w:r>
        <w:rPr>
          <w:sz w:val="20"/>
        </w:rPr>
        <w:t>Con</w:t>
      </w:r>
      <w:r>
        <w:rPr>
          <w:spacing w:val="-6"/>
          <w:sz w:val="20"/>
        </w:rPr>
        <w:t> </w:t>
      </w:r>
      <w:r>
        <w:rPr>
          <w:sz w:val="20"/>
        </w:rPr>
        <w:t>la aplicación además del método estadístico; Índice Territorial de Desarrollo Humano y Equidad (ITDHE), se demuestra como, no obstante los logros alcanzados en los niveles de desarrollo a escala nacional, los  desequilibrios entre los distintos territorios se</w:t>
      </w:r>
      <w:r>
        <w:rPr>
          <w:spacing w:val="-18"/>
          <w:sz w:val="20"/>
        </w:rPr>
        <w:t> </w:t>
      </w:r>
      <w:r>
        <w:rPr>
          <w:sz w:val="20"/>
        </w:rPr>
        <w:t>mantienen.</w:t>
      </w:r>
    </w:p>
    <w:p>
      <w:pPr>
        <w:spacing w:before="0"/>
        <w:ind w:left="385" w:right="115" w:firstLine="707"/>
        <w:jc w:val="both"/>
        <w:rPr>
          <w:sz w:val="20"/>
        </w:rPr>
      </w:pPr>
      <w:r>
        <w:rPr>
          <w:sz w:val="20"/>
        </w:rPr>
        <w:t>Los aportes más relevantes que se muestran en el trabajo son: la determinación de elementos claves a tener en cuenta en la implementación de una ley que regule la actividad del municipio, así como la propuesta de una modificación a la metodología con que se calcula el ITDHE en Cuba.</w:t>
      </w:r>
    </w:p>
    <w:p>
      <w:pPr>
        <w:spacing w:line="228" w:lineRule="exact" w:before="0"/>
        <w:ind w:left="385" w:right="0" w:firstLine="0"/>
        <w:jc w:val="both"/>
        <w:rPr>
          <w:i/>
          <w:sz w:val="20"/>
        </w:rPr>
      </w:pPr>
      <w:r>
        <w:rPr>
          <w:b/>
          <w:sz w:val="20"/>
        </w:rPr>
        <w:t>Palabras clave: </w:t>
      </w:r>
      <w:r>
        <w:rPr>
          <w:i/>
          <w:sz w:val="20"/>
        </w:rPr>
        <w:t>desarrollo, ordenamiento territorial, desigualdades regionales.</w:t>
      </w:r>
    </w:p>
    <w:p>
      <w:pPr>
        <w:pStyle w:val="BodyText"/>
        <w:rPr>
          <w:i/>
          <w:sz w:val="20"/>
        </w:rPr>
      </w:pPr>
    </w:p>
    <w:p>
      <w:pPr>
        <w:pStyle w:val="BodyText"/>
        <w:rPr>
          <w:i/>
          <w:sz w:val="20"/>
        </w:rPr>
      </w:pPr>
    </w:p>
    <w:p>
      <w:pPr>
        <w:pStyle w:val="Heading2"/>
        <w:spacing w:before="165"/>
      </w:pPr>
      <w:r>
        <w:rPr/>
        <w:t>Introducción</w:t>
      </w:r>
    </w:p>
    <w:p>
      <w:pPr>
        <w:pStyle w:val="BodyText"/>
        <w:spacing w:before="7"/>
        <w:rPr>
          <w:b/>
          <w:sz w:val="32"/>
        </w:rPr>
      </w:pPr>
    </w:p>
    <w:p>
      <w:pPr>
        <w:pStyle w:val="BodyText"/>
        <w:spacing w:line="480" w:lineRule="auto" w:before="1"/>
        <w:ind w:left="102" w:right="109" w:firstLine="707"/>
        <w:jc w:val="both"/>
      </w:pPr>
      <w:r>
        <w:rPr/>
        <w:t>Se sabe que nuestro planeta no cuenta con los recursos para soportar los</w:t>
      </w:r>
      <w:r>
        <w:rPr>
          <w:spacing w:val="-35"/>
        </w:rPr>
        <w:t> </w:t>
      </w:r>
      <w:r>
        <w:rPr/>
        <w:t>actuales niveles de incidencia sobre el medio ambiente de las sociedades de consumo. Una sociedad alternativa está llamada a emerger como solución a la gran crisis ecológica que se</w:t>
      </w:r>
      <w:r>
        <w:rPr>
          <w:spacing w:val="-13"/>
        </w:rPr>
        <w:t> </w:t>
      </w:r>
      <w:r>
        <w:rPr/>
        <w:t>vislumbra.</w:t>
      </w:r>
      <w:r>
        <w:rPr>
          <w:spacing w:val="-13"/>
        </w:rPr>
        <w:t> </w:t>
      </w:r>
      <w:r>
        <w:rPr/>
        <w:t>Esta</w:t>
      </w:r>
      <w:r>
        <w:rPr>
          <w:spacing w:val="-13"/>
        </w:rPr>
        <w:t> </w:t>
      </w:r>
      <w:r>
        <w:rPr/>
        <w:t>sociedad</w:t>
      </w:r>
      <w:r>
        <w:rPr>
          <w:spacing w:val="-14"/>
        </w:rPr>
        <w:t> </w:t>
      </w:r>
      <w:r>
        <w:rPr/>
        <w:t>debe</w:t>
      </w:r>
      <w:r>
        <w:rPr>
          <w:spacing w:val="-14"/>
        </w:rPr>
        <w:t> </w:t>
      </w:r>
      <w:r>
        <w:rPr/>
        <w:t>saber</w:t>
      </w:r>
      <w:r>
        <w:rPr>
          <w:spacing w:val="-13"/>
        </w:rPr>
        <w:t> </w:t>
      </w:r>
      <w:r>
        <w:rPr/>
        <w:t>planificar</w:t>
      </w:r>
      <w:r>
        <w:rPr>
          <w:spacing w:val="-15"/>
        </w:rPr>
        <w:t> </w:t>
      </w:r>
      <w:r>
        <w:rPr/>
        <w:t>sus</w:t>
      </w:r>
      <w:r>
        <w:rPr>
          <w:spacing w:val="-16"/>
        </w:rPr>
        <w:t> </w:t>
      </w:r>
      <w:r>
        <w:rPr/>
        <w:t>recursos,</w:t>
      </w:r>
      <w:r>
        <w:rPr>
          <w:spacing w:val="-15"/>
        </w:rPr>
        <w:t> </w:t>
      </w:r>
      <w:r>
        <w:rPr/>
        <w:t>contando</w:t>
      </w:r>
      <w:r>
        <w:rPr>
          <w:spacing w:val="-18"/>
        </w:rPr>
        <w:t> </w:t>
      </w:r>
      <w:r>
        <w:rPr/>
        <w:t>con</w:t>
      </w:r>
      <w:r>
        <w:rPr>
          <w:spacing w:val="-14"/>
        </w:rPr>
        <w:t> </w:t>
      </w:r>
      <w:r>
        <w:rPr/>
        <w:t>instrumentos de gestión y normas que garanticen su</w:t>
      </w:r>
      <w:r>
        <w:rPr>
          <w:spacing w:val="-14"/>
        </w:rPr>
        <w:t> </w:t>
      </w:r>
      <w:r>
        <w:rPr/>
        <w:t>implementación.</w:t>
      </w:r>
    </w:p>
    <w:p>
      <w:pPr>
        <w:pStyle w:val="BodyText"/>
        <w:spacing w:line="480" w:lineRule="auto" w:before="127"/>
        <w:ind w:left="102" w:right="111" w:firstLine="707"/>
        <w:jc w:val="both"/>
      </w:pPr>
      <w:r>
        <w:rPr/>
        <w:t>El ordenamiento territorial ha representado un instrumento importante dentro del desarrollo sustentable, al inducir un mejor empleo de los recursos naturales y una mejor distribución de las actividades socio-económicas en correspondencia con las potencialidades  de  cada  territorio  o región geográfica.  Este ordenamiento  debe   estar</w:t>
      </w:r>
    </w:p>
    <w:p>
      <w:pPr>
        <w:spacing w:after="0" w:line="480" w:lineRule="auto"/>
        <w:jc w:val="both"/>
        <w:sectPr>
          <w:footerReference w:type="default" r:id="rId5"/>
          <w:type w:val="continuous"/>
          <w:pgSz w:w="11910" w:h="16840"/>
          <w:pgMar w:footer="768" w:top="1580" w:bottom="960" w:left="1600" w:right="1300"/>
          <w:pgNumType w:start="1"/>
        </w:sectPr>
      </w:pPr>
    </w:p>
    <w:p>
      <w:pPr>
        <w:pStyle w:val="BodyText"/>
        <w:spacing w:line="480" w:lineRule="auto" w:before="103"/>
        <w:ind w:left="122"/>
      </w:pPr>
      <w:r>
        <w:rPr/>
        <w:t>coherentemente articulado con el sistema normativo vigente, pues de manera aislada no puede garantizar que sus objetivos se cumplan.</w:t>
      </w:r>
    </w:p>
    <w:p>
      <w:pPr>
        <w:pStyle w:val="BodyText"/>
        <w:spacing w:line="480" w:lineRule="auto" w:before="125"/>
        <w:ind w:left="122" w:right="133" w:firstLine="707"/>
        <w:jc w:val="both"/>
      </w:pPr>
      <w:r>
        <w:rPr/>
        <w:t>En Cuba, las políticas de desarrollo sustentable aplicadas a través de su sistema de planificación, han brindado interesantes experiencias, sin embargo los desequilibrios entre las regiones persisten. En este trabajo, se señalan algunas deficiencias que atentan contra el desarrollo armónico de las regiones cubanas.</w:t>
      </w:r>
    </w:p>
    <w:p>
      <w:pPr>
        <w:pStyle w:val="Heading2"/>
        <w:spacing w:before="126"/>
        <w:ind w:left="122"/>
      </w:pPr>
      <w:r>
        <w:rPr/>
        <w:t>Objetivos</w:t>
      </w:r>
    </w:p>
    <w:p>
      <w:pPr>
        <w:pStyle w:val="BodyText"/>
        <w:spacing w:before="5"/>
        <w:rPr>
          <w:b/>
          <w:sz w:val="32"/>
        </w:rPr>
      </w:pPr>
    </w:p>
    <w:p>
      <w:pPr>
        <w:pStyle w:val="BodyText"/>
        <w:spacing w:line="480" w:lineRule="auto"/>
        <w:ind w:left="122" w:right="130" w:firstLine="707"/>
        <w:jc w:val="both"/>
      </w:pPr>
      <w:r>
        <w:rPr/>
        <w:t>El objetivo con este trabajo es valorar el impacto que han tenido las políticas de planificación basadas en el ordenamiento territorial, así como las normativas implementadas</w:t>
      </w:r>
      <w:r>
        <w:rPr>
          <w:spacing w:val="-13"/>
        </w:rPr>
        <w:t> </w:t>
      </w:r>
      <w:r>
        <w:rPr/>
        <w:t>a</w:t>
      </w:r>
      <w:r>
        <w:rPr>
          <w:spacing w:val="-10"/>
        </w:rPr>
        <w:t> </w:t>
      </w:r>
      <w:r>
        <w:rPr/>
        <w:t>nivel</w:t>
      </w:r>
      <w:r>
        <w:rPr>
          <w:spacing w:val="-11"/>
        </w:rPr>
        <w:t> </w:t>
      </w:r>
      <w:r>
        <w:rPr/>
        <w:t>local</w:t>
      </w:r>
      <w:r>
        <w:rPr>
          <w:spacing w:val="-11"/>
        </w:rPr>
        <w:t> </w:t>
      </w:r>
      <w:r>
        <w:rPr/>
        <w:t>y</w:t>
      </w:r>
      <w:r>
        <w:rPr>
          <w:spacing w:val="-12"/>
        </w:rPr>
        <w:t> </w:t>
      </w:r>
      <w:r>
        <w:rPr/>
        <w:t>ambiental,</w:t>
      </w:r>
      <w:r>
        <w:rPr>
          <w:spacing w:val="-8"/>
        </w:rPr>
        <w:t> </w:t>
      </w:r>
      <w:r>
        <w:rPr/>
        <w:t>en</w:t>
      </w:r>
      <w:r>
        <w:rPr>
          <w:spacing w:val="-10"/>
        </w:rPr>
        <w:t> </w:t>
      </w:r>
      <w:r>
        <w:rPr/>
        <w:t>el</w:t>
      </w:r>
      <w:r>
        <w:rPr>
          <w:spacing w:val="-11"/>
        </w:rPr>
        <w:t> </w:t>
      </w:r>
      <w:r>
        <w:rPr/>
        <w:t>desigual</w:t>
      </w:r>
      <w:r>
        <w:rPr>
          <w:spacing w:val="-11"/>
        </w:rPr>
        <w:t> </w:t>
      </w:r>
      <w:r>
        <w:rPr/>
        <w:t>desarrollo</w:t>
      </w:r>
      <w:r>
        <w:rPr>
          <w:spacing w:val="-10"/>
        </w:rPr>
        <w:t> </w:t>
      </w:r>
      <w:r>
        <w:rPr/>
        <w:t>de</w:t>
      </w:r>
      <w:r>
        <w:rPr>
          <w:spacing w:val="-10"/>
        </w:rPr>
        <w:t> </w:t>
      </w:r>
      <w:r>
        <w:rPr/>
        <w:t>las</w:t>
      </w:r>
      <w:r>
        <w:rPr>
          <w:spacing w:val="-10"/>
        </w:rPr>
        <w:t> </w:t>
      </w:r>
      <w:r>
        <w:rPr/>
        <w:t>regiones</w:t>
      </w:r>
      <w:r>
        <w:rPr>
          <w:spacing w:val="-10"/>
        </w:rPr>
        <w:t> </w:t>
      </w:r>
      <w:r>
        <w:rPr/>
        <w:t>cubanas.</w:t>
      </w:r>
    </w:p>
    <w:p>
      <w:pPr>
        <w:pStyle w:val="Heading2"/>
        <w:spacing w:before="125"/>
        <w:ind w:left="122"/>
      </w:pPr>
      <w:r>
        <w:rPr/>
        <w:t>Metodología y método estadístico</w:t>
      </w:r>
    </w:p>
    <w:p>
      <w:pPr>
        <w:pStyle w:val="BodyText"/>
        <w:spacing w:before="7"/>
        <w:rPr>
          <w:b/>
          <w:sz w:val="32"/>
        </w:rPr>
      </w:pPr>
    </w:p>
    <w:p>
      <w:pPr>
        <w:pStyle w:val="BodyText"/>
        <w:spacing w:line="480" w:lineRule="auto" w:before="1"/>
        <w:ind w:left="122" w:right="130" w:firstLine="707"/>
        <w:jc w:val="both"/>
      </w:pPr>
      <w:r>
        <w:rPr/>
        <w:t>En</w:t>
      </w:r>
      <w:r>
        <w:rPr>
          <w:spacing w:val="-11"/>
        </w:rPr>
        <w:t> </w:t>
      </w:r>
      <w:r>
        <w:rPr/>
        <w:t>el</w:t>
      </w:r>
      <w:r>
        <w:rPr>
          <w:spacing w:val="-12"/>
        </w:rPr>
        <w:t> </w:t>
      </w:r>
      <w:r>
        <w:rPr/>
        <w:t>análisis</w:t>
      </w:r>
      <w:r>
        <w:rPr>
          <w:spacing w:val="-11"/>
        </w:rPr>
        <w:t> </w:t>
      </w:r>
      <w:r>
        <w:rPr/>
        <w:t>se</w:t>
      </w:r>
      <w:r>
        <w:rPr>
          <w:spacing w:val="-11"/>
        </w:rPr>
        <w:t> </w:t>
      </w:r>
      <w:r>
        <w:rPr/>
        <w:t>ha</w:t>
      </w:r>
      <w:r>
        <w:rPr>
          <w:spacing w:val="-14"/>
        </w:rPr>
        <w:t> </w:t>
      </w:r>
      <w:r>
        <w:rPr/>
        <w:t>seguido</w:t>
      </w:r>
      <w:r>
        <w:rPr>
          <w:spacing w:val="-11"/>
        </w:rPr>
        <w:t> </w:t>
      </w:r>
      <w:r>
        <w:rPr/>
        <w:t>un</w:t>
      </w:r>
      <w:r>
        <w:rPr>
          <w:spacing w:val="-11"/>
        </w:rPr>
        <w:t> </w:t>
      </w:r>
      <w:r>
        <w:rPr/>
        <w:t>enfoque</w:t>
      </w:r>
      <w:r>
        <w:rPr>
          <w:spacing w:val="-11"/>
        </w:rPr>
        <w:t> </w:t>
      </w:r>
      <w:r>
        <w:rPr/>
        <w:t>histórico-sistémico,</w:t>
      </w:r>
      <w:r>
        <w:rPr>
          <w:spacing w:val="-12"/>
        </w:rPr>
        <w:t> </w:t>
      </w:r>
      <w:r>
        <w:rPr/>
        <w:t>también</w:t>
      </w:r>
      <w:r>
        <w:rPr>
          <w:spacing w:val="-11"/>
        </w:rPr>
        <w:t> </w:t>
      </w:r>
      <w:r>
        <w:rPr/>
        <w:t>se</w:t>
      </w:r>
      <w:r>
        <w:rPr>
          <w:spacing w:val="-14"/>
        </w:rPr>
        <w:t> </w:t>
      </w:r>
      <w:r>
        <w:rPr/>
        <w:t>ha</w:t>
      </w:r>
      <w:r>
        <w:rPr>
          <w:spacing w:val="-14"/>
        </w:rPr>
        <w:t> </w:t>
      </w:r>
      <w:r>
        <w:rPr/>
        <w:t>recurrido al</w:t>
      </w:r>
      <w:r>
        <w:rPr>
          <w:spacing w:val="-6"/>
        </w:rPr>
        <w:t> </w:t>
      </w:r>
      <w:r>
        <w:rPr/>
        <w:t>uso</w:t>
      </w:r>
      <w:r>
        <w:rPr>
          <w:spacing w:val="-6"/>
        </w:rPr>
        <w:t> </w:t>
      </w:r>
      <w:r>
        <w:rPr/>
        <w:t>de</w:t>
      </w:r>
      <w:r>
        <w:rPr>
          <w:spacing w:val="-8"/>
        </w:rPr>
        <w:t> </w:t>
      </w:r>
      <w:r>
        <w:rPr/>
        <w:t>instrumentos</w:t>
      </w:r>
      <w:r>
        <w:rPr>
          <w:spacing w:val="-8"/>
        </w:rPr>
        <w:t> </w:t>
      </w:r>
      <w:r>
        <w:rPr/>
        <w:t>estadísticos.</w:t>
      </w:r>
      <w:r>
        <w:rPr>
          <w:spacing w:val="-4"/>
        </w:rPr>
        <w:t> </w:t>
      </w:r>
      <w:r>
        <w:rPr/>
        <w:t>De</w:t>
      </w:r>
      <w:r>
        <w:rPr>
          <w:spacing w:val="-8"/>
        </w:rPr>
        <w:t> </w:t>
      </w:r>
      <w:r>
        <w:rPr/>
        <w:t>esta</w:t>
      </w:r>
      <w:r>
        <w:rPr>
          <w:spacing w:val="-8"/>
        </w:rPr>
        <w:t> </w:t>
      </w:r>
      <w:r>
        <w:rPr/>
        <w:t>forma</w:t>
      </w:r>
      <w:r>
        <w:rPr>
          <w:spacing w:val="-5"/>
        </w:rPr>
        <w:t> </w:t>
      </w:r>
      <w:r>
        <w:rPr/>
        <w:t>se</w:t>
      </w:r>
      <w:r>
        <w:rPr>
          <w:spacing w:val="-8"/>
        </w:rPr>
        <w:t> </w:t>
      </w:r>
      <w:r>
        <w:rPr/>
        <w:t>aplicó</w:t>
      </w:r>
      <w:r>
        <w:rPr>
          <w:spacing w:val="-5"/>
        </w:rPr>
        <w:t> </w:t>
      </w:r>
      <w:r>
        <w:rPr/>
        <w:t>el</w:t>
      </w:r>
      <w:r>
        <w:rPr>
          <w:spacing w:val="-9"/>
        </w:rPr>
        <w:t> </w:t>
      </w:r>
      <w:r>
        <w:rPr/>
        <w:t>método</w:t>
      </w:r>
      <w:r>
        <w:rPr>
          <w:spacing w:val="-5"/>
        </w:rPr>
        <w:t> </w:t>
      </w:r>
      <w:r>
        <w:rPr/>
        <w:t>del</w:t>
      </w:r>
      <w:r>
        <w:rPr>
          <w:spacing w:val="-6"/>
        </w:rPr>
        <w:t> </w:t>
      </w:r>
      <w:r>
        <w:rPr/>
        <w:t>Índice</w:t>
      </w:r>
      <w:r>
        <w:rPr>
          <w:spacing w:val="-12"/>
        </w:rPr>
        <w:t> </w:t>
      </w:r>
      <w:r>
        <w:rPr>
          <w:spacing w:val="-3"/>
        </w:rPr>
        <w:t>Territorial </w:t>
      </w:r>
      <w:r>
        <w:rPr/>
        <w:t>de Desarrollo Humano y Equidad (ITDHE), pues es dentro de las que cuantifica las desigualdades</w:t>
      </w:r>
      <w:r>
        <w:rPr>
          <w:spacing w:val="-4"/>
        </w:rPr>
        <w:t> </w:t>
      </w:r>
      <w:r>
        <w:rPr/>
        <w:t>regionales,</w:t>
      </w:r>
      <w:r>
        <w:rPr>
          <w:spacing w:val="-1"/>
        </w:rPr>
        <w:t> </w:t>
      </w:r>
      <w:r>
        <w:rPr/>
        <w:t>el</w:t>
      </w:r>
      <w:r>
        <w:rPr>
          <w:spacing w:val="-8"/>
        </w:rPr>
        <w:t> </w:t>
      </w:r>
      <w:r>
        <w:rPr/>
        <w:t>que</w:t>
      </w:r>
      <w:r>
        <w:rPr>
          <w:spacing w:val="-5"/>
        </w:rPr>
        <w:t> </w:t>
      </w:r>
      <w:r>
        <w:rPr/>
        <w:t>más</w:t>
      </w:r>
      <w:r>
        <w:rPr>
          <w:spacing w:val="-4"/>
        </w:rPr>
        <w:t> </w:t>
      </w:r>
      <w:r>
        <w:rPr/>
        <w:t>se</w:t>
      </w:r>
      <w:r>
        <w:rPr>
          <w:spacing w:val="-4"/>
        </w:rPr>
        <w:t> </w:t>
      </w:r>
      <w:r>
        <w:rPr/>
        <w:t>usa</w:t>
      </w:r>
      <w:r>
        <w:rPr>
          <w:spacing w:val="-5"/>
        </w:rPr>
        <w:t> </w:t>
      </w:r>
      <w:r>
        <w:rPr/>
        <w:t>en</w:t>
      </w:r>
      <w:r>
        <w:rPr>
          <w:spacing w:val="-5"/>
        </w:rPr>
        <w:t> </w:t>
      </w:r>
      <w:r>
        <w:rPr/>
        <w:t>Cuba</w:t>
      </w:r>
      <w:r>
        <w:rPr>
          <w:spacing w:val="-2"/>
        </w:rPr>
        <w:t> </w:t>
      </w:r>
      <w:r>
        <w:rPr/>
        <w:t>y</w:t>
      </w:r>
      <w:r>
        <w:rPr>
          <w:spacing w:val="-6"/>
        </w:rPr>
        <w:t> </w:t>
      </w:r>
      <w:r>
        <w:rPr/>
        <w:t>que</w:t>
      </w:r>
      <w:r>
        <w:rPr>
          <w:spacing w:val="-2"/>
        </w:rPr>
        <w:t> </w:t>
      </w:r>
      <w:r>
        <w:rPr/>
        <w:t>además</w:t>
      </w:r>
      <w:r>
        <w:rPr>
          <w:spacing w:val="-4"/>
        </w:rPr>
        <w:t> </w:t>
      </w:r>
      <w:r>
        <w:rPr/>
        <w:t>es</w:t>
      </w:r>
      <w:r>
        <w:rPr>
          <w:spacing w:val="-4"/>
        </w:rPr>
        <w:t> </w:t>
      </w:r>
      <w:r>
        <w:rPr/>
        <w:t>coherente</w:t>
      </w:r>
      <w:r>
        <w:rPr>
          <w:spacing w:val="-4"/>
        </w:rPr>
        <w:t> </w:t>
      </w:r>
      <w:r>
        <w:rPr/>
        <w:t>con</w:t>
      </w:r>
      <w:r>
        <w:rPr>
          <w:spacing w:val="-5"/>
        </w:rPr>
        <w:t> </w:t>
      </w:r>
      <w:r>
        <w:rPr/>
        <w:t>los principios internacionales sobre desarrollo humano divulgados por el Programa de las Naciones Unidas para el Desarrollo</w:t>
      </w:r>
      <w:r>
        <w:rPr>
          <w:spacing w:val="-12"/>
        </w:rPr>
        <w:t> </w:t>
      </w:r>
      <w:r>
        <w:rPr/>
        <w:t>(PNUD).</w:t>
      </w:r>
    </w:p>
    <w:p>
      <w:pPr>
        <w:pStyle w:val="BodyText"/>
        <w:spacing w:line="477" w:lineRule="auto" w:before="127"/>
        <w:ind w:left="122" w:right="136" w:firstLine="707"/>
        <w:jc w:val="both"/>
      </w:pPr>
      <w:r>
        <w:rPr/>
        <w:t>En el mismo se tienen en cuenta ocho dimensiones, de las cuales se derivan indicadores específicos, tal como se muestra en la tabla.</w:t>
      </w:r>
    </w:p>
    <w:p>
      <w:pPr>
        <w:pStyle w:val="Heading2"/>
        <w:spacing w:before="128"/>
        <w:ind w:left="530"/>
      </w:pPr>
      <w:r>
        <w:rPr/>
        <w:t>Tabla 1. Dimensiones e indicadores empleados en la metodología del ITDHE</w:t>
      </w:r>
    </w:p>
    <w:p>
      <w:pPr>
        <w:pStyle w:val="BodyText"/>
        <w:rPr>
          <w:b/>
          <w:sz w:val="20"/>
        </w:rPr>
      </w:pPr>
    </w:p>
    <w:p>
      <w:pPr>
        <w:pStyle w:val="BodyText"/>
        <w:spacing w:before="10"/>
        <w:rPr>
          <w:b/>
          <w:sz w:val="1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6390"/>
      </w:tblGrid>
      <w:tr>
        <w:trPr>
          <w:trHeight w:val="360" w:hRule="exact"/>
        </w:trPr>
        <w:tc>
          <w:tcPr>
            <w:tcW w:w="2410" w:type="dxa"/>
            <w:tcBorders>
              <w:right w:val="nil"/>
            </w:tcBorders>
          </w:tcPr>
          <w:p>
            <w:pPr>
              <w:pStyle w:val="TableParagraph"/>
              <w:spacing w:line="225" w:lineRule="exact"/>
              <w:ind w:left="688"/>
              <w:rPr>
                <w:b/>
                <w:sz w:val="20"/>
              </w:rPr>
            </w:pPr>
            <w:r>
              <w:rPr>
                <w:b/>
                <w:sz w:val="20"/>
              </w:rPr>
              <w:t>Dimensión</w:t>
            </w:r>
          </w:p>
        </w:tc>
        <w:tc>
          <w:tcPr>
            <w:tcW w:w="6390" w:type="dxa"/>
            <w:tcBorders>
              <w:left w:val="nil"/>
            </w:tcBorders>
          </w:tcPr>
          <w:p>
            <w:pPr>
              <w:pStyle w:val="TableParagraph"/>
              <w:spacing w:line="225" w:lineRule="exact"/>
              <w:ind w:left="2611" w:right="2610"/>
              <w:jc w:val="center"/>
              <w:rPr>
                <w:b/>
                <w:sz w:val="20"/>
              </w:rPr>
            </w:pPr>
            <w:r>
              <w:rPr>
                <w:b/>
                <w:sz w:val="20"/>
              </w:rPr>
              <w:t>Indicadores</w:t>
            </w:r>
          </w:p>
        </w:tc>
      </w:tr>
      <w:tr>
        <w:trPr>
          <w:trHeight w:val="360" w:hRule="exact"/>
        </w:trPr>
        <w:tc>
          <w:tcPr>
            <w:tcW w:w="2410" w:type="dxa"/>
          </w:tcPr>
          <w:p>
            <w:pPr>
              <w:pStyle w:val="TableParagraph"/>
              <w:spacing w:line="227" w:lineRule="exact"/>
              <w:rPr>
                <w:sz w:val="20"/>
              </w:rPr>
            </w:pPr>
            <w:r>
              <w:rPr>
                <w:sz w:val="20"/>
              </w:rPr>
              <w:t>Desarrollo económico</w:t>
            </w:r>
          </w:p>
        </w:tc>
        <w:tc>
          <w:tcPr>
            <w:tcW w:w="6390" w:type="dxa"/>
          </w:tcPr>
          <w:p>
            <w:pPr>
              <w:pStyle w:val="TableParagraph"/>
              <w:spacing w:line="227" w:lineRule="exact"/>
              <w:rPr>
                <w:sz w:val="20"/>
              </w:rPr>
            </w:pPr>
            <w:r>
              <w:rPr>
                <w:sz w:val="20"/>
              </w:rPr>
              <w:t>Volumen de inversiones per cápita. (pesos)</w:t>
            </w:r>
          </w:p>
        </w:tc>
      </w:tr>
      <w:tr>
        <w:trPr>
          <w:trHeight w:val="360" w:hRule="exact"/>
        </w:trPr>
        <w:tc>
          <w:tcPr>
            <w:tcW w:w="2410" w:type="dxa"/>
          </w:tcPr>
          <w:p>
            <w:pPr>
              <w:pStyle w:val="TableParagraph"/>
              <w:spacing w:line="227" w:lineRule="exact"/>
              <w:rPr>
                <w:sz w:val="20"/>
              </w:rPr>
            </w:pPr>
            <w:r>
              <w:rPr>
                <w:sz w:val="20"/>
              </w:rPr>
              <w:t>Consumo personal</w:t>
            </w:r>
          </w:p>
        </w:tc>
        <w:tc>
          <w:tcPr>
            <w:tcW w:w="6390" w:type="dxa"/>
          </w:tcPr>
          <w:p>
            <w:pPr>
              <w:pStyle w:val="TableParagraph"/>
              <w:spacing w:line="227" w:lineRule="exact"/>
              <w:rPr>
                <w:sz w:val="20"/>
              </w:rPr>
            </w:pPr>
            <w:r>
              <w:rPr>
                <w:sz w:val="20"/>
              </w:rPr>
              <w:t>Valor de la circulación mercantil minorista per cápita. (pesos)</w:t>
            </w:r>
          </w:p>
        </w:tc>
      </w:tr>
      <w:tr>
        <w:trPr>
          <w:trHeight w:val="360" w:hRule="exact"/>
        </w:trPr>
        <w:tc>
          <w:tcPr>
            <w:tcW w:w="2410" w:type="dxa"/>
          </w:tcPr>
          <w:p>
            <w:pPr>
              <w:pStyle w:val="TableParagraph"/>
              <w:spacing w:line="227" w:lineRule="exact"/>
              <w:rPr>
                <w:sz w:val="20"/>
              </w:rPr>
            </w:pPr>
            <w:r>
              <w:rPr>
                <w:sz w:val="20"/>
              </w:rPr>
              <w:t>Nivel de educación</w:t>
            </w:r>
          </w:p>
        </w:tc>
        <w:tc>
          <w:tcPr>
            <w:tcW w:w="6390" w:type="dxa"/>
          </w:tcPr>
          <w:p>
            <w:pPr>
              <w:pStyle w:val="TableParagraph"/>
              <w:spacing w:line="227" w:lineRule="exact"/>
              <w:rPr>
                <w:sz w:val="20"/>
              </w:rPr>
            </w:pPr>
            <w:r>
              <w:rPr>
                <w:sz w:val="20"/>
              </w:rPr>
              <w:t>Tasa de escolarización de 6 a 14 años. (%)</w:t>
            </w:r>
          </w:p>
        </w:tc>
      </w:tr>
      <w:tr>
        <w:trPr>
          <w:trHeight w:val="590" w:hRule="exact"/>
        </w:trPr>
        <w:tc>
          <w:tcPr>
            <w:tcW w:w="2410" w:type="dxa"/>
          </w:tcPr>
          <w:p>
            <w:pPr>
              <w:pStyle w:val="TableParagraph"/>
              <w:ind w:right="353"/>
              <w:rPr>
                <w:sz w:val="20"/>
              </w:rPr>
            </w:pPr>
            <w:r>
              <w:rPr>
                <w:sz w:val="20"/>
              </w:rPr>
              <w:t>Estado de salud de la población</w:t>
            </w:r>
          </w:p>
        </w:tc>
        <w:tc>
          <w:tcPr>
            <w:tcW w:w="6390" w:type="dxa"/>
          </w:tcPr>
          <w:p>
            <w:pPr>
              <w:pStyle w:val="TableParagraph"/>
              <w:spacing w:line="227" w:lineRule="exact"/>
              <w:rPr>
                <w:sz w:val="20"/>
              </w:rPr>
            </w:pPr>
            <w:r>
              <w:rPr>
                <w:sz w:val="20"/>
              </w:rPr>
              <w:t>Esperanza de vida al nacer. (ambos sexos)</w:t>
            </w:r>
          </w:p>
        </w:tc>
      </w:tr>
      <w:tr>
        <w:trPr>
          <w:trHeight w:val="590" w:hRule="exact"/>
        </w:trPr>
        <w:tc>
          <w:tcPr>
            <w:tcW w:w="2410" w:type="dxa"/>
          </w:tcPr>
          <w:p>
            <w:pPr>
              <w:pStyle w:val="TableParagraph"/>
              <w:rPr>
                <w:sz w:val="20"/>
              </w:rPr>
            </w:pPr>
            <w:r>
              <w:rPr>
                <w:sz w:val="20"/>
              </w:rPr>
              <w:t>Acceso a servicios básicos</w:t>
            </w:r>
          </w:p>
        </w:tc>
        <w:tc>
          <w:tcPr>
            <w:tcW w:w="6390" w:type="dxa"/>
          </w:tcPr>
          <w:p>
            <w:pPr>
              <w:pStyle w:val="TableParagraph"/>
              <w:spacing w:line="227" w:lineRule="exact"/>
              <w:rPr>
                <w:sz w:val="20"/>
              </w:rPr>
            </w:pPr>
            <w:r>
              <w:rPr>
                <w:sz w:val="20"/>
              </w:rPr>
              <w:t>Porcentaje de población con acceso a agua potable.</w:t>
            </w:r>
          </w:p>
        </w:tc>
      </w:tr>
    </w:tbl>
    <w:p>
      <w:pPr>
        <w:spacing w:after="0" w:line="227" w:lineRule="exact"/>
        <w:rPr>
          <w:sz w:val="20"/>
        </w:rPr>
        <w:sectPr>
          <w:pgSz w:w="11910" w:h="16840"/>
          <w:pgMar w:header="0" w:footer="768" w:top="1580" w:bottom="960" w:left="1580" w:right="1280"/>
        </w:sectPr>
      </w:pPr>
    </w:p>
    <w:p>
      <w:pPr>
        <w:pStyle w:val="BodyText"/>
        <w:spacing w:before="2"/>
        <w:rPr>
          <w:b/>
          <w:sz w:val="9"/>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6390"/>
      </w:tblGrid>
      <w:tr>
        <w:trPr>
          <w:trHeight w:val="360" w:hRule="exact"/>
        </w:trPr>
        <w:tc>
          <w:tcPr>
            <w:tcW w:w="2410" w:type="dxa"/>
          </w:tcPr>
          <w:p>
            <w:pPr>
              <w:pStyle w:val="TableParagraph"/>
              <w:spacing w:line="227" w:lineRule="exact"/>
              <w:rPr>
                <w:sz w:val="20"/>
              </w:rPr>
            </w:pPr>
            <w:r>
              <w:rPr>
                <w:sz w:val="20"/>
              </w:rPr>
              <w:t>Acceso a la energía</w:t>
            </w:r>
          </w:p>
        </w:tc>
        <w:tc>
          <w:tcPr>
            <w:tcW w:w="6390" w:type="dxa"/>
          </w:tcPr>
          <w:p>
            <w:pPr>
              <w:pStyle w:val="TableParagraph"/>
              <w:spacing w:line="227" w:lineRule="exact"/>
              <w:rPr>
                <w:sz w:val="20"/>
              </w:rPr>
            </w:pPr>
            <w:r>
              <w:rPr>
                <w:sz w:val="20"/>
              </w:rPr>
              <w:t>Porcentaje de población con acceso a electricidad.</w:t>
            </w:r>
          </w:p>
        </w:tc>
      </w:tr>
      <w:tr>
        <w:trPr>
          <w:trHeight w:val="360" w:hRule="exact"/>
        </w:trPr>
        <w:tc>
          <w:tcPr>
            <w:tcW w:w="2410" w:type="dxa"/>
          </w:tcPr>
          <w:p>
            <w:pPr>
              <w:pStyle w:val="TableParagraph"/>
              <w:spacing w:line="227" w:lineRule="exact"/>
              <w:rPr>
                <w:sz w:val="20"/>
              </w:rPr>
            </w:pPr>
            <w:r>
              <w:rPr>
                <w:sz w:val="20"/>
              </w:rPr>
              <w:t>Calidad de la vivienda</w:t>
            </w:r>
          </w:p>
        </w:tc>
        <w:tc>
          <w:tcPr>
            <w:tcW w:w="6390" w:type="dxa"/>
          </w:tcPr>
          <w:p>
            <w:pPr>
              <w:pStyle w:val="TableParagraph"/>
              <w:spacing w:line="227" w:lineRule="exact"/>
              <w:rPr>
                <w:sz w:val="20"/>
              </w:rPr>
            </w:pPr>
            <w:r>
              <w:rPr>
                <w:sz w:val="20"/>
              </w:rPr>
              <w:t>Porcentaje de viviendas en buen estado.</w:t>
            </w:r>
          </w:p>
        </w:tc>
      </w:tr>
      <w:tr>
        <w:trPr>
          <w:trHeight w:val="360" w:hRule="exact"/>
        </w:trPr>
        <w:tc>
          <w:tcPr>
            <w:tcW w:w="2410" w:type="dxa"/>
          </w:tcPr>
          <w:p>
            <w:pPr>
              <w:pStyle w:val="TableParagraph"/>
              <w:spacing w:line="227" w:lineRule="exact"/>
              <w:rPr>
                <w:sz w:val="20"/>
              </w:rPr>
            </w:pPr>
            <w:r>
              <w:rPr>
                <w:sz w:val="20"/>
              </w:rPr>
              <w:t>Participación política</w:t>
            </w:r>
          </w:p>
        </w:tc>
        <w:tc>
          <w:tcPr>
            <w:tcW w:w="6390" w:type="dxa"/>
          </w:tcPr>
          <w:p>
            <w:pPr>
              <w:pStyle w:val="TableParagraph"/>
              <w:spacing w:line="227" w:lineRule="exact"/>
              <w:rPr>
                <w:sz w:val="20"/>
              </w:rPr>
            </w:pPr>
            <w:r>
              <w:rPr>
                <w:sz w:val="20"/>
              </w:rPr>
              <w:t>Porcentaje de votantes en las últimas elecciones.</w:t>
            </w:r>
          </w:p>
        </w:tc>
      </w:tr>
    </w:tbl>
    <w:p>
      <w:pPr>
        <w:spacing w:before="117"/>
        <w:ind w:left="122" w:right="0" w:firstLine="0"/>
        <w:jc w:val="left"/>
        <w:rPr>
          <w:sz w:val="20"/>
        </w:rPr>
      </w:pPr>
      <w:r>
        <w:rPr>
          <w:sz w:val="20"/>
        </w:rPr>
        <w:t>Fuente: Candido. “Desarrollo humano territorial en Cuba: Metodología para su evaluación y resultados”. En  Revista Economía y Desarrollo Edición Especial Facultad de Economía, 2004.</w:t>
      </w:r>
    </w:p>
    <w:p>
      <w:pPr>
        <w:pStyle w:val="BodyText"/>
        <w:rPr>
          <w:sz w:val="20"/>
        </w:rPr>
      </w:pPr>
    </w:p>
    <w:p>
      <w:pPr>
        <w:pStyle w:val="BodyText"/>
        <w:spacing w:before="9"/>
      </w:pPr>
    </w:p>
    <w:p>
      <w:pPr>
        <w:spacing w:line="480" w:lineRule="auto" w:before="1"/>
        <w:ind w:left="122" w:right="131" w:firstLine="707"/>
        <w:jc w:val="both"/>
        <w:rPr>
          <w:sz w:val="22"/>
        </w:rPr>
      </w:pPr>
      <w:r>
        <w:rPr>
          <w:sz w:val="22"/>
        </w:rPr>
        <w:t>Las dimensiones establecidas para medir el desarrollo humano responden a las dimensiones esenciales reconocidas por el PNUD: </w:t>
      </w:r>
      <w:r>
        <w:rPr>
          <w:i/>
          <w:sz w:val="22"/>
        </w:rPr>
        <w:t>disfrutar de una vida prolongada y </w:t>
      </w:r>
      <w:r>
        <w:rPr>
          <w:i/>
          <w:sz w:val="22"/>
        </w:rPr>
        <w:t>saludable, adquirir conocimientos y tener acceso a los recursos necesarios para lograr un nivel de vida adecuado. </w:t>
      </w:r>
      <w:r>
        <w:rPr>
          <w:sz w:val="22"/>
        </w:rPr>
        <w:t>(PNUD, 1993).</w:t>
      </w:r>
    </w:p>
    <w:p>
      <w:pPr>
        <w:pStyle w:val="BodyText"/>
        <w:spacing w:line="480" w:lineRule="auto" w:before="127"/>
        <w:ind w:left="122" w:right="130" w:firstLine="707"/>
        <w:jc w:val="both"/>
      </w:pPr>
      <w:r>
        <w:rPr/>
        <w:t>El ITDHE resulta ser un buen indicador para comparar los avances socio- económicos alcanzados por las diferentes regiones del país, pero a nuestro entender adolece</w:t>
      </w:r>
      <w:r>
        <w:rPr>
          <w:spacing w:val="-4"/>
        </w:rPr>
        <w:t> </w:t>
      </w:r>
      <w:r>
        <w:rPr/>
        <w:t>de</w:t>
      </w:r>
      <w:r>
        <w:rPr>
          <w:spacing w:val="-4"/>
        </w:rPr>
        <w:t> </w:t>
      </w:r>
      <w:r>
        <w:rPr/>
        <w:t>una</w:t>
      </w:r>
      <w:r>
        <w:rPr>
          <w:spacing w:val="-6"/>
        </w:rPr>
        <w:t> </w:t>
      </w:r>
      <w:r>
        <w:rPr/>
        <w:t>dimensión</w:t>
      </w:r>
      <w:r>
        <w:rPr>
          <w:spacing w:val="-6"/>
        </w:rPr>
        <w:t> </w:t>
      </w:r>
      <w:r>
        <w:rPr/>
        <w:t>fundamental:</w:t>
      </w:r>
      <w:r>
        <w:rPr>
          <w:spacing w:val="-3"/>
        </w:rPr>
        <w:t> </w:t>
      </w:r>
      <w:r>
        <w:rPr/>
        <w:t>el</w:t>
      </w:r>
      <w:r>
        <w:rPr>
          <w:spacing w:val="-7"/>
        </w:rPr>
        <w:t> </w:t>
      </w:r>
      <w:r>
        <w:rPr/>
        <w:t>impacto</w:t>
      </w:r>
      <w:r>
        <w:rPr>
          <w:spacing w:val="-4"/>
        </w:rPr>
        <w:t> </w:t>
      </w:r>
      <w:r>
        <w:rPr/>
        <w:t>ambiental.</w:t>
      </w:r>
      <w:r>
        <w:rPr>
          <w:spacing w:val="-3"/>
        </w:rPr>
        <w:t> </w:t>
      </w:r>
      <w:r>
        <w:rPr/>
        <w:t>Si</w:t>
      </w:r>
      <w:r>
        <w:rPr>
          <w:spacing w:val="-7"/>
        </w:rPr>
        <w:t> </w:t>
      </w:r>
      <w:r>
        <w:rPr/>
        <w:t>se</w:t>
      </w:r>
      <w:r>
        <w:rPr>
          <w:spacing w:val="-4"/>
        </w:rPr>
        <w:t> </w:t>
      </w:r>
      <w:r>
        <w:rPr/>
        <w:t>pretende</w:t>
      </w:r>
      <w:r>
        <w:rPr>
          <w:spacing w:val="-4"/>
        </w:rPr>
        <w:t> </w:t>
      </w:r>
      <w:r>
        <w:rPr/>
        <w:t>cuantificar</w:t>
      </w:r>
      <w:r>
        <w:rPr>
          <w:spacing w:val="-3"/>
        </w:rPr>
        <w:t> </w:t>
      </w:r>
      <w:r>
        <w:rPr/>
        <w:t>el desarrollo</w:t>
      </w:r>
      <w:r>
        <w:rPr>
          <w:spacing w:val="-15"/>
        </w:rPr>
        <w:t> </w:t>
      </w:r>
      <w:r>
        <w:rPr/>
        <w:t>humano</w:t>
      </w:r>
      <w:r>
        <w:rPr>
          <w:spacing w:val="-18"/>
        </w:rPr>
        <w:t> </w:t>
      </w:r>
      <w:r>
        <w:rPr/>
        <w:t>en</w:t>
      </w:r>
      <w:r>
        <w:rPr>
          <w:spacing w:val="-15"/>
        </w:rPr>
        <w:t> </w:t>
      </w:r>
      <w:r>
        <w:rPr/>
        <w:t>un</w:t>
      </w:r>
      <w:r>
        <w:rPr>
          <w:spacing w:val="-20"/>
        </w:rPr>
        <w:t> </w:t>
      </w:r>
      <w:r>
        <w:rPr/>
        <w:t>territorio,</w:t>
      </w:r>
      <w:r>
        <w:rPr>
          <w:spacing w:val="-16"/>
        </w:rPr>
        <w:t> </w:t>
      </w:r>
      <w:r>
        <w:rPr/>
        <w:t>es</w:t>
      </w:r>
      <w:r>
        <w:rPr>
          <w:spacing w:val="-18"/>
        </w:rPr>
        <w:t> </w:t>
      </w:r>
      <w:r>
        <w:rPr/>
        <w:t>imprescindible</w:t>
      </w:r>
      <w:r>
        <w:rPr>
          <w:spacing w:val="-15"/>
        </w:rPr>
        <w:t> </w:t>
      </w:r>
      <w:r>
        <w:rPr/>
        <w:t>que</w:t>
      </w:r>
      <w:r>
        <w:rPr>
          <w:spacing w:val="-20"/>
        </w:rPr>
        <w:t> </w:t>
      </w:r>
      <w:r>
        <w:rPr/>
        <w:t>responda</w:t>
      </w:r>
      <w:r>
        <w:rPr>
          <w:spacing w:val="-18"/>
        </w:rPr>
        <w:t> </w:t>
      </w:r>
      <w:r>
        <w:rPr/>
        <w:t>también</w:t>
      </w:r>
      <w:r>
        <w:rPr>
          <w:spacing w:val="-18"/>
        </w:rPr>
        <w:t> </w:t>
      </w:r>
      <w:r>
        <w:rPr/>
        <w:t>a</w:t>
      </w:r>
      <w:r>
        <w:rPr>
          <w:spacing w:val="-15"/>
        </w:rPr>
        <w:t> </w:t>
      </w:r>
      <w:r>
        <w:rPr/>
        <w:t>la</w:t>
      </w:r>
      <w:r>
        <w:rPr>
          <w:spacing w:val="-15"/>
        </w:rPr>
        <w:t> </w:t>
      </w:r>
      <w:r>
        <w:rPr/>
        <w:t>concepción de desarrollo sustentable, pues son conceptos complementarios. Las dimensiones que se seleccionen deben incluir la medición de la contaminación ambiental, pues esto perjudica directamente la capacidad de las futuras</w:t>
      </w:r>
      <w:r>
        <w:rPr>
          <w:spacing w:val="-15"/>
        </w:rPr>
        <w:t> </w:t>
      </w:r>
      <w:r>
        <w:rPr/>
        <w:t>generaciones.</w:t>
      </w:r>
    </w:p>
    <w:p>
      <w:pPr>
        <w:pStyle w:val="BodyText"/>
        <w:spacing w:line="480" w:lineRule="auto" w:before="127"/>
        <w:ind w:left="122" w:right="132" w:firstLine="707"/>
        <w:jc w:val="both"/>
      </w:pPr>
      <w:r>
        <w:rPr/>
        <w:t>Es por ello que proponemos en este trabajo incorporar al método del ITDHE la dimensión ambiental y de esta forma poder medir las desigualdades regionales en Cuba, dentro de la concepción de desarrollo sustentable. A modo general, pueden existir inconformidades en las dimensiones y variables que se seleccionaron, pues como todo índice simplifica a pocos indicadores conceptos amplios. Sin embargo, con el mismo se han podido jerarquizar los territorios según los logros obtenidos en cada dimensión, reflejando cuales de ellos se encuentran atrasados con respecto a la media. Su aplicación ha sido útil en la evaluación de políticas y su impacto en el territorio, además de que sus resultados han ayudado en el entendimiento de algunos de los problemas regionales que persisten en el país. Constituye, por tanto, una herramienta necesaria para complementar los estudios regionales.</w:t>
      </w:r>
    </w:p>
    <w:p>
      <w:pPr>
        <w:spacing w:after="0" w:line="480" w:lineRule="auto"/>
        <w:jc w:val="both"/>
        <w:sectPr>
          <w:pgSz w:w="11910" w:h="16840"/>
          <w:pgMar w:header="0" w:footer="768" w:top="1580" w:bottom="960" w:left="1580" w:right="1280"/>
        </w:sectPr>
      </w:pPr>
    </w:p>
    <w:p>
      <w:pPr>
        <w:pStyle w:val="Heading2"/>
      </w:pPr>
      <w:r>
        <w:rPr/>
        <w:t>Marco teórico</w:t>
      </w:r>
    </w:p>
    <w:p>
      <w:pPr>
        <w:pStyle w:val="BodyText"/>
        <w:spacing w:before="7"/>
        <w:rPr>
          <w:b/>
          <w:sz w:val="32"/>
        </w:rPr>
      </w:pPr>
    </w:p>
    <w:p>
      <w:pPr>
        <w:pStyle w:val="BodyText"/>
        <w:spacing w:line="480" w:lineRule="auto" w:before="1"/>
        <w:ind w:left="102" w:right="109" w:firstLine="707"/>
        <w:jc w:val="both"/>
      </w:pPr>
      <w:r>
        <w:rPr/>
        <w:t>El término </w:t>
      </w:r>
      <w:r>
        <w:rPr>
          <w:i/>
        </w:rPr>
        <w:t>desarrollo sustentable </w:t>
      </w:r>
      <w:r>
        <w:rPr/>
        <w:t>se refiere al desarrollo económico y social que permite hacer frente a las necesidades del presente sin poner en peligro la capacidad de futuras generaciones para satisfacer sus propias necesidades. El mismo evidencia que el análisis sobre desarrollo en la actualidad debe ser multidisciplinario, vinculando diferentes dimensiones: desde la económica, política, social, cultural, histórica, hasta la ambiental.</w:t>
      </w:r>
    </w:p>
    <w:p>
      <w:pPr>
        <w:pStyle w:val="BodyText"/>
        <w:spacing w:line="480" w:lineRule="auto" w:before="128"/>
        <w:ind w:left="102" w:right="111" w:firstLine="707"/>
        <w:jc w:val="both"/>
      </w:pPr>
      <w:r>
        <w:rPr/>
        <w:t>El ordenamiento territorial ha representado un instrumento importante dentro de esta concepción de desarrollo, pues induce un mejor empleo de los recursos naturales y una mejor distribución de las actividades socio-económicas en correspondencia con las potencialidades</w:t>
      </w:r>
      <w:r>
        <w:rPr>
          <w:spacing w:val="-17"/>
        </w:rPr>
        <w:t> </w:t>
      </w:r>
      <w:r>
        <w:rPr/>
        <w:t>de</w:t>
      </w:r>
      <w:r>
        <w:rPr>
          <w:spacing w:val="-20"/>
        </w:rPr>
        <w:t> </w:t>
      </w:r>
      <w:r>
        <w:rPr/>
        <w:t>cada</w:t>
      </w:r>
      <w:r>
        <w:rPr>
          <w:spacing w:val="-20"/>
        </w:rPr>
        <w:t> </w:t>
      </w:r>
      <w:r>
        <w:rPr/>
        <w:t>territorio</w:t>
      </w:r>
      <w:r>
        <w:rPr>
          <w:spacing w:val="-17"/>
        </w:rPr>
        <w:t> </w:t>
      </w:r>
      <w:r>
        <w:rPr/>
        <w:t>o</w:t>
      </w:r>
      <w:r>
        <w:rPr>
          <w:spacing w:val="-20"/>
        </w:rPr>
        <w:t> </w:t>
      </w:r>
      <w:r>
        <w:rPr/>
        <w:t>región</w:t>
      </w:r>
      <w:r>
        <w:rPr>
          <w:spacing w:val="-22"/>
        </w:rPr>
        <w:t> </w:t>
      </w:r>
      <w:r>
        <w:rPr/>
        <w:t>geográfica.</w:t>
      </w:r>
      <w:r>
        <w:rPr>
          <w:spacing w:val="-18"/>
        </w:rPr>
        <w:t> </w:t>
      </w:r>
      <w:r>
        <w:rPr/>
        <w:t>Dicho</w:t>
      </w:r>
      <w:r>
        <w:rPr>
          <w:spacing w:val="-17"/>
        </w:rPr>
        <w:t> </w:t>
      </w:r>
      <w:r>
        <w:rPr/>
        <w:t>instrumento</w:t>
      </w:r>
      <w:r>
        <w:rPr>
          <w:spacing w:val="-20"/>
        </w:rPr>
        <w:t> </w:t>
      </w:r>
      <w:r>
        <w:rPr/>
        <w:t>puede</w:t>
      </w:r>
      <w:r>
        <w:rPr>
          <w:spacing w:val="-17"/>
        </w:rPr>
        <w:t> </w:t>
      </w:r>
      <w:r>
        <w:rPr/>
        <w:t>ser</w:t>
      </w:r>
      <w:r>
        <w:rPr>
          <w:spacing w:val="-16"/>
        </w:rPr>
        <w:t> </w:t>
      </w:r>
      <w:r>
        <w:rPr/>
        <w:t>definido como</w:t>
      </w:r>
      <w:r>
        <w:rPr>
          <w:spacing w:val="-6"/>
        </w:rPr>
        <w:t> </w:t>
      </w:r>
      <w:r>
        <w:rPr/>
        <w:t>un</w:t>
      </w:r>
      <w:r>
        <w:rPr>
          <w:spacing w:val="-9"/>
        </w:rPr>
        <w:t> </w:t>
      </w:r>
      <w:r>
        <w:rPr/>
        <w:t>sistema</w:t>
      </w:r>
      <w:r>
        <w:rPr>
          <w:spacing w:val="-8"/>
        </w:rPr>
        <w:t> </w:t>
      </w:r>
      <w:r>
        <w:rPr/>
        <w:t>de</w:t>
      </w:r>
      <w:r>
        <w:rPr>
          <w:spacing w:val="-7"/>
        </w:rPr>
        <w:t> </w:t>
      </w:r>
      <w:r>
        <w:rPr/>
        <w:t>elementos</w:t>
      </w:r>
      <w:r>
        <w:rPr>
          <w:spacing w:val="-11"/>
        </w:rPr>
        <w:t> </w:t>
      </w:r>
      <w:r>
        <w:rPr/>
        <w:t>técnicos</w:t>
      </w:r>
      <w:r>
        <w:rPr>
          <w:spacing w:val="-6"/>
        </w:rPr>
        <w:t> </w:t>
      </w:r>
      <w:r>
        <w:rPr/>
        <w:t>y</w:t>
      </w:r>
      <w:r>
        <w:rPr>
          <w:spacing w:val="-8"/>
        </w:rPr>
        <w:t> </w:t>
      </w:r>
      <w:r>
        <w:rPr/>
        <w:t>administrativos</w:t>
      </w:r>
      <w:r>
        <w:rPr>
          <w:spacing w:val="-6"/>
        </w:rPr>
        <w:t> </w:t>
      </w:r>
      <w:r>
        <w:rPr/>
        <w:t>con</w:t>
      </w:r>
      <w:r>
        <w:rPr>
          <w:spacing w:val="-7"/>
        </w:rPr>
        <w:t> </w:t>
      </w:r>
      <w:r>
        <w:rPr/>
        <w:t>actuación</w:t>
      </w:r>
      <w:r>
        <w:rPr>
          <w:spacing w:val="-7"/>
        </w:rPr>
        <w:t> </w:t>
      </w:r>
      <w:r>
        <w:rPr/>
        <w:t>interdisciplinaria</w:t>
      </w:r>
      <w:r>
        <w:rPr>
          <w:spacing w:val="-6"/>
        </w:rPr>
        <w:t> </w:t>
      </w:r>
      <w:r>
        <w:rPr/>
        <w:t>y global, encaminados a regular y controlar el uso del territorio, así como la transformación integral del mismo, con el objetivo de lograr un desarrollo equilibrado de las regiones y la organización física del espacio ( Vasapollo, 2008:</w:t>
      </w:r>
      <w:r>
        <w:rPr>
          <w:spacing w:val="-10"/>
        </w:rPr>
        <w:t> </w:t>
      </w:r>
      <w:r>
        <w:rPr/>
        <w:t>156).</w:t>
      </w:r>
    </w:p>
    <w:p>
      <w:pPr>
        <w:pStyle w:val="BodyText"/>
        <w:spacing w:line="480" w:lineRule="auto" w:before="127"/>
        <w:ind w:left="102" w:right="108" w:firstLine="707"/>
        <w:jc w:val="both"/>
      </w:pPr>
      <w:r>
        <w:rPr/>
        <w:t>En sintonía con el ordenamiento territorial se encuentra el enfoque dentro de la Economía Regional denominado </w:t>
      </w:r>
      <w:r>
        <w:rPr>
          <w:i/>
        </w:rPr>
        <w:t>Desarrollo Endógeno Territorial</w:t>
      </w:r>
      <w:r>
        <w:rPr/>
        <w:t>. Dentro del marco de la globalización, este enfoque emergió como una respuesta a la exclusión generada por el cambio de las relaciones económicas internacionales resultado de los procesos globalizadores. Si bien la globalización ha representado un mayor acceso a recursos globales</w:t>
      </w:r>
      <w:r>
        <w:rPr>
          <w:spacing w:val="-6"/>
        </w:rPr>
        <w:t> </w:t>
      </w:r>
      <w:r>
        <w:rPr/>
        <w:t>(tecnología,</w:t>
      </w:r>
      <w:r>
        <w:rPr>
          <w:spacing w:val="-5"/>
        </w:rPr>
        <w:t> </w:t>
      </w:r>
      <w:r>
        <w:rPr/>
        <w:t>capital</w:t>
      </w:r>
      <w:r>
        <w:rPr>
          <w:spacing w:val="-7"/>
        </w:rPr>
        <w:t> </w:t>
      </w:r>
      <w:r>
        <w:rPr/>
        <w:t>y</w:t>
      </w:r>
      <w:r>
        <w:rPr>
          <w:spacing w:val="-8"/>
        </w:rPr>
        <w:t> </w:t>
      </w:r>
      <w:r>
        <w:rPr/>
        <w:t>mercados)</w:t>
      </w:r>
      <w:r>
        <w:rPr>
          <w:spacing w:val="-5"/>
        </w:rPr>
        <w:t> </w:t>
      </w:r>
      <w:r>
        <w:rPr/>
        <w:t>para</w:t>
      </w:r>
      <w:r>
        <w:rPr>
          <w:spacing w:val="-9"/>
        </w:rPr>
        <w:t> </w:t>
      </w:r>
      <w:r>
        <w:rPr/>
        <w:t>aquellos</w:t>
      </w:r>
      <w:r>
        <w:rPr>
          <w:spacing w:val="-6"/>
        </w:rPr>
        <w:t> </w:t>
      </w:r>
      <w:r>
        <w:rPr/>
        <w:t>territorios</w:t>
      </w:r>
      <w:r>
        <w:rPr>
          <w:spacing w:val="-3"/>
        </w:rPr>
        <w:t> </w:t>
      </w:r>
      <w:r>
        <w:rPr/>
        <w:t>con</w:t>
      </w:r>
      <w:r>
        <w:rPr>
          <w:spacing w:val="-9"/>
        </w:rPr>
        <w:t> </w:t>
      </w:r>
      <w:r>
        <w:rPr/>
        <w:t>recursos</w:t>
      </w:r>
      <w:r>
        <w:rPr>
          <w:spacing w:val="-6"/>
        </w:rPr>
        <w:t> </w:t>
      </w:r>
      <w:r>
        <w:rPr/>
        <w:t>endógenos relevantes, también se ha podido comprobar como ha fomentado la desintegración económico y social de las unidades territoriales no favorecidas, subordinación por depender</w:t>
      </w:r>
      <w:r>
        <w:rPr>
          <w:spacing w:val="-11"/>
        </w:rPr>
        <w:t> </w:t>
      </w:r>
      <w:r>
        <w:rPr/>
        <w:t>de</w:t>
      </w:r>
      <w:r>
        <w:rPr>
          <w:spacing w:val="-12"/>
        </w:rPr>
        <w:t> </w:t>
      </w:r>
      <w:r>
        <w:rPr/>
        <w:t>actores</w:t>
      </w:r>
      <w:r>
        <w:rPr>
          <w:spacing w:val="-16"/>
        </w:rPr>
        <w:t> </w:t>
      </w:r>
      <w:r>
        <w:rPr/>
        <w:t>globales</w:t>
      </w:r>
      <w:r>
        <w:rPr>
          <w:spacing w:val="-12"/>
        </w:rPr>
        <w:t> </w:t>
      </w:r>
      <w:r>
        <w:rPr/>
        <w:t>externos</w:t>
      </w:r>
      <w:r>
        <w:rPr>
          <w:spacing w:val="-12"/>
        </w:rPr>
        <w:t> </w:t>
      </w:r>
      <w:r>
        <w:rPr/>
        <w:t>no</w:t>
      </w:r>
      <w:r>
        <w:rPr>
          <w:spacing w:val="-12"/>
        </w:rPr>
        <w:t> </w:t>
      </w:r>
      <w:r>
        <w:rPr/>
        <w:t>arraigados</w:t>
      </w:r>
      <w:r>
        <w:rPr>
          <w:spacing w:val="-13"/>
        </w:rPr>
        <w:t> </w:t>
      </w:r>
      <w:r>
        <w:rPr/>
        <w:t>al</w:t>
      </w:r>
      <w:r>
        <w:rPr>
          <w:spacing w:val="-13"/>
        </w:rPr>
        <w:t> </w:t>
      </w:r>
      <w:r>
        <w:rPr/>
        <w:t>territorio</w:t>
      </w:r>
      <w:r>
        <w:rPr>
          <w:spacing w:val="-13"/>
        </w:rPr>
        <w:t> </w:t>
      </w:r>
      <w:r>
        <w:rPr/>
        <w:t>y</w:t>
      </w:r>
      <w:r>
        <w:rPr>
          <w:spacing w:val="-13"/>
        </w:rPr>
        <w:t> </w:t>
      </w:r>
      <w:r>
        <w:rPr/>
        <w:t>una</w:t>
      </w:r>
      <w:r>
        <w:rPr>
          <w:spacing w:val="-9"/>
        </w:rPr>
        <w:t> </w:t>
      </w:r>
      <w:r>
        <w:rPr/>
        <w:t>amenaza</w:t>
      </w:r>
      <w:r>
        <w:rPr>
          <w:spacing w:val="-12"/>
        </w:rPr>
        <w:t> </w:t>
      </w:r>
      <w:r>
        <w:rPr/>
        <w:t>ambiental por la imposición de un modelo de desarrollo no</w:t>
      </w:r>
      <w:r>
        <w:rPr>
          <w:spacing w:val="-17"/>
        </w:rPr>
        <w:t> </w:t>
      </w:r>
      <w:r>
        <w:rPr/>
        <w:t>sustentable.</w:t>
      </w:r>
    </w:p>
    <w:p>
      <w:pPr>
        <w:spacing w:line="480" w:lineRule="auto" w:before="125"/>
        <w:ind w:left="102" w:right="112" w:firstLine="707"/>
        <w:jc w:val="both"/>
        <w:rPr>
          <w:i/>
          <w:sz w:val="22"/>
        </w:rPr>
      </w:pPr>
      <w:r>
        <w:rPr>
          <w:sz w:val="22"/>
        </w:rPr>
        <w:t>Según Antonio Vázquez Barquero, se puede entender el </w:t>
      </w:r>
      <w:r>
        <w:rPr>
          <w:i/>
          <w:sz w:val="22"/>
        </w:rPr>
        <w:t>Desarrollo Endógeno </w:t>
      </w:r>
      <w:r>
        <w:rPr>
          <w:i/>
          <w:sz w:val="22"/>
        </w:rPr>
        <w:t>Territorial</w:t>
      </w:r>
      <w:r>
        <w:rPr>
          <w:i/>
          <w:spacing w:val="-6"/>
          <w:sz w:val="22"/>
        </w:rPr>
        <w:t> </w:t>
      </w:r>
      <w:r>
        <w:rPr>
          <w:sz w:val="22"/>
        </w:rPr>
        <w:t>como</w:t>
      </w:r>
      <w:r>
        <w:rPr>
          <w:spacing w:val="-6"/>
          <w:sz w:val="22"/>
        </w:rPr>
        <w:t> </w:t>
      </w:r>
      <w:r>
        <w:rPr>
          <w:sz w:val="22"/>
        </w:rPr>
        <w:t>…</w:t>
      </w:r>
      <w:r>
        <w:rPr>
          <w:i/>
          <w:sz w:val="22"/>
        </w:rPr>
        <w:t>un</w:t>
      </w:r>
      <w:r>
        <w:rPr>
          <w:i/>
          <w:spacing w:val="-7"/>
          <w:sz w:val="22"/>
        </w:rPr>
        <w:t> </w:t>
      </w:r>
      <w:r>
        <w:rPr>
          <w:i/>
          <w:sz w:val="22"/>
        </w:rPr>
        <w:t>proceso</w:t>
      </w:r>
      <w:r>
        <w:rPr>
          <w:i/>
          <w:spacing w:val="-7"/>
          <w:sz w:val="22"/>
        </w:rPr>
        <w:t> </w:t>
      </w:r>
      <w:r>
        <w:rPr>
          <w:i/>
          <w:sz w:val="22"/>
        </w:rPr>
        <w:t>de</w:t>
      </w:r>
      <w:r>
        <w:rPr>
          <w:i/>
          <w:spacing w:val="-7"/>
          <w:sz w:val="22"/>
        </w:rPr>
        <w:t> </w:t>
      </w:r>
      <w:r>
        <w:rPr>
          <w:i/>
          <w:sz w:val="22"/>
        </w:rPr>
        <w:t>crecimiento</w:t>
      </w:r>
      <w:r>
        <w:rPr>
          <w:i/>
          <w:spacing w:val="-6"/>
          <w:sz w:val="22"/>
        </w:rPr>
        <w:t> </w:t>
      </w:r>
      <w:r>
        <w:rPr>
          <w:i/>
          <w:sz w:val="22"/>
        </w:rPr>
        <w:t>económico</w:t>
      </w:r>
      <w:r>
        <w:rPr>
          <w:i/>
          <w:spacing w:val="-6"/>
          <w:sz w:val="22"/>
        </w:rPr>
        <w:t> </w:t>
      </w:r>
      <w:r>
        <w:rPr>
          <w:i/>
          <w:sz w:val="22"/>
        </w:rPr>
        <w:t>y</w:t>
      </w:r>
      <w:r>
        <w:rPr>
          <w:i/>
          <w:spacing w:val="-6"/>
          <w:sz w:val="22"/>
        </w:rPr>
        <w:t> </w:t>
      </w:r>
      <w:r>
        <w:rPr>
          <w:i/>
          <w:sz w:val="22"/>
        </w:rPr>
        <w:t>cambio</w:t>
      </w:r>
      <w:r>
        <w:rPr>
          <w:i/>
          <w:spacing w:val="-6"/>
          <w:sz w:val="22"/>
        </w:rPr>
        <w:t> </w:t>
      </w:r>
      <w:r>
        <w:rPr>
          <w:i/>
          <w:sz w:val="22"/>
        </w:rPr>
        <w:t>estructural,</w:t>
      </w:r>
      <w:r>
        <w:rPr>
          <w:i/>
          <w:spacing w:val="-5"/>
          <w:sz w:val="22"/>
        </w:rPr>
        <w:t> </w:t>
      </w:r>
      <w:r>
        <w:rPr>
          <w:i/>
          <w:sz w:val="22"/>
        </w:rPr>
        <w:t>liderado</w:t>
      </w:r>
      <w:r>
        <w:rPr>
          <w:i/>
          <w:spacing w:val="-6"/>
          <w:sz w:val="22"/>
        </w:rPr>
        <w:t> </w:t>
      </w:r>
      <w:r>
        <w:rPr>
          <w:i/>
          <w:sz w:val="22"/>
        </w:rPr>
        <w:t>por</w:t>
      </w:r>
    </w:p>
    <w:p>
      <w:pPr>
        <w:spacing w:after="0" w:line="480" w:lineRule="auto"/>
        <w:jc w:val="both"/>
        <w:rPr>
          <w:sz w:val="22"/>
        </w:rPr>
        <w:sectPr>
          <w:pgSz w:w="11910" w:h="16840"/>
          <w:pgMar w:header="0" w:footer="768" w:top="1580" w:bottom="960" w:left="1600" w:right="1300"/>
        </w:sectPr>
      </w:pPr>
    </w:p>
    <w:p>
      <w:pPr>
        <w:spacing w:line="480" w:lineRule="auto" w:before="103"/>
        <w:ind w:left="102" w:right="108" w:firstLine="0"/>
        <w:jc w:val="both"/>
        <w:rPr>
          <w:sz w:val="22"/>
        </w:rPr>
      </w:pPr>
      <w:r>
        <w:rPr>
          <w:i/>
          <w:sz w:val="22"/>
        </w:rPr>
        <w:t>la comunidad local utilizando el potencial de desarrollo, que conduce a la mejora del nivel </w:t>
      </w:r>
      <w:r>
        <w:rPr>
          <w:i/>
          <w:sz w:val="22"/>
        </w:rPr>
        <w:t>de vida de la población local </w:t>
      </w:r>
      <w:r>
        <w:rPr>
          <w:sz w:val="22"/>
        </w:rPr>
        <w:t>(Vázquez, 1999: 24). Se pretende con este enfoque que el territorio</w:t>
      </w:r>
      <w:r>
        <w:rPr>
          <w:spacing w:val="-8"/>
          <w:sz w:val="22"/>
        </w:rPr>
        <w:t> </w:t>
      </w:r>
      <w:r>
        <w:rPr>
          <w:sz w:val="22"/>
        </w:rPr>
        <w:t>se</w:t>
      </w:r>
      <w:r>
        <w:rPr>
          <w:spacing w:val="-8"/>
          <w:sz w:val="22"/>
        </w:rPr>
        <w:t> </w:t>
      </w:r>
      <w:r>
        <w:rPr>
          <w:sz w:val="22"/>
        </w:rPr>
        <w:t>convierta</w:t>
      </w:r>
      <w:r>
        <w:rPr>
          <w:spacing w:val="-8"/>
          <w:sz w:val="22"/>
        </w:rPr>
        <w:t> </w:t>
      </w:r>
      <w:r>
        <w:rPr>
          <w:sz w:val="22"/>
        </w:rPr>
        <w:t>en</w:t>
      </w:r>
      <w:r>
        <w:rPr>
          <w:spacing w:val="-10"/>
          <w:sz w:val="22"/>
        </w:rPr>
        <w:t> </w:t>
      </w:r>
      <w:r>
        <w:rPr>
          <w:sz w:val="22"/>
        </w:rPr>
        <w:t>actor</w:t>
      </w:r>
      <w:r>
        <w:rPr>
          <w:spacing w:val="-6"/>
          <w:sz w:val="22"/>
        </w:rPr>
        <w:t> </w:t>
      </w:r>
      <w:r>
        <w:rPr>
          <w:sz w:val="22"/>
        </w:rPr>
        <w:t>protagónico</w:t>
      </w:r>
      <w:r>
        <w:rPr>
          <w:spacing w:val="-8"/>
          <w:sz w:val="22"/>
        </w:rPr>
        <w:t> </w:t>
      </w:r>
      <w:r>
        <w:rPr>
          <w:sz w:val="22"/>
        </w:rPr>
        <w:t>de</w:t>
      </w:r>
      <w:r>
        <w:rPr>
          <w:spacing w:val="-8"/>
          <w:sz w:val="22"/>
        </w:rPr>
        <w:t> </w:t>
      </w:r>
      <w:r>
        <w:rPr>
          <w:sz w:val="22"/>
        </w:rPr>
        <w:t>los</w:t>
      </w:r>
      <w:r>
        <w:rPr>
          <w:spacing w:val="-10"/>
          <w:sz w:val="22"/>
        </w:rPr>
        <w:t> </w:t>
      </w:r>
      <w:r>
        <w:rPr>
          <w:sz w:val="22"/>
        </w:rPr>
        <w:t>diseños</w:t>
      </w:r>
      <w:r>
        <w:rPr>
          <w:spacing w:val="-5"/>
          <w:sz w:val="22"/>
        </w:rPr>
        <w:t> </w:t>
      </w:r>
      <w:r>
        <w:rPr>
          <w:sz w:val="22"/>
        </w:rPr>
        <w:t>de</w:t>
      </w:r>
      <w:r>
        <w:rPr>
          <w:spacing w:val="-8"/>
          <w:sz w:val="22"/>
        </w:rPr>
        <w:t> </w:t>
      </w:r>
      <w:r>
        <w:rPr>
          <w:sz w:val="22"/>
        </w:rPr>
        <w:t>política,</w:t>
      </w:r>
      <w:r>
        <w:rPr>
          <w:spacing w:val="-4"/>
          <w:sz w:val="22"/>
        </w:rPr>
        <w:t> </w:t>
      </w:r>
      <w:r>
        <w:rPr>
          <w:sz w:val="22"/>
        </w:rPr>
        <w:t>se</w:t>
      </w:r>
      <w:r>
        <w:rPr>
          <w:spacing w:val="-8"/>
          <w:sz w:val="22"/>
        </w:rPr>
        <w:t> </w:t>
      </w:r>
      <w:r>
        <w:rPr>
          <w:sz w:val="22"/>
        </w:rPr>
        <w:t>habla</w:t>
      </w:r>
      <w:r>
        <w:rPr>
          <w:spacing w:val="-5"/>
          <w:sz w:val="22"/>
        </w:rPr>
        <w:t> </w:t>
      </w:r>
      <w:r>
        <w:rPr>
          <w:sz w:val="22"/>
        </w:rPr>
        <w:t>entonces</w:t>
      </w:r>
      <w:r>
        <w:rPr>
          <w:spacing w:val="-1"/>
          <w:sz w:val="22"/>
        </w:rPr>
        <w:t> </w:t>
      </w:r>
      <w:r>
        <w:rPr>
          <w:sz w:val="22"/>
        </w:rPr>
        <w:t>de un desarrollo desde abajo, liderado por los actores de la localidad, pues es desde el territorio mismo donde se encuentran las claves para lograr el desarrollo</w:t>
      </w:r>
      <w:r>
        <w:rPr>
          <w:spacing w:val="-24"/>
          <w:sz w:val="22"/>
        </w:rPr>
        <w:t> </w:t>
      </w:r>
      <w:r>
        <w:rPr>
          <w:sz w:val="22"/>
        </w:rPr>
        <w:t>sustentable.</w:t>
      </w:r>
    </w:p>
    <w:p>
      <w:pPr>
        <w:pStyle w:val="BodyText"/>
        <w:spacing w:line="480" w:lineRule="auto" w:before="127"/>
        <w:ind w:left="102" w:right="108" w:firstLine="707"/>
        <w:jc w:val="both"/>
      </w:pPr>
      <w:r>
        <w:rPr/>
        <w:t>Éste, ha sido un enfoque que ha enriquecido las teorías económicas dentro de la Economía Regional abriéndose hacía una nueva perspectiva de análisis, sin embargo ha conservado la concepción neoclásica que identifica el desarrollo con el crecimiento. Permanece entre los representantes de este enfoque la idea de priorizar el crecimiento de la producción como factor decisivo para lograr otros objetivos dentro de la localidad. Por otra</w:t>
      </w:r>
      <w:r>
        <w:rPr>
          <w:spacing w:val="-16"/>
        </w:rPr>
        <w:t> </w:t>
      </w:r>
      <w:r>
        <w:rPr/>
        <w:t>parte,</w:t>
      </w:r>
      <w:r>
        <w:rPr>
          <w:spacing w:val="-15"/>
        </w:rPr>
        <w:t> </w:t>
      </w:r>
      <w:r>
        <w:rPr/>
        <w:t>cuando</w:t>
      </w:r>
      <w:r>
        <w:rPr>
          <w:spacing w:val="-16"/>
        </w:rPr>
        <w:t> </w:t>
      </w:r>
      <w:r>
        <w:rPr/>
        <w:t>se</w:t>
      </w:r>
      <w:r>
        <w:rPr>
          <w:spacing w:val="-13"/>
        </w:rPr>
        <w:t> </w:t>
      </w:r>
      <w:r>
        <w:rPr/>
        <w:t>habla</w:t>
      </w:r>
      <w:r>
        <w:rPr>
          <w:spacing w:val="-13"/>
        </w:rPr>
        <w:t> </w:t>
      </w:r>
      <w:r>
        <w:rPr/>
        <w:t>de</w:t>
      </w:r>
      <w:r>
        <w:rPr>
          <w:spacing w:val="-14"/>
        </w:rPr>
        <w:t> </w:t>
      </w:r>
      <w:r>
        <w:rPr/>
        <w:t>utilizar</w:t>
      </w:r>
      <w:r>
        <w:rPr>
          <w:spacing w:val="-13"/>
        </w:rPr>
        <w:t> </w:t>
      </w:r>
      <w:r>
        <w:rPr/>
        <w:t>la</w:t>
      </w:r>
      <w:r>
        <w:rPr>
          <w:spacing w:val="-13"/>
        </w:rPr>
        <w:t> </w:t>
      </w:r>
      <w:r>
        <w:rPr/>
        <w:t>capacidad</w:t>
      </w:r>
      <w:r>
        <w:rPr>
          <w:spacing w:val="-13"/>
        </w:rPr>
        <w:t> </w:t>
      </w:r>
      <w:r>
        <w:rPr/>
        <w:t>endógena</w:t>
      </w:r>
      <w:r>
        <w:rPr>
          <w:spacing w:val="-16"/>
        </w:rPr>
        <w:t> </w:t>
      </w:r>
      <w:r>
        <w:rPr/>
        <w:t>de</w:t>
      </w:r>
      <w:r>
        <w:rPr>
          <w:spacing w:val="-16"/>
        </w:rPr>
        <w:t> </w:t>
      </w:r>
      <w:r>
        <w:rPr/>
        <w:t>los</w:t>
      </w:r>
      <w:r>
        <w:rPr>
          <w:spacing w:val="-16"/>
        </w:rPr>
        <w:t> </w:t>
      </w:r>
      <w:r>
        <w:rPr/>
        <w:t>territorios,</w:t>
      </w:r>
      <w:r>
        <w:rPr>
          <w:spacing w:val="-15"/>
        </w:rPr>
        <w:t> </w:t>
      </w:r>
      <w:r>
        <w:rPr/>
        <w:t>no</w:t>
      </w:r>
      <w:r>
        <w:rPr>
          <w:spacing w:val="-16"/>
        </w:rPr>
        <w:t> </w:t>
      </w:r>
      <w:r>
        <w:rPr/>
        <w:t>se</w:t>
      </w:r>
      <w:r>
        <w:rPr>
          <w:spacing w:val="-16"/>
        </w:rPr>
        <w:t> </w:t>
      </w:r>
      <w:r>
        <w:rPr/>
        <w:t>puede pasar por alto el punto de partida. Resulta ilusorio pensar que el propio proceso de globalización de la economía pueda generar de forma espontánea un sistema tecnológico productivo organizado en todos los territorios que les permita insertarse competitivamente en el mercado</w:t>
      </w:r>
      <w:r>
        <w:rPr>
          <w:spacing w:val="-10"/>
        </w:rPr>
        <w:t> </w:t>
      </w:r>
      <w:r>
        <w:rPr/>
        <w:t>internacional.</w:t>
      </w:r>
    </w:p>
    <w:p>
      <w:pPr>
        <w:pStyle w:val="BodyText"/>
        <w:spacing w:line="480" w:lineRule="auto" w:before="127"/>
        <w:ind w:left="102" w:right="112" w:firstLine="707"/>
        <w:jc w:val="both"/>
      </w:pPr>
      <w:r>
        <w:rPr/>
        <w:t>De</w:t>
      </w:r>
      <w:r>
        <w:rPr>
          <w:spacing w:val="-13"/>
        </w:rPr>
        <w:t> </w:t>
      </w:r>
      <w:r>
        <w:rPr/>
        <w:t>cualquier</w:t>
      </w:r>
      <w:r>
        <w:rPr>
          <w:spacing w:val="-15"/>
        </w:rPr>
        <w:t> </w:t>
      </w:r>
      <w:r>
        <w:rPr/>
        <w:t>forma,</w:t>
      </w:r>
      <w:r>
        <w:rPr>
          <w:spacing w:val="-13"/>
        </w:rPr>
        <w:t> </w:t>
      </w:r>
      <w:r>
        <w:rPr/>
        <w:t>los</w:t>
      </w:r>
      <w:r>
        <w:rPr>
          <w:spacing w:val="-16"/>
        </w:rPr>
        <w:t> </w:t>
      </w:r>
      <w:r>
        <w:rPr/>
        <w:t>actores</w:t>
      </w:r>
      <w:r>
        <w:rPr>
          <w:spacing w:val="-13"/>
        </w:rPr>
        <w:t> </w:t>
      </w:r>
      <w:r>
        <w:rPr/>
        <w:t>locales</w:t>
      </w:r>
      <w:r>
        <w:rPr>
          <w:spacing w:val="-19"/>
        </w:rPr>
        <w:t> </w:t>
      </w:r>
      <w:r>
        <w:rPr/>
        <w:t>que</w:t>
      </w:r>
      <w:r>
        <w:rPr>
          <w:spacing w:val="-14"/>
        </w:rPr>
        <w:t> </w:t>
      </w:r>
      <w:r>
        <w:rPr/>
        <w:t>asumen</w:t>
      </w:r>
      <w:r>
        <w:rPr>
          <w:spacing w:val="-14"/>
        </w:rPr>
        <w:t> </w:t>
      </w:r>
      <w:r>
        <w:rPr/>
        <w:t>el</w:t>
      </w:r>
      <w:r>
        <w:rPr>
          <w:spacing w:val="-15"/>
        </w:rPr>
        <w:t> </w:t>
      </w:r>
      <w:r>
        <w:rPr/>
        <w:t>ordenamiento</w:t>
      </w:r>
      <w:r>
        <w:rPr>
          <w:spacing w:val="-16"/>
        </w:rPr>
        <w:t> </w:t>
      </w:r>
      <w:r>
        <w:rPr/>
        <w:t>territorial</w:t>
      </w:r>
      <w:r>
        <w:rPr>
          <w:spacing w:val="-14"/>
        </w:rPr>
        <w:t> </w:t>
      </w:r>
      <w:r>
        <w:rPr/>
        <w:t>como parte fundamental de la planificación, bajo este nuevo enfoque han ganado un mayor protagonismo en el funcionamiento del aparato</w:t>
      </w:r>
      <w:r>
        <w:rPr>
          <w:spacing w:val="-12"/>
        </w:rPr>
        <w:t> </w:t>
      </w:r>
      <w:r>
        <w:rPr/>
        <w:t>estatal.</w:t>
      </w:r>
    </w:p>
    <w:p>
      <w:pPr>
        <w:spacing w:line="480" w:lineRule="auto" w:before="125"/>
        <w:ind w:left="102" w:right="109" w:firstLine="707"/>
        <w:jc w:val="both"/>
        <w:rPr>
          <w:sz w:val="22"/>
        </w:rPr>
      </w:pPr>
      <w:r>
        <w:rPr>
          <w:sz w:val="22"/>
        </w:rPr>
        <w:t>En Cuba, el rol del municipio tiene amparo en la Constitución de la República, la cual define a los municipios como: </w:t>
      </w:r>
      <w:r>
        <w:rPr>
          <w:i/>
          <w:sz w:val="22"/>
        </w:rPr>
        <w:t>la sociedad local, con personalidad jurídica a todos los </w:t>
      </w:r>
      <w:r>
        <w:rPr>
          <w:i/>
          <w:sz w:val="22"/>
        </w:rPr>
        <w:t>efectos legales, organizada políticamente por la ley, en una extensión territorial determinada por necesarias relaciones económicas y sociales de su población, y con capacidad para satisfacer las necesidades mínimas locales </w:t>
      </w:r>
      <w:r>
        <w:rPr>
          <w:sz w:val="22"/>
        </w:rPr>
        <w:t>(Art. 102, Constitución de la República de Cuba).</w:t>
      </w:r>
    </w:p>
    <w:p>
      <w:pPr>
        <w:pStyle w:val="BodyText"/>
        <w:spacing w:line="480" w:lineRule="auto" w:before="125"/>
        <w:ind w:left="102" w:right="110" w:firstLine="707"/>
        <w:jc w:val="both"/>
      </w:pPr>
      <w:r>
        <w:rPr/>
        <w:t>En el contexto cubano, la Asamblea Municipal del Poder Popular como órgano de gobierno local, es donde se produce el intercambio más intenso con las direcciones de</w:t>
      </w:r>
    </w:p>
    <w:p>
      <w:pPr>
        <w:spacing w:after="0" w:line="480" w:lineRule="auto"/>
        <w:jc w:val="both"/>
        <w:sectPr>
          <w:pgSz w:w="11910" w:h="16840"/>
          <w:pgMar w:header="0" w:footer="768" w:top="1580" w:bottom="960" w:left="1600" w:right="1300"/>
        </w:sectPr>
      </w:pPr>
    </w:p>
    <w:p>
      <w:pPr>
        <w:pStyle w:val="BodyText"/>
        <w:spacing w:line="480" w:lineRule="auto" w:before="103"/>
        <w:ind w:left="102"/>
      </w:pPr>
      <w:r>
        <w:rPr/>
        <w:t>Planificación Física para la implementación de las políticas estatales y las actividades del Ordenamiento territorial.</w:t>
      </w:r>
    </w:p>
    <w:p>
      <w:pPr>
        <w:pStyle w:val="BodyText"/>
        <w:spacing w:line="480" w:lineRule="auto" w:before="125"/>
        <w:ind w:left="102" w:right="110" w:firstLine="707"/>
        <w:jc w:val="both"/>
      </w:pPr>
      <w:r>
        <w:rPr/>
        <w:t>El Instituto de Planificación Física, IPF, ha sido el organismo que se ha responsabilizado en Cuba de los estudios para la localización territorial de las principales inversiones y obras que se han estado emprendiendo en el país. Para ello se han realizando Planes Directores en las principales ciudades y pueblos, cuyos primeros resultados derivaron en la propuesta de la actual División Política-Administrativa, se han estado elaborando Esquemas Alternativos de Desarrollo y Planes Generales Territoriales de Ordenamiento y Urbanismo; todo lo cual ha contribuído al desarrollo más equitativo de los territorios cubanos.</w:t>
      </w:r>
    </w:p>
    <w:p>
      <w:pPr>
        <w:pStyle w:val="BodyText"/>
        <w:spacing w:line="480" w:lineRule="auto" w:before="127"/>
        <w:ind w:left="102" w:right="116" w:firstLine="707"/>
        <w:jc w:val="both"/>
      </w:pPr>
      <w:r>
        <w:rPr/>
        <w:t>El proceso de ordenamiento territorial, se ha ido consolidando en el tiempo, respondiendo a los intereses estatales y enriqueciéndose su sistema normativo con las siguiente legislación:</w:t>
      </w:r>
    </w:p>
    <w:p>
      <w:pPr>
        <w:pStyle w:val="ListParagraph"/>
        <w:numPr>
          <w:ilvl w:val="0"/>
          <w:numId w:val="1"/>
        </w:numPr>
        <w:tabs>
          <w:tab w:pos="1234" w:val="left" w:leader="none"/>
          <w:tab w:pos="1235" w:val="left" w:leader="none"/>
        </w:tabs>
        <w:spacing w:line="240" w:lineRule="auto" w:before="125" w:after="0"/>
        <w:ind w:left="810" w:right="0" w:firstLine="0"/>
        <w:jc w:val="left"/>
        <w:rPr>
          <w:sz w:val="22"/>
        </w:rPr>
      </w:pPr>
      <w:r>
        <w:rPr>
          <w:sz w:val="22"/>
        </w:rPr>
        <w:t>Constitución de la República de</w:t>
      </w:r>
      <w:r>
        <w:rPr>
          <w:spacing w:val="-12"/>
          <w:sz w:val="22"/>
        </w:rPr>
        <w:t> </w:t>
      </w:r>
      <w:r>
        <w:rPr>
          <w:sz w:val="22"/>
        </w:rPr>
        <w:t>Cuba</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Ley de División Político Administrativa</w:t>
      </w:r>
      <w:r>
        <w:rPr>
          <w:spacing w:val="-11"/>
          <w:sz w:val="22"/>
        </w:rPr>
        <w:t> </w:t>
      </w:r>
      <w:r>
        <w:rPr>
          <w:sz w:val="22"/>
        </w:rPr>
        <w:t>1976</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Ley de Minas año</w:t>
      </w:r>
      <w:r>
        <w:rPr>
          <w:spacing w:val="-3"/>
          <w:sz w:val="22"/>
        </w:rPr>
        <w:t> </w:t>
      </w:r>
      <w:r>
        <w:rPr>
          <w:sz w:val="22"/>
        </w:rPr>
        <w:t>1994</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Ley de Inversión Extranjera año</w:t>
      </w:r>
      <w:r>
        <w:rPr>
          <w:spacing w:val="-8"/>
          <w:sz w:val="22"/>
        </w:rPr>
        <w:t> </w:t>
      </w:r>
      <w:r>
        <w:rPr>
          <w:sz w:val="22"/>
        </w:rPr>
        <w:t>1995</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Ley del Medio Ambiente año</w:t>
      </w:r>
      <w:r>
        <w:rPr>
          <w:spacing w:val="-4"/>
          <w:sz w:val="22"/>
        </w:rPr>
        <w:t> </w:t>
      </w:r>
      <w:r>
        <w:rPr>
          <w:sz w:val="22"/>
        </w:rPr>
        <w:t>1997</w:t>
      </w:r>
    </w:p>
    <w:p>
      <w:pPr>
        <w:pStyle w:val="BodyText"/>
        <w:spacing w:before="3"/>
        <w:rPr>
          <w:sz w:val="32"/>
        </w:rPr>
      </w:pPr>
    </w:p>
    <w:p>
      <w:pPr>
        <w:pStyle w:val="ListParagraph"/>
        <w:numPr>
          <w:ilvl w:val="0"/>
          <w:numId w:val="1"/>
        </w:numPr>
        <w:tabs>
          <w:tab w:pos="1234" w:val="left" w:leader="none"/>
          <w:tab w:pos="1235" w:val="left" w:leader="none"/>
        </w:tabs>
        <w:spacing w:line="240" w:lineRule="auto" w:before="1" w:after="0"/>
        <w:ind w:left="1234" w:right="0" w:hanging="424"/>
        <w:jc w:val="left"/>
        <w:rPr>
          <w:sz w:val="22"/>
        </w:rPr>
      </w:pPr>
      <w:r>
        <w:rPr>
          <w:sz w:val="22"/>
        </w:rPr>
        <w:t>Ley Forestal año</w:t>
      </w:r>
      <w:r>
        <w:rPr>
          <w:spacing w:val="-2"/>
          <w:sz w:val="22"/>
        </w:rPr>
        <w:t> </w:t>
      </w:r>
      <w:r>
        <w:rPr>
          <w:sz w:val="22"/>
        </w:rPr>
        <w:t>1998</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Decreto ley de Áreas Protegidas año</w:t>
      </w:r>
      <w:r>
        <w:rPr>
          <w:spacing w:val="-10"/>
          <w:sz w:val="22"/>
        </w:rPr>
        <w:t> </w:t>
      </w:r>
      <w:r>
        <w:rPr>
          <w:sz w:val="22"/>
        </w:rPr>
        <w:t>1999</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Decreto ley de Costas año</w:t>
      </w:r>
      <w:r>
        <w:rPr>
          <w:spacing w:val="-7"/>
          <w:sz w:val="22"/>
        </w:rPr>
        <w:t> </w:t>
      </w:r>
      <w:r>
        <w:rPr>
          <w:sz w:val="22"/>
        </w:rPr>
        <w:t>2000</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Decreto ley de Contravenciones Ambientales año</w:t>
      </w:r>
      <w:r>
        <w:rPr>
          <w:spacing w:val="-9"/>
          <w:sz w:val="22"/>
        </w:rPr>
        <w:t> </w:t>
      </w:r>
      <w:r>
        <w:rPr>
          <w:sz w:val="22"/>
        </w:rPr>
        <w:t>1999</w:t>
      </w:r>
    </w:p>
    <w:p>
      <w:pPr>
        <w:pStyle w:val="BodyText"/>
        <w:spacing w:before="3"/>
        <w:rPr>
          <w:sz w:val="32"/>
        </w:rPr>
      </w:pPr>
    </w:p>
    <w:p>
      <w:pPr>
        <w:pStyle w:val="ListParagraph"/>
        <w:numPr>
          <w:ilvl w:val="0"/>
          <w:numId w:val="1"/>
        </w:numPr>
        <w:tabs>
          <w:tab w:pos="1234" w:val="left" w:leader="none"/>
          <w:tab w:pos="1235" w:val="left" w:leader="none"/>
        </w:tabs>
        <w:spacing w:line="463" w:lineRule="auto" w:before="0" w:after="0"/>
        <w:ind w:left="810" w:right="118" w:firstLine="0"/>
        <w:jc w:val="left"/>
        <w:rPr>
          <w:sz w:val="22"/>
        </w:rPr>
      </w:pPr>
      <w:r>
        <w:rPr>
          <w:sz w:val="22"/>
        </w:rPr>
        <w:t>Decreto de Contravenciones en Materia de Ordenamiento territorial y Urbanismo año</w:t>
      </w:r>
      <w:r>
        <w:rPr>
          <w:spacing w:val="-2"/>
          <w:sz w:val="22"/>
        </w:rPr>
        <w:t> </w:t>
      </w:r>
      <w:r>
        <w:rPr>
          <w:sz w:val="22"/>
        </w:rPr>
        <w:t>2001</w:t>
      </w:r>
    </w:p>
    <w:p>
      <w:pPr>
        <w:spacing w:after="0" w:line="463" w:lineRule="auto"/>
        <w:jc w:val="left"/>
        <w:rPr>
          <w:sz w:val="22"/>
        </w:rPr>
        <w:sectPr>
          <w:pgSz w:w="11910" w:h="16840"/>
          <w:pgMar w:header="0" w:footer="768" w:top="1580" w:bottom="960" w:left="1600" w:right="1300"/>
        </w:sectPr>
      </w:pPr>
    </w:p>
    <w:p>
      <w:pPr>
        <w:pStyle w:val="ListParagraph"/>
        <w:numPr>
          <w:ilvl w:val="0"/>
          <w:numId w:val="1"/>
        </w:numPr>
        <w:tabs>
          <w:tab w:pos="1234" w:val="left" w:leader="none"/>
          <w:tab w:pos="1235" w:val="left" w:leader="none"/>
        </w:tabs>
        <w:spacing w:line="240" w:lineRule="auto" w:before="103" w:after="0"/>
        <w:ind w:left="1234" w:right="0" w:hanging="424"/>
        <w:jc w:val="left"/>
        <w:rPr>
          <w:sz w:val="22"/>
        </w:rPr>
      </w:pPr>
      <w:r>
        <w:rPr>
          <w:sz w:val="22"/>
        </w:rPr>
        <w:t>Normas Técnicas Ambientales años</w:t>
      </w:r>
      <w:r>
        <w:rPr>
          <w:spacing w:val="-6"/>
          <w:sz w:val="22"/>
        </w:rPr>
        <w:t> </w:t>
      </w:r>
      <w:r>
        <w:rPr>
          <w:sz w:val="22"/>
        </w:rPr>
        <w:t>1997-2000</w:t>
      </w:r>
    </w:p>
    <w:p>
      <w:pPr>
        <w:pStyle w:val="BodyText"/>
        <w:spacing w:before="3"/>
        <w:rPr>
          <w:sz w:val="32"/>
        </w:rPr>
      </w:pPr>
    </w:p>
    <w:p>
      <w:pPr>
        <w:pStyle w:val="BodyText"/>
        <w:spacing w:line="480" w:lineRule="auto"/>
        <w:ind w:left="102" w:right="111" w:firstLine="707"/>
        <w:jc w:val="both"/>
      </w:pPr>
      <w:r>
        <w:rPr/>
        <w:t>De esta manera, el proceso de planificación se ha ido complejizando, teniendo en cuenta cada vez más, elementos indispensables para entender el desarrollo desde la sustentabilidad.</w:t>
      </w:r>
    </w:p>
    <w:p>
      <w:pPr>
        <w:pStyle w:val="BodyText"/>
        <w:spacing w:line="480" w:lineRule="auto" w:before="127"/>
        <w:ind w:left="102" w:right="113" w:firstLine="707"/>
        <w:jc w:val="both"/>
      </w:pPr>
      <w:r>
        <w:rPr/>
        <w:t>A pesar que en el orden teórico y normativo se valoriza el papel del ordenamiento territorial,</w:t>
      </w:r>
      <w:r>
        <w:rPr>
          <w:spacing w:val="-8"/>
        </w:rPr>
        <w:t> </w:t>
      </w:r>
      <w:r>
        <w:rPr/>
        <w:t>se</w:t>
      </w:r>
      <w:r>
        <w:rPr>
          <w:spacing w:val="-11"/>
        </w:rPr>
        <w:t> </w:t>
      </w:r>
      <w:r>
        <w:rPr/>
        <w:t>han</w:t>
      </w:r>
      <w:r>
        <w:rPr>
          <w:spacing w:val="-9"/>
        </w:rPr>
        <w:t> </w:t>
      </w:r>
      <w:r>
        <w:rPr/>
        <w:t>encontrado</w:t>
      </w:r>
      <w:r>
        <w:rPr>
          <w:spacing w:val="-9"/>
        </w:rPr>
        <w:t> </w:t>
      </w:r>
      <w:r>
        <w:rPr/>
        <w:t>dificultades</w:t>
      </w:r>
      <w:r>
        <w:rPr>
          <w:spacing w:val="-9"/>
        </w:rPr>
        <w:t> </w:t>
      </w:r>
      <w:r>
        <w:rPr/>
        <w:t>al</w:t>
      </w:r>
      <w:r>
        <w:rPr>
          <w:spacing w:val="-12"/>
        </w:rPr>
        <w:t> </w:t>
      </w:r>
      <w:r>
        <w:rPr/>
        <w:t>momento</w:t>
      </w:r>
      <w:r>
        <w:rPr>
          <w:spacing w:val="-8"/>
        </w:rPr>
        <w:t> </w:t>
      </w:r>
      <w:r>
        <w:rPr/>
        <w:t>de</w:t>
      </w:r>
      <w:r>
        <w:rPr>
          <w:spacing w:val="-9"/>
        </w:rPr>
        <w:t> </w:t>
      </w:r>
      <w:r>
        <w:rPr/>
        <w:t>su</w:t>
      </w:r>
      <w:r>
        <w:rPr>
          <w:spacing w:val="-11"/>
        </w:rPr>
        <w:t> </w:t>
      </w:r>
      <w:r>
        <w:rPr/>
        <w:t>implementación.</w:t>
      </w:r>
      <w:r>
        <w:rPr>
          <w:spacing w:val="-8"/>
        </w:rPr>
        <w:t> </w:t>
      </w:r>
      <w:r>
        <w:rPr/>
        <w:t>En</w:t>
      </w:r>
      <w:r>
        <w:rPr>
          <w:spacing w:val="-9"/>
        </w:rPr>
        <w:t> </w:t>
      </w:r>
      <w:r>
        <w:rPr/>
        <w:t>un</w:t>
      </w:r>
      <w:r>
        <w:rPr>
          <w:spacing w:val="-9"/>
        </w:rPr>
        <w:t> </w:t>
      </w:r>
      <w:r>
        <w:rPr/>
        <w:t>informe del Instituto de Planificación Física del año 1991, que mantiene su vigencia, se</w:t>
      </w:r>
      <w:r>
        <w:rPr>
          <w:spacing w:val="-21"/>
        </w:rPr>
        <w:t> </w:t>
      </w:r>
      <w:r>
        <w:rPr/>
        <w:t>expresa:</w:t>
      </w:r>
    </w:p>
    <w:p>
      <w:pPr>
        <w:pStyle w:val="BodyText"/>
        <w:spacing w:line="480" w:lineRule="auto" w:before="127"/>
        <w:ind w:left="102" w:right="113" w:firstLine="707"/>
        <w:jc w:val="both"/>
      </w:pPr>
      <w:r>
        <w:rPr/>
        <w:t>“La práctica cotidiana de la planificación, así como los resultados del problema de ciencias sociales, han evidenciado durante estos últimos años las dificultades existentes en</w:t>
      </w:r>
      <w:r>
        <w:rPr>
          <w:spacing w:val="-4"/>
        </w:rPr>
        <w:t> </w:t>
      </w:r>
      <w:r>
        <w:rPr/>
        <w:t>alcanzar</w:t>
      </w:r>
      <w:r>
        <w:rPr>
          <w:spacing w:val="-3"/>
        </w:rPr>
        <w:t> </w:t>
      </w:r>
      <w:r>
        <w:rPr/>
        <w:t>la</w:t>
      </w:r>
      <w:r>
        <w:rPr>
          <w:spacing w:val="-4"/>
        </w:rPr>
        <w:t> </w:t>
      </w:r>
      <w:r>
        <w:rPr/>
        <w:t>indispensable</w:t>
      </w:r>
      <w:r>
        <w:rPr>
          <w:spacing w:val="-4"/>
        </w:rPr>
        <w:t> </w:t>
      </w:r>
      <w:r>
        <w:rPr/>
        <w:t>articulación</w:t>
      </w:r>
      <w:r>
        <w:rPr>
          <w:spacing w:val="-4"/>
        </w:rPr>
        <w:t> </w:t>
      </w:r>
      <w:r>
        <w:rPr/>
        <w:t>entre</w:t>
      </w:r>
      <w:r>
        <w:rPr>
          <w:spacing w:val="-6"/>
        </w:rPr>
        <w:t> </w:t>
      </w:r>
      <w:r>
        <w:rPr/>
        <w:t>los</w:t>
      </w:r>
      <w:r>
        <w:rPr>
          <w:spacing w:val="-4"/>
        </w:rPr>
        <w:t> </w:t>
      </w:r>
      <w:r>
        <w:rPr/>
        <w:t>resultados</w:t>
      </w:r>
      <w:r>
        <w:rPr>
          <w:spacing w:val="-6"/>
        </w:rPr>
        <w:t> </w:t>
      </w:r>
      <w:r>
        <w:rPr/>
        <w:t>teóricos</w:t>
      </w:r>
      <w:r>
        <w:rPr>
          <w:spacing w:val="-6"/>
        </w:rPr>
        <w:t> </w:t>
      </w:r>
      <w:r>
        <w:rPr/>
        <w:t>y</w:t>
      </w:r>
      <w:r>
        <w:rPr>
          <w:spacing w:val="-6"/>
        </w:rPr>
        <w:t> </w:t>
      </w:r>
      <w:r>
        <w:rPr/>
        <w:t>científicos</w:t>
      </w:r>
      <w:r>
        <w:rPr>
          <w:spacing w:val="-4"/>
        </w:rPr>
        <w:t> </w:t>
      </w:r>
      <w:r>
        <w:rPr/>
        <w:t>sobre</w:t>
      </w:r>
      <w:r>
        <w:rPr>
          <w:spacing w:val="-6"/>
        </w:rPr>
        <w:t> </w:t>
      </w:r>
      <w:r>
        <w:rPr/>
        <w:t>el Ordenamiento territorial y su introducción en la práctica por parte de las instancias responsabilizadas en tomar decisiones”. (IPF, 1991:</w:t>
      </w:r>
      <w:r>
        <w:rPr>
          <w:spacing w:val="-16"/>
        </w:rPr>
        <w:t> </w:t>
      </w:r>
      <w:r>
        <w:rPr/>
        <w:t>113).</w:t>
      </w:r>
    </w:p>
    <w:p>
      <w:pPr>
        <w:pStyle w:val="BodyText"/>
        <w:spacing w:line="480" w:lineRule="auto" w:before="127"/>
        <w:ind w:left="102" w:right="110" w:firstLine="707"/>
        <w:jc w:val="both"/>
      </w:pPr>
      <w:r>
        <w:rPr/>
        <w:t>Como propuesta para solucionar la dicotomía </w:t>
      </w:r>
      <w:r>
        <w:rPr>
          <w:i/>
        </w:rPr>
        <w:t>teoría-práctica</w:t>
      </w:r>
      <w:r>
        <w:rPr/>
        <w:t>, estos autores señalaron conveniente concentrar los esfuerzos en cuatro dimensiones fundamentales: el reforzamiento del Plan Director Municipal como instrumento para vincular localmente el planeamiento físico, el económico y el proceso de inversión; la revisión, compatibilización o creación de los instrumentos periódicos de forma tal que permitiesen a las instancias municipales aplicar y controlar las decisiones urbanísticas; el reforzamiento de las estructuras municipales a través de la descentralización de competencias, recursos y cuadros;</w:t>
      </w:r>
      <w:r>
        <w:rPr>
          <w:spacing w:val="-7"/>
        </w:rPr>
        <w:t> </w:t>
      </w:r>
      <w:r>
        <w:rPr/>
        <w:t>así</w:t>
      </w:r>
      <w:r>
        <w:rPr>
          <w:spacing w:val="-10"/>
        </w:rPr>
        <w:t> </w:t>
      </w:r>
      <w:r>
        <w:rPr/>
        <w:t>como</w:t>
      </w:r>
      <w:r>
        <w:rPr>
          <w:spacing w:val="-8"/>
        </w:rPr>
        <w:t> </w:t>
      </w:r>
      <w:r>
        <w:rPr/>
        <w:t>la</w:t>
      </w:r>
      <w:r>
        <w:rPr>
          <w:spacing w:val="-6"/>
        </w:rPr>
        <w:t> </w:t>
      </w:r>
      <w:r>
        <w:rPr/>
        <w:t>organización</w:t>
      </w:r>
      <w:r>
        <w:rPr>
          <w:spacing w:val="-7"/>
        </w:rPr>
        <w:t> </w:t>
      </w:r>
      <w:r>
        <w:rPr/>
        <w:t>de</w:t>
      </w:r>
      <w:r>
        <w:rPr>
          <w:spacing w:val="-7"/>
        </w:rPr>
        <w:t> </w:t>
      </w:r>
      <w:r>
        <w:rPr/>
        <w:t>mecanismos</w:t>
      </w:r>
      <w:r>
        <w:rPr>
          <w:spacing w:val="-6"/>
        </w:rPr>
        <w:t> </w:t>
      </w:r>
      <w:r>
        <w:rPr/>
        <w:t>de</w:t>
      </w:r>
      <w:r>
        <w:rPr>
          <w:spacing w:val="-9"/>
        </w:rPr>
        <w:t> </w:t>
      </w:r>
      <w:r>
        <w:rPr/>
        <w:t>participación</w:t>
      </w:r>
      <w:r>
        <w:rPr>
          <w:spacing w:val="-7"/>
        </w:rPr>
        <w:t> </w:t>
      </w:r>
      <w:r>
        <w:rPr/>
        <w:t>colectiva</w:t>
      </w:r>
      <w:r>
        <w:rPr>
          <w:spacing w:val="-6"/>
        </w:rPr>
        <w:t> </w:t>
      </w:r>
      <w:r>
        <w:rPr/>
        <w:t>en</w:t>
      </w:r>
      <w:r>
        <w:rPr>
          <w:spacing w:val="-7"/>
        </w:rPr>
        <w:t> </w:t>
      </w:r>
      <w:r>
        <w:rPr/>
        <w:t>la</w:t>
      </w:r>
      <w:r>
        <w:rPr>
          <w:spacing w:val="-6"/>
        </w:rPr>
        <w:t> </w:t>
      </w:r>
      <w:r>
        <w:rPr/>
        <w:t>toma</w:t>
      </w:r>
      <w:r>
        <w:rPr>
          <w:spacing w:val="-9"/>
        </w:rPr>
        <w:t> </w:t>
      </w:r>
      <w:r>
        <w:rPr/>
        <w:t>de decisiones urbanísticas y de control social de las mismas. (IPF, 1991:</w:t>
      </w:r>
      <w:r>
        <w:rPr>
          <w:spacing w:val="-21"/>
        </w:rPr>
        <w:t> </w:t>
      </w:r>
      <w:r>
        <w:rPr/>
        <w:t>113-117).</w:t>
      </w:r>
    </w:p>
    <w:p>
      <w:pPr>
        <w:pStyle w:val="BodyText"/>
        <w:spacing w:line="480" w:lineRule="auto" w:before="127"/>
        <w:ind w:left="102" w:right="114" w:firstLine="707"/>
        <w:jc w:val="both"/>
      </w:pPr>
      <w:r>
        <w:rPr/>
        <w:t>Podemos</w:t>
      </w:r>
      <w:r>
        <w:rPr>
          <w:spacing w:val="-8"/>
        </w:rPr>
        <w:t> </w:t>
      </w:r>
      <w:r>
        <w:rPr/>
        <w:t>ver</w:t>
      </w:r>
      <w:r>
        <w:rPr>
          <w:spacing w:val="-9"/>
        </w:rPr>
        <w:t> </w:t>
      </w:r>
      <w:r>
        <w:rPr/>
        <w:t>como</w:t>
      </w:r>
      <w:r>
        <w:rPr>
          <w:spacing w:val="-10"/>
        </w:rPr>
        <w:t> </w:t>
      </w:r>
      <w:r>
        <w:rPr/>
        <w:t>para</w:t>
      </w:r>
      <w:r>
        <w:rPr>
          <w:spacing w:val="-13"/>
        </w:rPr>
        <w:t> </w:t>
      </w:r>
      <w:r>
        <w:rPr/>
        <w:t>resolver</w:t>
      </w:r>
      <w:r>
        <w:rPr>
          <w:spacing w:val="-6"/>
        </w:rPr>
        <w:t> </w:t>
      </w:r>
      <w:r>
        <w:rPr/>
        <w:t>esta</w:t>
      </w:r>
      <w:r>
        <w:rPr>
          <w:spacing w:val="-10"/>
        </w:rPr>
        <w:t> </w:t>
      </w:r>
      <w:r>
        <w:rPr/>
        <w:t>problemática,</w:t>
      </w:r>
      <w:r>
        <w:rPr>
          <w:spacing w:val="-8"/>
        </w:rPr>
        <w:t> </w:t>
      </w:r>
      <w:r>
        <w:rPr/>
        <w:t>se</w:t>
      </w:r>
      <w:r>
        <w:rPr>
          <w:spacing w:val="-10"/>
        </w:rPr>
        <w:t> </w:t>
      </w:r>
      <w:r>
        <w:rPr/>
        <w:t>hace</w:t>
      </w:r>
      <w:r>
        <w:rPr>
          <w:spacing w:val="-10"/>
        </w:rPr>
        <w:t> </w:t>
      </w:r>
      <w:r>
        <w:rPr/>
        <w:t>fundamental</w:t>
      </w:r>
      <w:r>
        <w:rPr>
          <w:spacing w:val="-11"/>
        </w:rPr>
        <w:t> </w:t>
      </w:r>
      <w:r>
        <w:rPr/>
        <w:t>revisar</w:t>
      </w:r>
      <w:r>
        <w:rPr>
          <w:spacing w:val="-8"/>
        </w:rPr>
        <w:t> </w:t>
      </w:r>
      <w:r>
        <w:rPr/>
        <w:t>la relación del ordenamiento territorial con los gobiernos locales, actores dinámicos de las políticas estatales. La evolución en ese sentido, valorizando el papel del municipio se expresó en el Reglamento de la Asamblea Municipal del Poder Popular de 1997, promulgado con carácter de Acuerdo del Consejo de</w:t>
      </w:r>
      <w:r>
        <w:rPr>
          <w:spacing w:val="-13"/>
        </w:rPr>
        <w:t> </w:t>
      </w:r>
      <w:r>
        <w:rPr/>
        <w:t>Estado.</w:t>
      </w:r>
    </w:p>
    <w:p>
      <w:pPr>
        <w:spacing w:after="0" w:line="480" w:lineRule="auto"/>
        <w:jc w:val="both"/>
        <w:sectPr>
          <w:pgSz w:w="11910" w:h="16840"/>
          <w:pgMar w:header="0" w:footer="768" w:top="1580" w:bottom="960" w:left="1600" w:right="1300"/>
        </w:sectPr>
      </w:pPr>
    </w:p>
    <w:p>
      <w:pPr>
        <w:pStyle w:val="BodyText"/>
        <w:spacing w:line="480" w:lineRule="auto" w:before="103"/>
        <w:ind w:left="102" w:right="107" w:firstLine="707"/>
        <w:jc w:val="both"/>
      </w:pPr>
      <w:r>
        <w:rPr/>
        <w:t>En algunos casos, y a modo de planes especiales de desarrollo de localidades, se ha logrado la aplicación de políticas de descentralización para el desarrollo local, que ha logrado la armonización entre la aplicación de políticas desarrolladas por las asambleas municipales</w:t>
      </w:r>
      <w:r>
        <w:rPr>
          <w:spacing w:val="-3"/>
        </w:rPr>
        <w:t> </w:t>
      </w:r>
      <w:r>
        <w:rPr/>
        <w:t>y</w:t>
      </w:r>
      <w:r>
        <w:rPr>
          <w:spacing w:val="-5"/>
        </w:rPr>
        <w:t> </w:t>
      </w:r>
      <w:r>
        <w:rPr/>
        <w:t>el</w:t>
      </w:r>
      <w:r>
        <w:rPr>
          <w:spacing w:val="-6"/>
        </w:rPr>
        <w:t> </w:t>
      </w:r>
      <w:r>
        <w:rPr/>
        <w:t>ordenamiento</w:t>
      </w:r>
      <w:r>
        <w:rPr>
          <w:spacing w:val="-5"/>
        </w:rPr>
        <w:t> </w:t>
      </w:r>
      <w:r>
        <w:rPr/>
        <w:t>territorial.</w:t>
      </w:r>
      <w:r>
        <w:rPr>
          <w:spacing w:val="-4"/>
        </w:rPr>
        <w:t> </w:t>
      </w:r>
      <w:r>
        <w:rPr/>
        <w:t>Como</w:t>
      </w:r>
      <w:r>
        <w:rPr>
          <w:spacing w:val="-7"/>
        </w:rPr>
        <w:t> </w:t>
      </w:r>
      <w:r>
        <w:rPr/>
        <w:t>ejemplo,</w:t>
      </w:r>
      <w:r>
        <w:rPr>
          <w:spacing w:val="-7"/>
        </w:rPr>
        <w:t> </w:t>
      </w:r>
      <w:r>
        <w:rPr/>
        <w:t>tenemos</w:t>
      </w:r>
      <w:r>
        <w:rPr>
          <w:spacing w:val="-8"/>
        </w:rPr>
        <w:t> </w:t>
      </w:r>
      <w:r>
        <w:rPr/>
        <w:t>que</w:t>
      </w:r>
      <w:r>
        <w:rPr>
          <w:spacing w:val="-6"/>
        </w:rPr>
        <w:t> </w:t>
      </w:r>
      <w:r>
        <w:rPr/>
        <w:t>a</w:t>
      </w:r>
      <w:r>
        <w:rPr>
          <w:spacing w:val="-8"/>
        </w:rPr>
        <w:t> </w:t>
      </w:r>
      <w:r>
        <w:rPr/>
        <w:t>partir</w:t>
      </w:r>
      <w:r>
        <w:rPr>
          <w:spacing w:val="-4"/>
        </w:rPr>
        <w:t> </w:t>
      </w:r>
      <w:r>
        <w:rPr/>
        <w:t>del</w:t>
      </w:r>
      <w:r>
        <w:rPr>
          <w:spacing w:val="-6"/>
        </w:rPr>
        <w:t> </w:t>
      </w:r>
      <w:r>
        <w:rPr/>
        <w:t>Decreto- Ley 143 del año 1993, el plan de restauración del centro histórico del municipio Habana Vieja, realizado por la Oficina del Historiador, como ente con personalidad jurídica, pasó hacia una autogestión del financiamiento. Si bien la Oficina del Historiador, es quien implementó esta descentralización, es indudable que el gobierno municipal de la Habana Vieja, se beneficia de esta gestión por la interrelación de recursos e instrumentos, que supuso la aplicación del </w:t>
      </w:r>
      <w:r>
        <w:rPr>
          <w:i/>
        </w:rPr>
        <w:t>Plan Maestro </w:t>
      </w:r>
      <w:r>
        <w:rPr/>
        <w:t>de la Habana Vieja. Este es uno de los aspectos principales que confirió un carácter novedoso al modelo de gestión del centro histórico habanero.</w:t>
      </w:r>
    </w:p>
    <w:p>
      <w:pPr>
        <w:pStyle w:val="BodyText"/>
        <w:spacing w:line="480" w:lineRule="auto" w:before="127"/>
        <w:ind w:left="102" w:right="109" w:firstLine="707"/>
        <w:jc w:val="both"/>
      </w:pPr>
      <w:r>
        <w:rPr/>
        <w:t>Analizando</w:t>
      </w:r>
      <w:r>
        <w:rPr>
          <w:spacing w:val="-4"/>
        </w:rPr>
        <w:t> </w:t>
      </w:r>
      <w:r>
        <w:rPr/>
        <w:t>este</w:t>
      </w:r>
      <w:r>
        <w:rPr>
          <w:spacing w:val="-3"/>
        </w:rPr>
        <w:t> </w:t>
      </w:r>
      <w:r>
        <w:rPr/>
        <w:t>ejemplo,</w:t>
      </w:r>
      <w:r>
        <w:rPr>
          <w:spacing w:val="-5"/>
        </w:rPr>
        <w:t> </w:t>
      </w:r>
      <w:r>
        <w:rPr/>
        <w:t>se</w:t>
      </w:r>
      <w:r>
        <w:rPr>
          <w:spacing w:val="-6"/>
        </w:rPr>
        <w:t> </w:t>
      </w:r>
      <w:r>
        <w:rPr/>
        <w:t>constata</w:t>
      </w:r>
      <w:r>
        <w:rPr>
          <w:spacing w:val="-6"/>
        </w:rPr>
        <w:t> </w:t>
      </w:r>
      <w:r>
        <w:rPr/>
        <w:t>como</w:t>
      </w:r>
      <w:r>
        <w:rPr>
          <w:spacing w:val="-6"/>
        </w:rPr>
        <w:t> </w:t>
      </w:r>
      <w:r>
        <w:rPr/>
        <w:t>la</w:t>
      </w:r>
      <w:r>
        <w:rPr>
          <w:spacing w:val="-6"/>
        </w:rPr>
        <w:t> </w:t>
      </w:r>
      <w:r>
        <w:rPr/>
        <w:t>capacidad</w:t>
      </w:r>
      <w:r>
        <w:rPr>
          <w:spacing w:val="-4"/>
        </w:rPr>
        <w:t> </w:t>
      </w:r>
      <w:r>
        <w:rPr/>
        <w:t>económica</w:t>
      </w:r>
      <w:r>
        <w:rPr>
          <w:spacing w:val="-6"/>
        </w:rPr>
        <w:t> </w:t>
      </w:r>
      <w:r>
        <w:rPr/>
        <w:t>derivada</w:t>
      </w:r>
      <w:r>
        <w:rPr>
          <w:spacing w:val="-4"/>
        </w:rPr>
        <w:t> </w:t>
      </w:r>
      <w:r>
        <w:rPr/>
        <w:t>de</w:t>
      </w:r>
      <w:r>
        <w:rPr>
          <w:spacing w:val="-4"/>
        </w:rPr>
        <w:t> </w:t>
      </w:r>
      <w:r>
        <w:rPr/>
        <w:t>la personalidad jurídico-administrativa, es vital para que las instituciones municipales sean expresión del poder estatal. Contar con los medios necesarios para transformar las necesidades en decisiones, constituye expresión del poder y autoridad municipal</w:t>
      </w:r>
      <w:r>
        <w:rPr>
          <w:color w:val="339966"/>
        </w:rPr>
        <w:t>. </w:t>
      </w:r>
      <w:r>
        <w:rPr/>
        <w:t>De esta manera se da cumplimiento a la normativa constitucional respecto al municipio como ente con personalidad y capacidad para satisfacer las demandas</w:t>
      </w:r>
      <w:r>
        <w:rPr>
          <w:spacing w:val="-13"/>
        </w:rPr>
        <w:t> </w:t>
      </w:r>
      <w:r>
        <w:rPr/>
        <w:t>locales.</w:t>
      </w:r>
    </w:p>
    <w:p>
      <w:pPr>
        <w:pStyle w:val="BodyText"/>
        <w:spacing w:line="480" w:lineRule="auto" w:before="125"/>
        <w:ind w:left="102" w:right="110" w:firstLine="707"/>
        <w:jc w:val="both"/>
      </w:pPr>
      <w:r>
        <w:rPr/>
        <w:t>La descentralización representa entonces un imperativo en las políticas de Desarrollo Endógeno Territorial, aunque se deben establecer los límites de esta descentralización.</w:t>
      </w:r>
      <w:r>
        <w:rPr>
          <w:spacing w:val="-6"/>
        </w:rPr>
        <w:t> </w:t>
      </w:r>
      <w:r>
        <w:rPr/>
        <w:t>“Si</w:t>
      </w:r>
      <w:r>
        <w:rPr>
          <w:spacing w:val="-6"/>
        </w:rPr>
        <w:t> </w:t>
      </w:r>
      <w:r>
        <w:rPr/>
        <w:t>bien</w:t>
      </w:r>
      <w:r>
        <w:rPr>
          <w:spacing w:val="-5"/>
        </w:rPr>
        <w:t> </w:t>
      </w:r>
      <w:r>
        <w:rPr/>
        <w:t>la</w:t>
      </w:r>
      <w:r>
        <w:rPr>
          <w:spacing w:val="-5"/>
        </w:rPr>
        <w:t> </w:t>
      </w:r>
      <w:r>
        <w:rPr/>
        <w:t>descentralización</w:t>
      </w:r>
      <w:r>
        <w:rPr>
          <w:spacing w:val="-5"/>
        </w:rPr>
        <w:t> </w:t>
      </w:r>
      <w:r>
        <w:rPr/>
        <w:t>permite</w:t>
      </w:r>
      <w:r>
        <w:rPr>
          <w:spacing w:val="-7"/>
        </w:rPr>
        <w:t> </w:t>
      </w:r>
      <w:r>
        <w:rPr/>
        <w:t>un</w:t>
      </w:r>
      <w:r>
        <w:rPr>
          <w:spacing w:val="-8"/>
        </w:rPr>
        <w:t> </w:t>
      </w:r>
      <w:r>
        <w:rPr/>
        <w:t>acercamiento</w:t>
      </w:r>
      <w:r>
        <w:rPr>
          <w:spacing w:val="-7"/>
        </w:rPr>
        <w:t> </w:t>
      </w:r>
      <w:r>
        <w:rPr/>
        <w:t>rápido</w:t>
      </w:r>
      <w:r>
        <w:rPr>
          <w:spacing w:val="-5"/>
        </w:rPr>
        <w:t> </w:t>
      </w:r>
      <w:r>
        <w:rPr/>
        <w:t>y</w:t>
      </w:r>
      <w:r>
        <w:rPr>
          <w:spacing w:val="-7"/>
        </w:rPr>
        <w:t> </w:t>
      </w:r>
      <w:r>
        <w:rPr/>
        <w:t>oportuno a la toma de decisiones, al tiempo que descongestiona un grupo de funciones en el nivel central, también da pie a un desarrollo territorial desproporcionado, imposibilita el verdadero</w:t>
      </w:r>
      <w:r>
        <w:rPr>
          <w:spacing w:val="-13"/>
        </w:rPr>
        <w:t> </w:t>
      </w:r>
      <w:r>
        <w:rPr/>
        <w:t>papel</w:t>
      </w:r>
      <w:r>
        <w:rPr>
          <w:spacing w:val="-17"/>
        </w:rPr>
        <w:t> </w:t>
      </w:r>
      <w:r>
        <w:rPr/>
        <w:t>del</w:t>
      </w:r>
      <w:r>
        <w:rPr>
          <w:spacing w:val="-14"/>
        </w:rPr>
        <w:t> </w:t>
      </w:r>
      <w:r>
        <w:rPr/>
        <w:t>Estado</w:t>
      </w:r>
      <w:r>
        <w:rPr>
          <w:spacing w:val="-14"/>
        </w:rPr>
        <w:t> </w:t>
      </w:r>
      <w:r>
        <w:rPr/>
        <w:t>en</w:t>
      </w:r>
      <w:r>
        <w:rPr>
          <w:spacing w:val="-16"/>
        </w:rPr>
        <w:t> </w:t>
      </w:r>
      <w:r>
        <w:rPr/>
        <w:t>la</w:t>
      </w:r>
      <w:r>
        <w:rPr>
          <w:spacing w:val="-13"/>
        </w:rPr>
        <w:t> </w:t>
      </w:r>
      <w:r>
        <w:rPr/>
        <w:t>sociedad</w:t>
      </w:r>
      <w:r>
        <w:rPr>
          <w:spacing w:val="-14"/>
        </w:rPr>
        <w:t> </w:t>
      </w:r>
      <w:r>
        <w:rPr/>
        <w:t>y</w:t>
      </w:r>
      <w:r>
        <w:rPr>
          <w:spacing w:val="-14"/>
        </w:rPr>
        <w:t> </w:t>
      </w:r>
      <w:r>
        <w:rPr/>
        <w:t>sienta</w:t>
      </w:r>
      <w:r>
        <w:rPr>
          <w:spacing w:val="-13"/>
        </w:rPr>
        <w:t> </w:t>
      </w:r>
      <w:r>
        <w:rPr/>
        <w:t>las</w:t>
      </w:r>
      <w:r>
        <w:rPr>
          <w:spacing w:val="-13"/>
        </w:rPr>
        <w:t> </w:t>
      </w:r>
      <w:r>
        <w:rPr/>
        <w:t>bases</w:t>
      </w:r>
      <w:r>
        <w:rPr>
          <w:spacing w:val="-16"/>
        </w:rPr>
        <w:t> </w:t>
      </w:r>
      <w:r>
        <w:rPr/>
        <w:t>para</w:t>
      </w:r>
      <w:r>
        <w:rPr>
          <w:spacing w:val="-16"/>
        </w:rPr>
        <w:t> </w:t>
      </w:r>
      <w:r>
        <w:rPr/>
        <w:t>la</w:t>
      </w:r>
      <w:r>
        <w:rPr>
          <w:spacing w:val="-16"/>
        </w:rPr>
        <w:t> </w:t>
      </w:r>
      <w:r>
        <w:rPr/>
        <w:t>conformación</w:t>
      </w:r>
      <w:r>
        <w:rPr>
          <w:spacing w:val="-14"/>
        </w:rPr>
        <w:t> </w:t>
      </w:r>
      <w:r>
        <w:rPr/>
        <w:t>de</w:t>
      </w:r>
      <w:r>
        <w:rPr>
          <w:spacing w:val="-16"/>
        </w:rPr>
        <w:t> </w:t>
      </w:r>
      <w:r>
        <w:rPr/>
        <w:t>élites locales con intereses particulares, que pueden atentar contra el bienestar de la sociedad”. (Méndez, 2000:</w:t>
      </w:r>
      <w:r>
        <w:rPr>
          <w:spacing w:val="-5"/>
        </w:rPr>
        <w:t> </w:t>
      </w:r>
      <w:r>
        <w:rPr/>
        <w:t>242).</w:t>
      </w:r>
    </w:p>
    <w:p>
      <w:pPr>
        <w:spacing w:after="0" w:line="480" w:lineRule="auto"/>
        <w:jc w:val="both"/>
        <w:sectPr>
          <w:pgSz w:w="11910" w:h="16840"/>
          <w:pgMar w:header="0" w:footer="768" w:top="1580" w:bottom="960" w:left="1600" w:right="1300"/>
        </w:sectPr>
      </w:pPr>
    </w:p>
    <w:p>
      <w:pPr>
        <w:pStyle w:val="BodyText"/>
        <w:spacing w:line="480" w:lineRule="auto" w:before="103"/>
        <w:ind w:left="102" w:right="113" w:firstLine="707"/>
        <w:jc w:val="both"/>
      </w:pPr>
      <w:r>
        <w:rPr/>
        <w:t>Las diferencias regionales pueden ser sólo percibidas a nivel global, por los organismos superiores del aparato estatal. Las políticas dirigidas para el control de las diferencias territoriales y la sostenibilidad del desarrollo, provienen siempre del poder central y para que estos objetivos sean cumplidos se hace imprescindible desarrollar las capacidades propias de cada región. Esto no significa que la descentralización entre en contradicción</w:t>
      </w:r>
      <w:r>
        <w:rPr>
          <w:spacing w:val="-9"/>
        </w:rPr>
        <w:t> </w:t>
      </w:r>
      <w:r>
        <w:rPr/>
        <w:t>con</w:t>
      </w:r>
      <w:r>
        <w:rPr>
          <w:spacing w:val="-9"/>
        </w:rPr>
        <w:t> </w:t>
      </w:r>
      <w:r>
        <w:rPr/>
        <w:t>el</w:t>
      </w:r>
      <w:r>
        <w:rPr>
          <w:spacing w:val="-7"/>
        </w:rPr>
        <w:t> </w:t>
      </w:r>
      <w:r>
        <w:rPr/>
        <w:t>sistema</w:t>
      </w:r>
      <w:r>
        <w:rPr>
          <w:spacing w:val="-9"/>
        </w:rPr>
        <w:t> </w:t>
      </w:r>
      <w:r>
        <w:rPr/>
        <w:t>de</w:t>
      </w:r>
      <w:r>
        <w:rPr>
          <w:spacing w:val="-7"/>
        </w:rPr>
        <w:t> </w:t>
      </w:r>
      <w:r>
        <w:rPr/>
        <w:t>planificación</w:t>
      </w:r>
      <w:r>
        <w:rPr>
          <w:spacing w:val="-9"/>
        </w:rPr>
        <w:t> </w:t>
      </w:r>
      <w:r>
        <w:rPr/>
        <w:t>de</w:t>
      </w:r>
      <w:r>
        <w:rPr>
          <w:spacing w:val="-9"/>
        </w:rPr>
        <w:t> </w:t>
      </w:r>
      <w:r>
        <w:rPr/>
        <w:t>la</w:t>
      </w:r>
      <w:r>
        <w:rPr>
          <w:spacing w:val="-9"/>
        </w:rPr>
        <w:t> </w:t>
      </w:r>
      <w:r>
        <w:rPr/>
        <w:t>economía,</w:t>
      </w:r>
      <w:r>
        <w:rPr>
          <w:spacing w:val="-5"/>
        </w:rPr>
        <w:t> </w:t>
      </w:r>
      <w:r>
        <w:rPr/>
        <w:t>pues</w:t>
      </w:r>
      <w:r>
        <w:rPr>
          <w:spacing w:val="-9"/>
        </w:rPr>
        <w:t> </w:t>
      </w:r>
      <w:r>
        <w:rPr/>
        <w:t>los</w:t>
      </w:r>
      <w:r>
        <w:rPr>
          <w:spacing w:val="-9"/>
        </w:rPr>
        <w:t> </w:t>
      </w:r>
      <w:r>
        <w:rPr/>
        <w:t>actores</w:t>
      </w:r>
      <w:r>
        <w:rPr>
          <w:spacing w:val="-9"/>
        </w:rPr>
        <w:t> </w:t>
      </w:r>
      <w:r>
        <w:rPr/>
        <w:t>municipales pueden gestionar y resolver sus necesidades básicas siendo consecuentes con los principios rectores</w:t>
      </w:r>
      <w:r>
        <w:rPr>
          <w:spacing w:val="-8"/>
        </w:rPr>
        <w:t> </w:t>
      </w:r>
      <w:r>
        <w:rPr/>
        <w:t>estatales.</w:t>
      </w:r>
    </w:p>
    <w:p>
      <w:pPr>
        <w:pStyle w:val="Heading2"/>
        <w:spacing w:before="125"/>
      </w:pPr>
      <w:r>
        <w:rPr/>
        <w:t>Resultados</w:t>
      </w:r>
    </w:p>
    <w:p>
      <w:pPr>
        <w:pStyle w:val="BodyText"/>
        <w:spacing w:before="7"/>
        <w:rPr>
          <w:b/>
          <w:sz w:val="32"/>
        </w:rPr>
      </w:pPr>
    </w:p>
    <w:p>
      <w:pPr>
        <w:pStyle w:val="Heading3"/>
        <w:rPr>
          <w:i/>
        </w:rPr>
      </w:pPr>
      <w:r>
        <w:rPr>
          <w:i/>
        </w:rPr>
        <w:t>Propuesta en el orden normativo</w:t>
      </w:r>
    </w:p>
    <w:p>
      <w:pPr>
        <w:pStyle w:val="BodyText"/>
        <w:spacing w:before="5"/>
        <w:rPr>
          <w:b/>
          <w:i/>
          <w:sz w:val="32"/>
        </w:rPr>
      </w:pPr>
    </w:p>
    <w:p>
      <w:pPr>
        <w:pStyle w:val="BodyText"/>
        <w:spacing w:line="480" w:lineRule="auto"/>
        <w:ind w:left="102" w:right="110" w:firstLine="707"/>
        <w:jc w:val="both"/>
      </w:pPr>
      <w:r>
        <w:rPr/>
        <w:t>Respecto a las políticas de desarrollo sustentable se evidencia que la estructura jurídica establecida es coherente con las estrategias estatales. Sin embargo se presentan problemas en la implementación del ordenamiento territorial y el desarrollo local.</w:t>
      </w:r>
    </w:p>
    <w:p>
      <w:pPr>
        <w:pStyle w:val="BodyText"/>
        <w:spacing w:line="480" w:lineRule="auto" w:before="125"/>
        <w:ind w:left="102" w:right="112" w:firstLine="707"/>
        <w:jc w:val="both"/>
      </w:pPr>
      <w:r>
        <w:rPr/>
        <w:t>La</w:t>
      </w:r>
      <w:r>
        <w:rPr>
          <w:spacing w:val="-6"/>
        </w:rPr>
        <w:t> </w:t>
      </w:r>
      <w:r>
        <w:rPr/>
        <w:t>ausencia</w:t>
      </w:r>
      <w:r>
        <w:rPr>
          <w:spacing w:val="-5"/>
        </w:rPr>
        <w:t> </w:t>
      </w:r>
      <w:r>
        <w:rPr/>
        <w:t>de</w:t>
      </w:r>
      <w:r>
        <w:rPr>
          <w:spacing w:val="-6"/>
        </w:rPr>
        <w:t> </w:t>
      </w:r>
      <w:r>
        <w:rPr/>
        <w:t>una</w:t>
      </w:r>
      <w:r>
        <w:rPr>
          <w:spacing w:val="-5"/>
        </w:rPr>
        <w:t> </w:t>
      </w:r>
      <w:r>
        <w:rPr/>
        <w:t>normativa</w:t>
      </w:r>
      <w:r>
        <w:rPr>
          <w:spacing w:val="-5"/>
        </w:rPr>
        <w:t> </w:t>
      </w:r>
      <w:r>
        <w:rPr/>
        <w:t>que</w:t>
      </w:r>
      <w:r>
        <w:rPr>
          <w:spacing w:val="-8"/>
        </w:rPr>
        <w:t> </w:t>
      </w:r>
      <w:r>
        <w:rPr/>
        <w:t>ampare</w:t>
      </w:r>
      <w:r>
        <w:rPr>
          <w:spacing w:val="-8"/>
        </w:rPr>
        <w:t> </w:t>
      </w:r>
      <w:r>
        <w:rPr/>
        <w:t>tanto</w:t>
      </w:r>
      <w:r>
        <w:rPr>
          <w:spacing w:val="-8"/>
        </w:rPr>
        <w:t> </w:t>
      </w:r>
      <w:r>
        <w:rPr/>
        <w:t>la</w:t>
      </w:r>
      <w:r>
        <w:rPr>
          <w:spacing w:val="-5"/>
        </w:rPr>
        <w:t> </w:t>
      </w:r>
      <w:r>
        <w:rPr/>
        <w:t>actividad</w:t>
      </w:r>
      <w:r>
        <w:rPr>
          <w:spacing w:val="-5"/>
        </w:rPr>
        <w:t> </w:t>
      </w:r>
      <w:r>
        <w:rPr/>
        <w:t>del</w:t>
      </w:r>
      <w:r>
        <w:rPr>
          <w:spacing w:val="-6"/>
        </w:rPr>
        <w:t> </w:t>
      </w:r>
      <w:r>
        <w:rPr/>
        <w:t>municipio,</w:t>
      </w:r>
      <w:r>
        <w:rPr>
          <w:spacing w:val="-4"/>
        </w:rPr>
        <w:t> </w:t>
      </w:r>
      <w:r>
        <w:rPr/>
        <w:t>como</w:t>
      </w:r>
      <w:r>
        <w:rPr>
          <w:spacing w:val="-5"/>
        </w:rPr>
        <w:t> </w:t>
      </w:r>
      <w:r>
        <w:rPr/>
        <w:t>la actividad</w:t>
      </w:r>
      <w:r>
        <w:rPr>
          <w:spacing w:val="-6"/>
        </w:rPr>
        <w:t> </w:t>
      </w:r>
      <w:r>
        <w:rPr/>
        <w:t>de</w:t>
      </w:r>
      <w:r>
        <w:rPr>
          <w:spacing w:val="-7"/>
        </w:rPr>
        <w:t> </w:t>
      </w:r>
      <w:r>
        <w:rPr/>
        <w:t>ordenamiento</w:t>
      </w:r>
      <w:r>
        <w:rPr>
          <w:spacing w:val="-6"/>
        </w:rPr>
        <w:t> </w:t>
      </w:r>
      <w:r>
        <w:rPr/>
        <w:t>territorial,</w:t>
      </w:r>
      <w:r>
        <w:rPr>
          <w:spacing w:val="-5"/>
        </w:rPr>
        <w:t> </w:t>
      </w:r>
      <w:r>
        <w:rPr/>
        <w:t>es</w:t>
      </w:r>
      <w:r>
        <w:rPr>
          <w:spacing w:val="-6"/>
        </w:rPr>
        <w:t> </w:t>
      </w:r>
      <w:r>
        <w:rPr/>
        <w:t>sin</w:t>
      </w:r>
      <w:r>
        <w:rPr>
          <w:spacing w:val="-9"/>
        </w:rPr>
        <w:t> </w:t>
      </w:r>
      <w:r>
        <w:rPr/>
        <w:t>duda</w:t>
      </w:r>
      <w:r>
        <w:rPr>
          <w:spacing w:val="-9"/>
        </w:rPr>
        <w:t> </w:t>
      </w:r>
      <w:r>
        <w:rPr/>
        <w:t>una</w:t>
      </w:r>
      <w:r>
        <w:rPr>
          <w:spacing w:val="-7"/>
        </w:rPr>
        <w:t> </w:t>
      </w:r>
      <w:r>
        <w:rPr/>
        <w:t>deficiencia</w:t>
      </w:r>
      <w:r>
        <w:rPr>
          <w:spacing w:val="-9"/>
        </w:rPr>
        <w:t> </w:t>
      </w:r>
      <w:r>
        <w:rPr/>
        <w:t>que</w:t>
      </w:r>
      <w:r>
        <w:rPr>
          <w:spacing w:val="-11"/>
        </w:rPr>
        <w:t> </w:t>
      </w:r>
      <w:r>
        <w:rPr/>
        <w:t>rompe</w:t>
      </w:r>
      <w:r>
        <w:rPr>
          <w:spacing w:val="-9"/>
        </w:rPr>
        <w:t> </w:t>
      </w:r>
      <w:r>
        <w:rPr/>
        <w:t>con</w:t>
      </w:r>
      <w:r>
        <w:rPr>
          <w:spacing w:val="-9"/>
        </w:rPr>
        <w:t> </w:t>
      </w:r>
      <w:r>
        <w:rPr/>
        <w:t>el</w:t>
      </w:r>
      <w:r>
        <w:rPr>
          <w:spacing w:val="-7"/>
        </w:rPr>
        <w:t> </w:t>
      </w:r>
      <w:r>
        <w:rPr/>
        <w:t>sistema de</w:t>
      </w:r>
      <w:r>
        <w:rPr>
          <w:spacing w:val="-9"/>
        </w:rPr>
        <w:t> </w:t>
      </w:r>
      <w:r>
        <w:rPr/>
        <w:t>la</w:t>
      </w:r>
      <w:r>
        <w:rPr>
          <w:spacing w:val="-9"/>
        </w:rPr>
        <w:t> </w:t>
      </w:r>
      <w:r>
        <w:rPr/>
        <w:t>legislación</w:t>
      </w:r>
      <w:r>
        <w:rPr>
          <w:spacing w:val="-9"/>
        </w:rPr>
        <w:t> </w:t>
      </w:r>
      <w:r>
        <w:rPr/>
        <w:t>orientada</w:t>
      </w:r>
      <w:r>
        <w:rPr>
          <w:spacing w:val="-9"/>
        </w:rPr>
        <w:t> </w:t>
      </w:r>
      <w:r>
        <w:rPr/>
        <w:t>a</w:t>
      </w:r>
      <w:r>
        <w:rPr>
          <w:spacing w:val="-9"/>
        </w:rPr>
        <w:t> </w:t>
      </w:r>
      <w:r>
        <w:rPr/>
        <w:t>la</w:t>
      </w:r>
      <w:r>
        <w:rPr>
          <w:spacing w:val="-9"/>
        </w:rPr>
        <w:t> </w:t>
      </w:r>
      <w:r>
        <w:rPr/>
        <w:t>salvaguarda</w:t>
      </w:r>
      <w:r>
        <w:rPr>
          <w:spacing w:val="-9"/>
        </w:rPr>
        <w:t> </w:t>
      </w:r>
      <w:r>
        <w:rPr/>
        <w:t>del</w:t>
      </w:r>
      <w:r>
        <w:rPr>
          <w:spacing w:val="-12"/>
        </w:rPr>
        <w:t> </w:t>
      </w:r>
      <w:r>
        <w:rPr/>
        <w:t>medio</w:t>
      </w:r>
      <w:r>
        <w:rPr>
          <w:spacing w:val="-9"/>
        </w:rPr>
        <w:t> </w:t>
      </w:r>
      <w:r>
        <w:rPr/>
        <w:t>ambiente</w:t>
      </w:r>
      <w:r>
        <w:rPr>
          <w:spacing w:val="-11"/>
        </w:rPr>
        <w:t> </w:t>
      </w:r>
      <w:r>
        <w:rPr/>
        <w:t>y</w:t>
      </w:r>
      <w:r>
        <w:rPr>
          <w:spacing w:val="-11"/>
        </w:rPr>
        <w:t> </w:t>
      </w:r>
      <w:r>
        <w:rPr/>
        <w:t>el</w:t>
      </w:r>
      <w:r>
        <w:rPr>
          <w:spacing w:val="-10"/>
        </w:rPr>
        <w:t> </w:t>
      </w:r>
      <w:r>
        <w:rPr/>
        <w:t>desarrollo</w:t>
      </w:r>
      <w:r>
        <w:rPr>
          <w:spacing w:val="-9"/>
        </w:rPr>
        <w:t> </w:t>
      </w:r>
      <w:r>
        <w:rPr/>
        <w:t>sustentable. No está garantizada normativamente el alcance de la actividad del municipio en sus posibilidades de actuación con otros organismos o</w:t>
      </w:r>
      <w:r>
        <w:rPr>
          <w:spacing w:val="-13"/>
        </w:rPr>
        <w:t> </w:t>
      </w:r>
      <w:r>
        <w:rPr/>
        <w:t>sujetos.</w:t>
      </w:r>
    </w:p>
    <w:p>
      <w:pPr>
        <w:pStyle w:val="BodyText"/>
        <w:spacing w:line="480" w:lineRule="auto" w:before="125"/>
        <w:ind w:left="102" w:right="113" w:firstLine="707"/>
        <w:jc w:val="both"/>
      </w:pPr>
      <w:r>
        <w:rPr/>
        <w:t>En este sentido, la promulgación de una Ley del municipio, no puede soslayar la necesidad de la Asamblea Municipal del Poder Popular de disponer de recursos propios a través</w:t>
      </w:r>
      <w:r>
        <w:rPr>
          <w:spacing w:val="-4"/>
        </w:rPr>
        <w:t> </w:t>
      </w:r>
      <w:r>
        <w:rPr/>
        <w:t>de</w:t>
      </w:r>
      <w:r>
        <w:rPr>
          <w:spacing w:val="-4"/>
        </w:rPr>
        <w:t> </w:t>
      </w:r>
      <w:r>
        <w:rPr/>
        <w:t>un</w:t>
      </w:r>
      <w:r>
        <w:rPr>
          <w:spacing w:val="-4"/>
        </w:rPr>
        <w:t> </w:t>
      </w:r>
      <w:r>
        <w:rPr/>
        <w:t>sistema</w:t>
      </w:r>
      <w:r>
        <w:rPr>
          <w:spacing w:val="-6"/>
        </w:rPr>
        <w:t> </w:t>
      </w:r>
      <w:r>
        <w:rPr/>
        <w:t>fiscal,</w:t>
      </w:r>
      <w:r>
        <w:rPr>
          <w:spacing w:val="-3"/>
        </w:rPr>
        <w:t> </w:t>
      </w:r>
      <w:r>
        <w:rPr/>
        <w:t>garantizando</w:t>
      </w:r>
      <w:r>
        <w:rPr>
          <w:spacing w:val="-4"/>
        </w:rPr>
        <w:t> </w:t>
      </w:r>
      <w:r>
        <w:rPr/>
        <w:t>que</w:t>
      </w:r>
      <w:r>
        <w:rPr>
          <w:spacing w:val="-7"/>
        </w:rPr>
        <w:t> </w:t>
      </w:r>
      <w:r>
        <w:rPr/>
        <w:t>parte</w:t>
      </w:r>
      <w:r>
        <w:rPr>
          <w:spacing w:val="-4"/>
        </w:rPr>
        <w:t> </w:t>
      </w:r>
      <w:r>
        <w:rPr/>
        <w:t>de</w:t>
      </w:r>
      <w:r>
        <w:rPr>
          <w:spacing w:val="-4"/>
        </w:rPr>
        <w:t> </w:t>
      </w:r>
      <w:r>
        <w:rPr/>
        <w:t>la</w:t>
      </w:r>
      <w:r>
        <w:rPr>
          <w:spacing w:val="-4"/>
        </w:rPr>
        <w:t> </w:t>
      </w:r>
      <w:r>
        <w:rPr/>
        <w:t>recaudación</w:t>
      </w:r>
      <w:r>
        <w:rPr>
          <w:spacing w:val="-4"/>
        </w:rPr>
        <w:t> </w:t>
      </w:r>
      <w:r>
        <w:rPr/>
        <w:t>municipal</w:t>
      </w:r>
      <w:r>
        <w:rPr>
          <w:spacing w:val="-5"/>
        </w:rPr>
        <w:t> </w:t>
      </w:r>
      <w:r>
        <w:rPr/>
        <w:t>pueda</w:t>
      </w:r>
      <w:r>
        <w:rPr>
          <w:spacing w:val="-4"/>
        </w:rPr>
        <w:t> </w:t>
      </w:r>
      <w:r>
        <w:rPr/>
        <w:t>ser invertida en función de las necesidades municipales. El municipio debe actuar como un ente con personalidad jurídica propia, con capacidad de satisfacer las demandas de la localidad, lo que convertiría al municipio en un órgano con mayor poder y</w:t>
      </w:r>
      <w:r>
        <w:rPr>
          <w:spacing w:val="-24"/>
        </w:rPr>
        <w:t> </w:t>
      </w:r>
      <w:r>
        <w:rPr/>
        <w:t>autoridad.</w:t>
      </w:r>
    </w:p>
    <w:p>
      <w:pPr>
        <w:pStyle w:val="Heading3"/>
        <w:spacing w:before="125"/>
        <w:rPr>
          <w:i/>
        </w:rPr>
      </w:pPr>
      <w:r>
        <w:rPr>
          <w:i/>
        </w:rPr>
        <w:t>Una</w:t>
      </w:r>
      <w:r>
        <w:rPr>
          <w:i/>
          <w:spacing w:val="-17"/>
        </w:rPr>
        <w:t> </w:t>
      </w:r>
      <w:r>
        <w:rPr>
          <w:i/>
        </w:rPr>
        <w:t>nueva</w:t>
      </w:r>
      <w:r>
        <w:rPr>
          <w:i/>
          <w:spacing w:val="-16"/>
        </w:rPr>
        <w:t> </w:t>
      </w:r>
      <w:r>
        <w:rPr>
          <w:i/>
        </w:rPr>
        <w:t>aproximación</w:t>
      </w:r>
      <w:r>
        <w:rPr>
          <w:i/>
          <w:spacing w:val="-16"/>
        </w:rPr>
        <w:t> </w:t>
      </w:r>
      <w:r>
        <w:rPr>
          <w:i/>
        </w:rPr>
        <w:t>a</w:t>
      </w:r>
      <w:r>
        <w:rPr>
          <w:i/>
          <w:spacing w:val="-18"/>
        </w:rPr>
        <w:t> </w:t>
      </w:r>
      <w:r>
        <w:rPr>
          <w:i/>
        </w:rPr>
        <w:t>la</w:t>
      </w:r>
      <w:r>
        <w:rPr>
          <w:i/>
          <w:spacing w:val="-19"/>
        </w:rPr>
        <w:t> </w:t>
      </w:r>
      <w:r>
        <w:rPr>
          <w:i/>
        </w:rPr>
        <w:t>cuantificación</w:t>
      </w:r>
      <w:r>
        <w:rPr>
          <w:i/>
          <w:spacing w:val="-18"/>
        </w:rPr>
        <w:t> </w:t>
      </w:r>
      <w:r>
        <w:rPr>
          <w:i/>
        </w:rPr>
        <w:t>del</w:t>
      </w:r>
      <w:r>
        <w:rPr>
          <w:i/>
          <w:spacing w:val="-17"/>
        </w:rPr>
        <w:t> </w:t>
      </w:r>
      <w:r>
        <w:rPr>
          <w:i/>
        </w:rPr>
        <w:t>desarrollo</w:t>
      </w:r>
      <w:r>
        <w:rPr>
          <w:i/>
          <w:spacing w:val="-19"/>
        </w:rPr>
        <w:t> </w:t>
      </w:r>
      <w:r>
        <w:rPr>
          <w:i/>
        </w:rPr>
        <w:t>humano</w:t>
      </w:r>
      <w:r>
        <w:rPr>
          <w:i/>
          <w:spacing w:val="-19"/>
        </w:rPr>
        <w:t> </w:t>
      </w:r>
      <w:r>
        <w:rPr>
          <w:i/>
        </w:rPr>
        <w:t>territorial</w:t>
      </w:r>
      <w:r>
        <w:rPr>
          <w:i/>
          <w:spacing w:val="-14"/>
        </w:rPr>
        <w:t> </w:t>
      </w:r>
      <w:r>
        <w:rPr>
          <w:i/>
        </w:rPr>
        <w:t>en</w:t>
      </w:r>
      <w:r>
        <w:rPr>
          <w:i/>
          <w:spacing w:val="-19"/>
        </w:rPr>
        <w:t> </w:t>
      </w:r>
      <w:r>
        <w:rPr>
          <w:i/>
        </w:rPr>
        <w:t>Cuba</w:t>
      </w:r>
    </w:p>
    <w:p>
      <w:pPr>
        <w:spacing w:after="0"/>
        <w:sectPr>
          <w:pgSz w:w="11910" w:h="16840"/>
          <w:pgMar w:header="0" w:footer="768" w:top="1580" w:bottom="960" w:left="1600" w:right="1300"/>
        </w:sectPr>
      </w:pPr>
    </w:p>
    <w:p>
      <w:pPr>
        <w:pStyle w:val="BodyText"/>
        <w:spacing w:line="480" w:lineRule="auto" w:before="103"/>
        <w:ind w:left="102" w:right="392" w:firstLine="707"/>
        <w:jc w:val="both"/>
      </w:pPr>
      <w:r>
        <w:rPr/>
        <w:t>Para la realización de esta propuesta se tomó como referente metodológico el ITDHE aplicado en la </w:t>
      </w:r>
      <w:r>
        <w:rPr>
          <w:i/>
        </w:rPr>
        <w:t>Investigación sobre desarrollo humano y equidad en Cuba 1999 </w:t>
      </w:r>
      <w:r>
        <w:rPr/>
        <w:t>(CIEM, 2000). Las dimensiones consideradas en esta investigación son en su mayoría las mismas definidas anteriormente para el cálculo del índice en el 2000, por ser relevantes en la concepción de desarrollo humano; además se incluyó la dimensión ambiental para su compatibilización con la concepción de sustentabilidad.</w:t>
      </w:r>
    </w:p>
    <w:p>
      <w:pPr>
        <w:spacing w:line="477" w:lineRule="auto" w:before="127"/>
        <w:ind w:left="102" w:right="228" w:firstLine="707"/>
        <w:jc w:val="both"/>
        <w:rPr>
          <w:sz w:val="22"/>
        </w:rPr>
      </w:pPr>
      <w:r>
        <w:rPr>
          <w:sz w:val="22"/>
        </w:rPr>
        <w:t>Cada dimensión está representada por un indicador que es considerado como trazador</w:t>
      </w:r>
      <w:r>
        <w:rPr>
          <w:spacing w:val="-3"/>
          <w:sz w:val="22"/>
        </w:rPr>
        <w:t> </w:t>
      </w:r>
      <w:r>
        <w:rPr>
          <w:sz w:val="22"/>
        </w:rPr>
        <w:t>del</w:t>
      </w:r>
      <w:r>
        <w:rPr>
          <w:spacing w:val="-7"/>
          <w:sz w:val="22"/>
        </w:rPr>
        <w:t> </w:t>
      </w:r>
      <w:r>
        <w:rPr>
          <w:sz w:val="22"/>
        </w:rPr>
        <w:t>concepto</w:t>
      </w:r>
      <w:r>
        <w:rPr>
          <w:spacing w:val="-6"/>
          <w:sz w:val="22"/>
        </w:rPr>
        <w:t> </w:t>
      </w:r>
      <w:r>
        <w:rPr>
          <w:sz w:val="22"/>
        </w:rPr>
        <w:t>definido</w:t>
      </w:r>
      <w:r>
        <w:rPr>
          <w:spacing w:val="-4"/>
          <w:sz w:val="22"/>
        </w:rPr>
        <w:t> </w:t>
      </w:r>
      <w:r>
        <w:rPr>
          <w:sz w:val="22"/>
        </w:rPr>
        <w:t>en</w:t>
      </w:r>
      <w:r>
        <w:rPr>
          <w:spacing w:val="-7"/>
          <w:sz w:val="22"/>
        </w:rPr>
        <w:t> </w:t>
      </w:r>
      <w:r>
        <w:rPr>
          <w:sz w:val="22"/>
        </w:rPr>
        <w:t>la</w:t>
      </w:r>
      <w:r>
        <w:rPr>
          <w:spacing w:val="-4"/>
          <w:sz w:val="22"/>
        </w:rPr>
        <w:t> </w:t>
      </w:r>
      <w:r>
        <w:rPr>
          <w:sz w:val="22"/>
        </w:rPr>
        <w:t>dimensión</w:t>
      </w:r>
      <w:r>
        <w:rPr>
          <w:spacing w:val="-4"/>
          <w:sz w:val="22"/>
        </w:rPr>
        <w:t> </w:t>
      </w:r>
      <w:r>
        <w:rPr>
          <w:sz w:val="22"/>
        </w:rPr>
        <w:t>(</w:t>
      </w:r>
      <w:r>
        <w:rPr>
          <w:i/>
          <w:sz w:val="22"/>
        </w:rPr>
        <w:t>Tabla.2</w:t>
      </w:r>
      <w:r>
        <w:rPr>
          <w:sz w:val="22"/>
        </w:rPr>
        <w:t>).</w:t>
      </w:r>
      <w:r>
        <w:rPr>
          <w:spacing w:val="-5"/>
          <w:sz w:val="22"/>
        </w:rPr>
        <w:t> </w:t>
      </w:r>
      <w:r>
        <w:rPr>
          <w:sz w:val="22"/>
        </w:rPr>
        <w:t>Seis</w:t>
      </w:r>
      <w:r>
        <w:rPr>
          <w:spacing w:val="-4"/>
          <w:sz w:val="22"/>
        </w:rPr>
        <w:t> </w:t>
      </w:r>
      <w:r>
        <w:rPr>
          <w:sz w:val="22"/>
        </w:rPr>
        <w:t>de</w:t>
      </w:r>
      <w:r>
        <w:rPr>
          <w:spacing w:val="-7"/>
          <w:sz w:val="22"/>
        </w:rPr>
        <w:t> </w:t>
      </w:r>
      <w:r>
        <w:rPr>
          <w:sz w:val="22"/>
        </w:rPr>
        <w:t>los</w:t>
      </w:r>
      <w:r>
        <w:rPr>
          <w:spacing w:val="-4"/>
          <w:sz w:val="22"/>
        </w:rPr>
        <w:t> </w:t>
      </w:r>
      <w:r>
        <w:rPr>
          <w:sz w:val="22"/>
        </w:rPr>
        <w:t>indicadores</w:t>
      </w:r>
      <w:r>
        <w:rPr>
          <w:spacing w:val="-4"/>
          <w:sz w:val="22"/>
        </w:rPr>
        <w:t> </w:t>
      </w:r>
      <w:r>
        <w:rPr>
          <w:sz w:val="22"/>
        </w:rPr>
        <w:t>calculados en el índice para el 2000, son igualmente incorporados en nuestra propuesta por considerarlos</w:t>
      </w:r>
      <w:r>
        <w:rPr>
          <w:spacing w:val="-10"/>
          <w:sz w:val="22"/>
        </w:rPr>
        <w:t> </w:t>
      </w:r>
      <w:r>
        <w:rPr>
          <w:sz w:val="22"/>
        </w:rPr>
        <w:t>relevantes</w:t>
      </w:r>
      <w:r>
        <w:rPr>
          <w:spacing w:val="-8"/>
          <w:sz w:val="22"/>
        </w:rPr>
        <w:t> </w:t>
      </w:r>
      <w:r>
        <w:rPr>
          <w:sz w:val="22"/>
        </w:rPr>
        <w:t>a</w:t>
      </w:r>
      <w:r>
        <w:rPr>
          <w:spacing w:val="-8"/>
          <w:sz w:val="22"/>
        </w:rPr>
        <w:t> </w:t>
      </w:r>
      <w:r>
        <w:rPr>
          <w:sz w:val="22"/>
        </w:rPr>
        <w:t>la</w:t>
      </w:r>
      <w:r>
        <w:rPr>
          <w:spacing w:val="-8"/>
          <w:sz w:val="22"/>
        </w:rPr>
        <w:t> </w:t>
      </w:r>
      <w:r>
        <w:rPr>
          <w:sz w:val="22"/>
        </w:rPr>
        <w:t>dimensión</w:t>
      </w:r>
      <w:r>
        <w:rPr>
          <w:spacing w:val="-10"/>
          <w:sz w:val="22"/>
        </w:rPr>
        <w:t> </w:t>
      </w:r>
      <w:r>
        <w:rPr>
          <w:sz w:val="22"/>
        </w:rPr>
        <w:t>que</w:t>
      </w:r>
      <w:r>
        <w:rPr>
          <w:spacing w:val="-10"/>
          <w:sz w:val="22"/>
        </w:rPr>
        <w:t> </w:t>
      </w:r>
      <w:r>
        <w:rPr>
          <w:sz w:val="22"/>
        </w:rPr>
        <w:t>miden</w:t>
      </w:r>
      <w:r>
        <w:rPr>
          <w:spacing w:val="-8"/>
          <w:sz w:val="22"/>
        </w:rPr>
        <w:t> </w:t>
      </w:r>
      <w:r>
        <w:rPr>
          <w:sz w:val="22"/>
        </w:rPr>
        <w:t>(</w:t>
      </w:r>
      <w:r>
        <w:rPr>
          <w:i/>
          <w:sz w:val="22"/>
        </w:rPr>
        <w:t>volumen</w:t>
      </w:r>
      <w:r>
        <w:rPr>
          <w:i/>
          <w:spacing w:val="-10"/>
          <w:sz w:val="22"/>
        </w:rPr>
        <w:t> </w:t>
      </w:r>
      <w:r>
        <w:rPr>
          <w:i/>
          <w:sz w:val="22"/>
        </w:rPr>
        <w:t>de</w:t>
      </w:r>
      <w:r>
        <w:rPr>
          <w:i/>
          <w:spacing w:val="-8"/>
          <w:sz w:val="22"/>
        </w:rPr>
        <w:t> </w:t>
      </w:r>
      <w:r>
        <w:rPr>
          <w:i/>
          <w:sz w:val="22"/>
        </w:rPr>
        <w:t>inversiones</w:t>
      </w:r>
      <w:r>
        <w:rPr>
          <w:i/>
          <w:spacing w:val="-7"/>
          <w:sz w:val="22"/>
        </w:rPr>
        <w:t> </w:t>
      </w:r>
      <w:r>
        <w:rPr>
          <w:i/>
          <w:sz w:val="22"/>
        </w:rPr>
        <w:t>per</w:t>
      </w:r>
      <w:r>
        <w:rPr>
          <w:i/>
          <w:spacing w:val="-7"/>
          <w:sz w:val="22"/>
        </w:rPr>
        <w:t> </w:t>
      </w:r>
      <w:r>
        <w:rPr>
          <w:i/>
          <w:sz w:val="22"/>
        </w:rPr>
        <w:t>cápita,</w:t>
      </w:r>
      <w:r>
        <w:rPr>
          <w:i/>
          <w:spacing w:val="-9"/>
          <w:sz w:val="22"/>
        </w:rPr>
        <w:t> </w:t>
      </w:r>
      <w:r>
        <w:rPr>
          <w:i/>
          <w:sz w:val="22"/>
        </w:rPr>
        <w:t>valor </w:t>
      </w:r>
      <w:r>
        <w:rPr>
          <w:i/>
          <w:sz w:val="22"/>
        </w:rPr>
        <w:t>de</w:t>
      </w:r>
      <w:r>
        <w:rPr>
          <w:i/>
          <w:spacing w:val="-4"/>
          <w:sz w:val="22"/>
        </w:rPr>
        <w:t> </w:t>
      </w:r>
      <w:r>
        <w:rPr>
          <w:i/>
          <w:sz w:val="22"/>
        </w:rPr>
        <w:t>la</w:t>
      </w:r>
      <w:r>
        <w:rPr>
          <w:i/>
          <w:spacing w:val="-4"/>
          <w:sz w:val="22"/>
        </w:rPr>
        <w:t> </w:t>
      </w:r>
      <w:r>
        <w:rPr>
          <w:i/>
          <w:sz w:val="22"/>
        </w:rPr>
        <w:t>circulación</w:t>
      </w:r>
      <w:r>
        <w:rPr>
          <w:i/>
          <w:spacing w:val="-4"/>
          <w:sz w:val="22"/>
        </w:rPr>
        <w:t> </w:t>
      </w:r>
      <w:r>
        <w:rPr>
          <w:i/>
          <w:sz w:val="22"/>
        </w:rPr>
        <w:t>mercantil</w:t>
      </w:r>
      <w:r>
        <w:rPr>
          <w:i/>
          <w:spacing w:val="-5"/>
          <w:sz w:val="22"/>
        </w:rPr>
        <w:t> </w:t>
      </w:r>
      <w:r>
        <w:rPr>
          <w:i/>
          <w:sz w:val="22"/>
        </w:rPr>
        <w:t>minorista</w:t>
      </w:r>
      <w:r>
        <w:rPr>
          <w:i/>
          <w:spacing w:val="-4"/>
          <w:sz w:val="22"/>
        </w:rPr>
        <w:t> </w:t>
      </w:r>
      <w:r>
        <w:rPr>
          <w:i/>
          <w:sz w:val="22"/>
        </w:rPr>
        <w:t>per</w:t>
      </w:r>
      <w:r>
        <w:rPr>
          <w:i/>
          <w:spacing w:val="-3"/>
          <w:sz w:val="22"/>
        </w:rPr>
        <w:t> </w:t>
      </w:r>
      <w:r>
        <w:rPr>
          <w:i/>
          <w:sz w:val="22"/>
        </w:rPr>
        <w:t>cápita,</w:t>
      </w:r>
      <w:r>
        <w:rPr>
          <w:i/>
          <w:spacing w:val="-5"/>
          <w:sz w:val="22"/>
        </w:rPr>
        <w:t> </w:t>
      </w:r>
      <w:r>
        <w:rPr>
          <w:i/>
          <w:sz w:val="22"/>
        </w:rPr>
        <w:t>tasa</w:t>
      </w:r>
      <w:r>
        <w:rPr>
          <w:i/>
          <w:spacing w:val="-4"/>
          <w:sz w:val="22"/>
        </w:rPr>
        <w:t> </w:t>
      </w:r>
      <w:r>
        <w:rPr>
          <w:i/>
          <w:sz w:val="22"/>
        </w:rPr>
        <w:t>de</w:t>
      </w:r>
      <w:r>
        <w:rPr>
          <w:i/>
          <w:spacing w:val="-4"/>
          <w:sz w:val="22"/>
        </w:rPr>
        <w:t> </w:t>
      </w:r>
      <w:r>
        <w:rPr>
          <w:i/>
          <w:sz w:val="22"/>
        </w:rPr>
        <w:t>escolarización,</w:t>
      </w:r>
      <w:r>
        <w:rPr>
          <w:i/>
          <w:spacing w:val="-3"/>
          <w:sz w:val="22"/>
        </w:rPr>
        <w:t> </w:t>
      </w:r>
      <w:r>
        <w:rPr>
          <w:i/>
          <w:sz w:val="22"/>
        </w:rPr>
        <w:t>esperanza</w:t>
      </w:r>
      <w:r>
        <w:rPr>
          <w:i/>
          <w:spacing w:val="-4"/>
          <w:sz w:val="22"/>
        </w:rPr>
        <w:t> </w:t>
      </w:r>
      <w:r>
        <w:rPr>
          <w:i/>
          <w:sz w:val="22"/>
        </w:rPr>
        <w:t>de</w:t>
      </w:r>
      <w:r>
        <w:rPr>
          <w:i/>
          <w:spacing w:val="-4"/>
          <w:sz w:val="22"/>
        </w:rPr>
        <w:t> </w:t>
      </w:r>
      <w:r>
        <w:rPr>
          <w:i/>
          <w:sz w:val="22"/>
        </w:rPr>
        <w:t>vida</w:t>
      </w:r>
      <w:r>
        <w:rPr>
          <w:i/>
          <w:spacing w:val="-4"/>
          <w:sz w:val="22"/>
        </w:rPr>
        <w:t> </w:t>
      </w:r>
      <w:r>
        <w:rPr>
          <w:i/>
          <w:sz w:val="22"/>
        </w:rPr>
        <w:t>al nacer, porcentaje de población con acceso a agua potable y porcentaje de votantes</w:t>
      </w:r>
      <w:r>
        <w:rPr>
          <w:sz w:val="22"/>
        </w:rPr>
        <w:t>); dos indicadores fueron modificados (</w:t>
      </w:r>
      <w:r>
        <w:rPr>
          <w:i/>
          <w:sz w:val="22"/>
        </w:rPr>
        <w:t>consumo energético per cápita </w:t>
      </w:r>
      <w:r>
        <w:rPr>
          <w:sz w:val="22"/>
        </w:rPr>
        <w:t>sustituyó a porcentaje de viviendas</w:t>
      </w:r>
      <w:r>
        <w:rPr>
          <w:spacing w:val="-16"/>
          <w:sz w:val="22"/>
        </w:rPr>
        <w:t> </w:t>
      </w:r>
      <w:r>
        <w:rPr>
          <w:sz w:val="22"/>
        </w:rPr>
        <w:t>electrificadas</w:t>
      </w:r>
      <w:r>
        <w:rPr>
          <w:spacing w:val="-16"/>
          <w:sz w:val="22"/>
        </w:rPr>
        <w:t> </w:t>
      </w:r>
      <w:r>
        <w:rPr>
          <w:sz w:val="22"/>
        </w:rPr>
        <w:t>y</w:t>
      </w:r>
      <w:r>
        <w:rPr>
          <w:spacing w:val="-19"/>
          <w:sz w:val="22"/>
        </w:rPr>
        <w:t> </w:t>
      </w:r>
      <w:r>
        <w:rPr>
          <w:i/>
          <w:sz w:val="22"/>
        </w:rPr>
        <w:t>porcentaje</w:t>
      </w:r>
      <w:r>
        <w:rPr>
          <w:i/>
          <w:spacing w:val="-16"/>
          <w:sz w:val="22"/>
        </w:rPr>
        <w:t> </w:t>
      </w:r>
      <w:r>
        <w:rPr>
          <w:i/>
          <w:sz w:val="22"/>
        </w:rPr>
        <w:t>de</w:t>
      </w:r>
      <w:r>
        <w:rPr>
          <w:i/>
          <w:spacing w:val="-16"/>
          <w:sz w:val="22"/>
        </w:rPr>
        <w:t> </w:t>
      </w:r>
      <w:r>
        <w:rPr>
          <w:i/>
          <w:sz w:val="22"/>
        </w:rPr>
        <w:t>hogares</w:t>
      </w:r>
      <w:r>
        <w:rPr>
          <w:i/>
          <w:spacing w:val="-16"/>
          <w:sz w:val="22"/>
        </w:rPr>
        <w:t> </w:t>
      </w:r>
      <w:r>
        <w:rPr>
          <w:i/>
          <w:sz w:val="22"/>
        </w:rPr>
        <w:t>nucleares</w:t>
      </w:r>
      <w:r>
        <w:rPr>
          <w:i/>
          <w:spacing w:val="-15"/>
          <w:sz w:val="22"/>
        </w:rPr>
        <w:t> </w:t>
      </w:r>
      <w:r>
        <w:rPr>
          <w:sz w:val="22"/>
        </w:rPr>
        <w:t>a</w:t>
      </w:r>
      <w:r>
        <w:rPr>
          <w:spacing w:val="-16"/>
          <w:sz w:val="22"/>
        </w:rPr>
        <w:t> </w:t>
      </w:r>
      <w:r>
        <w:rPr>
          <w:sz w:val="22"/>
        </w:rPr>
        <w:t>porcentaje</w:t>
      </w:r>
      <w:r>
        <w:rPr>
          <w:spacing w:val="-16"/>
          <w:sz w:val="22"/>
        </w:rPr>
        <w:t> </w:t>
      </w:r>
      <w:r>
        <w:rPr>
          <w:sz w:val="22"/>
        </w:rPr>
        <w:t>de</w:t>
      </w:r>
      <w:r>
        <w:rPr>
          <w:spacing w:val="-16"/>
          <w:sz w:val="22"/>
        </w:rPr>
        <w:t> </w:t>
      </w:r>
      <w:r>
        <w:rPr>
          <w:sz w:val="22"/>
        </w:rPr>
        <w:t>viviendas</w:t>
      </w:r>
      <w:r>
        <w:rPr>
          <w:spacing w:val="-16"/>
          <w:sz w:val="22"/>
        </w:rPr>
        <w:t> </w:t>
      </w:r>
      <w:r>
        <w:rPr>
          <w:sz w:val="22"/>
        </w:rPr>
        <w:t>en</w:t>
      </w:r>
      <w:r>
        <w:rPr>
          <w:spacing w:val="-16"/>
          <w:sz w:val="22"/>
        </w:rPr>
        <w:t> </w:t>
      </w:r>
      <w:r>
        <w:rPr>
          <w:sz w:val="22"/>
        </w:rPr>
        <w:t>buen estado) y un indicador se incluyó correspondiente a la dimensión de impacto ambiental (</w:t>
      </w:r>
      <w:r>
        <w:rPr>
          <w:i/>
          <w:sz w:val="22"/>
        </w:rPr>
        <w:t>carga contaminante dispuesta por</w:t>
      </w:r>
      <w:r>
        <w:rPr>
          <w:i/>
          <w:spacing w:val="-9"/>
          <w:sz w:val="22"/>
        </w:rPr>
        <w:t> </w:t>
      </w:r>
      <w:r>
        <w:rPr>
          <w:i/>
          <w:sz w:val="22"/>
        </w:rPr>
        <w:t>Km</w:t>
      </w:r>
      <w:r>
        <w:rPr>
          <w:i/>
          <w:position w:val="9"/>
          <w:sz w:val="14"/>
        </w:rPr>
        <w:t>2</w:t>
      </w:r>
      <w:r>
        <w:rPr>
          <w:sz w:val="22"/>
        </w:rPr>
        <w:t>).</w:t>
      </w:r>
    </w:p>
    <w:p>
      <w:pPr>
        <w:pStyle w:val="Heading2"/>
        <w:spacing w:before="110"/>
        <w:ind w:left="406"/>
      </w:pPr>
      <w:r>
        <w:rPr/>
        <w:t>Tabla 2. Dimensiones e indicadores empleados en nuestra propuesta del ITDHE</w:t>
      </w:r>
    </w:p>
    <w:p>
      <w:pPr>
        <w:pStyle w:val="BodyText"/>
        <w:rPr>
          <w:b/>
          <w:sz w:val="20"/>
        </w:rPr>
      </w:pPr>
    </w:p>
    <w:p>
      <w:pPr>
        <w:pStyle w:val="BodyText"/>
        <w:spacing w:before="10"/>
        <w:rPr>
          <w:b/>
          <w:sz w:val="12"/>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62"/>
        <w:gridCol w:w="5682"/>
      </w:tblGrid>
      <w:tr>
        <w:trPr>
          <w:trHeight w:val="360" w:hRule="exact"/>
        </w:trPr>
        <w:tc>
          <w:tcPr>
            <w:tcW w:w="3262" w:type="dxa"/>
            <w:tcBorders>
              <w:right w:val="nil"/>
            </w:tcBorders>
          </w:tcPr>
          <w:p>
            <w:pPr>
              <w:pStyle w:val="TableParagraph"/>
              <w:spacing w:line="225" w:lineRule="exact"/>
              <w:ind w:left="1192"/>
              <w:rPr>
                <w:b/>
                <w:sz w:val="20"/>
              </w:rPr>
            </w:pPr>
            <w:r>
              <w:rPr>
                <w:b/>
                <w:sz w:val="20"/>
              </w:rPr>
              <w:t>Dimensión</w:t>
            </w:r>
          </w:p>
        </w:tc>
        <w:tc>
          <w:tcPr>
            <w:tcW w:w="5682" w:type="dxa"/>
            <w:tcBorders>
              <w:left w:val="nil"/>
            </w:tcBorders>
          </w:tcPr>
          <w:p>
            <w:pPr>
              <w:pStyle w:val="TableParagraph"/>
              <w:spacing w:line="225" w:lineRule="exact"/>
              <w:ind w:left="2336" w:right="2178"/>
              <w:jc w:val="center"/>
              <w:rPr>
                <w:b/>
                <w:sz w:val="20"/>
              </w:rPr>
            </w:pPr>
            <w:r>
              <w:rPr>
                <w:b/>
                <w:sz w:val="20"/>
              </w:rPr>
              <w:t>Indicadores</w:t>
            </w:r>
          </w:p>
        </w:tc>
      </w:tr>
      <w:tr>
        <w:trPr>
          <w:trHeight w:val="360" w:hRule="exact"/>
        </w:trPr>
        <w:tc>
          <w:tcPr>
            <w:tcW w:w="3262" w:type="dxa"/>
          </w:tcPr>
          <w:p>
            <w:pPr>
              <w:pStyle w:val="TableParagraph"/>
              <w:spacing w:line="227" w:lineRule="exact"/>
              <w:rPr>
                <w:sz w:val="20"/>
              </w:rPr>
            </w:pPr>
            <w:r>
              <w:rPr>
                <w:sz w:val="20"/>
              </w:rPr>
              <w:t>Crecimiento económico</w:t>
            </w:r>
          </w:p>
        </w:tc>
        <w:tc>
          <w:tcPr>
            <w:tcW w:w="5682" w:type="dxa"/>
          </w:tcPr>
          <w:p>
            <w:pPr>
              <w:pStyle w:val="TableParagraph"/>
              <w:spacing w:line="227" w:lineRule="exact"/>
              <w:rPr>
                <w:sz w:val="20"/>
              </w:rPr>
            </w:pPr>
            <w:r>
              <w:rPr>
                <w:sz w:val="20"/>
              </w:rPr>
              <w:t>Volumen de inversiones per cápita (pesos)</w:t>
            </w:r>
          </w:p>
        </w:tc>
      </w:tr>
      <w:tr>
        <w:trPr>
          <w:trHeight w:val="360" w:hRule="exact"/>
        </w:trPr>
        <w:tc>
          <w:tcPr>
            <w:tcW w:w="3262" w:type="dxa"/>
          </w:tcPr>
          <w:p>
            <w:pPr>
              <w:pStyle w:val="TableParagraph"/>
              <w:spacing w:line="227" w:lineRule="exact"/>
              <w:rPr>
                <w:sz w:val="20"/>
              </w:rPr>
            </w:pPr>
            <w:r>
              <w:rPr>
                <w:sz w:val="20"/>
              </w:rPr>
              <w:t>Consumo personal</w:t>
            </w:r>
          </w:p>
        </w:tc>
        <w:tc>
          <w:tcPr>
            <w:tcW w:w="5682" w:type="dxa"/>
          </w:tcPr>
          <w:p>
            <w:pPr>
              <w:pStyle w:val="TableParagraph"/>
              <w:spacing w:line="227" w:lineRule="exact"/>
              <w:rPr>
                <w:sz w:val="20"/>
              </w:rPr>
            </w:pPr>
            <w:r>
              <w:rPr>
                <w:sz w:val="20"/>
              </w:rPr>
              <w:t>Valor de la circulación mercantil minorista per cápita (pesos)</w:t>
            </w:r>
          </w:p>
        </w:tc>
      </w:tr>
      <w:tr>
        <w:trPr>
          <w:trHeight w:val="361" w:hRule="exact"/>
        </w:trPr>
        <w:tc>
          <w:tcPr>
            <w:tcW w:w="3262" w:type="dxa"/>
          </w:tcPr>
          <w:p>
            <w:pPr>
              <w:pStyle w:val="TableParagraph"/>
              <w:spacing w:line="227" w:lineRule="exact"/>
              <w:rPr>
                <w:sz w:val="20"/>
              </w:rPr>
            </w:pPr>
            <w:r>
              <w:rPr>
                <w:sz w:val="20"/>
              </w:rPr>
              <w:t>Nivel de educación</w:t>
            </w:r>
          </w:p>
        </w:tc>
        <w:tc>
          <w:tcPr>
            <w:tcW w:w="5682" w:type="dxa"/>
          </w:tcPr>
          <w:p>
            <w:pPr>
              <w:pStyle w:val="TableParagraph"/>
              <w:spacing w:line="227" w:lineRule="exact"/>
              <w:rPr>
                <w:sz w:val="20"/>
              </w:rPr>
            </w:pPr>
            <w:r>
              <w:rPr>
                <w:sz w:val="20"/>
              </w:rPr>
              <w:t>Tasa de escolarización de 6 a 14 años (%)</w:t>
            </w:r>
          </w:p>
        </w:tc>
      </w:tr>
      <w:tr>
        <w:trPr>
          <w:trHeight w:val="360" w:hRule="exact"/>
        </w:trPr>
        <w:tc>
          <w:tcPr>
            <w:tcW w:w="3262" w:type="dxa"/>
          </w:tcPr>
          <w:p>
            <w:pPr>
              <w:pStyle w:val="TableParagraph"/>
              <w:spacing w:line="227" w:lineRule="exact"/>
              <w:rPr>
                <w:sz w:val="20"/>
              </w:rPr>
            </w:pPr>
            <w:r>
              <w:rPr>
                <w:sz w:val="20"/>
              </w:rPr>
              <w:t>Estado de salud de la población</w:t>
            </w:r>
          </w:p>
        </w:tc>
        <w:tc>
          <w:tcPr>
            <w:tcW w:w="5682" w:type="dxa"/>
          </w:tcPr>
          <w:p>
            <w:pPr>
              <w:pStyle w:val="TableParagraph"/>
              <w:spacing w:line="227" w:lineRule="exact"/>
              <w:rPr>
                <w:sz w:val="20"/>
              </w:rPr>
            </w:pPr>
            <w:r>
              <w:rPr>
                <w:sz w:val="20"/>
              </w:rPr>
              <w:t>Esperanza de vida al nacer (ambos sexos)</w:t>
            </w:r>
          </w:p>
        </w:tc>
      </w:tr>
      <w:tr>
        <w:trPr>
          <w:trHeight w:val="360" w:hRule="exact"/>
        </w:trPr>
        <w:tc>
          <w:tcPr>
            <w:tcW w:w="3262" w:type="dxa"/>
          </w:tcPr>
          <w:p>
            <w:pPr>
              <w:pStyle w:val="TableParagraph"/>
              <w:spacing w:line="227" w:lineRule="exact"/>
              <w:rPr>
                <w:sz w:val="20"/>
              </w:rPr>
            </w:pPr>
            <w:r>
              <w:rPr>
                <w:sz w:val="20"/>
              </w:rPr>
              <w:t>Acceso a servicios básicos</w:t>
            </w:r>
          </w:p>
        </w:tc>
        <w:tc>
          <w:tcPr>
            <w:tcW w:w="5682" w:type="dxa"/>
          </w:tcPr>
          <w:p>
            <w:pPr>
              <w:pStyle w:val="TableParagraph"/>
              <w:spacing w:line="227" w:lineRule="exact"/>
              <w:rPr>
                <w:sz w:val="20"/>
              </w:rPr>
            </w:pPr>
            <w:r>
              <w:rPr>
                <w:sz w:val="20"/>
              </w:rPr>
              <w:t>Porcentaje de población con acceso a agua potable</w:t>
            </w:r>
          </w:p>
        </w:tc>
      </w:tr>
      <w:tr>
        <w:trPr>
          <w:trHeight w:val="360" w:hRule="exact"/>
        </w:trPr>
        <w:tc>
          <w:tcPr>
            <w:tcW w:w="3262" w:type="dxa"/>
          </w:tcPr>
          <w:p>
            <w:pPr>
              <w:pStyle w:val="TableParagraph"/>
              <w:spacing w:line="227" w:lineRule="exact"/>
              <w:rPr>
                <w:sz w:val="20"/>
              </w:rPr>
            </w:pPr>
            <w:r>
              <w:rPr>
                <w:sz w:val="20"/>
              </w:rPr>
              <w:t>Acceso a la energía</w:t>
            </w:r>
          </w:p>
        </w:tc>
        <w:tc>
          <w:tcPr>
            <w:tcW w:w="5682" w:type="dxa"/>
          </w:tcPr>
          <w:p>
            <w:pPr>
              <w:pStyle w:val="TableParagraph"/>
              <w:spacing w:line="227" w:lineRule="exact"/>
              <w:rPr>
                <w:sz w:val="20"/>
              </w:rPr>
            </w:pPr>
            <w:r>
              <w:rPr>
                <w:sz w:val="20"/>
              </w:rPr>
              <w:t>Consumo energético en el sector residencial per cápita</w:t>
            </w:r>
          </w:p>
        </w:tc>
      </w:tr>
      <w:tr>
        <w:trPr>
          <w:trHeight w:val="360" w:hRule="exact"/>
        </w:trPr>
        <w:tc>
          <w:tcPr>
            <w:tcW w:w="3262" w:type="dxa"/>
          </w:tcPr>
          <w:p>
            <w:pPr>
              <w:pStyle w:val="TableParagraph"/>
              <w:spacing w:line="227" w:lineRule="exact"/>
              <w:rPr>
                <w:sz w:val="20"/>
              </w:rPr>
            </w:pPr>
            <w:r>
              <w:rPr>
                <w:sz w:val="20"/>
              </w:rPr>
              <w:t>Accesibilidad a la vivienda</w:t>
            </w:r>
          </w:p>
        </w:tc>
        <w:tc>
          <w:tcPr>
            <w:tcW w:w="5682" w:type="dxa"/>
          </w:tcPr>
          <w:p>
            <w:pPr>
              <w:pStyle w:val="TableParagraph"/>
              <w:spacing w:line="227" w:lineRule="exact"/>
              <w:rPr>
                <w:sz w:val="13"/>
              </w:rPr>
            </w:pPr>
            <w:r>
              <w:rPr>
                <w:sz w:val="20"/>
              </w:rPr>
              <w:t>Porcentaje de hogares nucleares</w:t>
            </w:r>
            <w:r>
              <w:rPr>
                <w:position w:val="6"/>
                <w:sz w:val="13"/>
              </w:rPr>
              <w:t>1</w:t>
            </w:r>
          </w:p>
        </w:tc>
      </w:tr>
      <w:tr>
        <w:trPr>
          <w:trHeight w:val="360" w:hRule="exact"/>
        </w:trPr>
        <w:tc>
          <w:tcPr>
            <w:tcW w:w="3262" w:type="dxa"/>
          </w:tcPr>
          <w:p>
            <w:pPr>
              <w:pStyle w:val="TableParagraph"/>
              <w:spacing w:line="227" w:lineRule="exact"/>
              <w:rPr>
                <w:sz w:val="20"/>
              </w:rPr>
            </w:pPr>
            <w:r>
              <w:rPr>
                <w:sz w:val="20"/>
              </w:rPr>
              <w:t>Participación política</w:t>
            </w:r>
          </w:p>
        </w:tc>
        <w:tc>
          <w:tcPr>
            <w:tcW w:w="5682" w:type="dxa"/>
          </w:tcPr>
          <w:p>
            <w:pPr>
              <w:pStyle w:val="TableParagraph"/>
              <w:spacing w:line="227" w:lineRule="exact"/>
              <w:rPr>
                <w:sz w:val="20"/>
              </w:rPr>
            </w:pPr>
            <w:r>
              <w:rPr>
                <w:sz w:val="20"/>
              </w:rPr>
              <w:t>Porcentaje de votantes en las últimas elecciones</w:t>
            </w:r>
          </w:p>
        </w:tc>
      </w:tr>
      <w:tr>
        <w:trPr>
          <w:trHeight w:val="360" w:hRule="exact"/>
        </w:trPr>
        <w:tc>
          <w:tcPr>
            <w:tcW w:w="3262" w:type="dxa"/>
          </w:tcPr>
          <w:p>
            <w:pPr>
              <w:pStyle w:val="TableParagraph"/>
              <w:spacing w:line="227" w:lineRule="exact"/>
              <w:rPr>
                <w:sz w:val="20"/>
              </w:rPr>
            </w:pPr>
            <w:r>
              <w:rPr>
                <w:sz w:val="20"/>
              </w:rPr>
              <w:t>Impacto ambiental</w:t>
            </w:r>
          </w:p>
        </w:tc>
        <w:tc>
          <w:tcPr>
            <w:tcW w:w="5682" w:type="dxa"/>
          </w:tcPr>
          <w:p>
            <w:pPr>
              <w:pStyle w:val="TableParagraph"/>
              <w:spacing w:line="227" w:lineRule="exact"/>
              <w:rPr>
                <w:sz w:val="20"/>
              </w:rPr>
            </w:pPr>
            <w:r>
              <w:rPr>
                <w:sz w:val="20"/>
              </w:rPr>
              <w:t>Carga contaminante dispuesta por Km</w:t>
            </w:r>
            <w:r>
              <w:rPr>
                <w:position w:val="6"/>
                <w:sz w:val="13"/>
              </w:rPr>
              <w:t>2 </w:t>
            </w:r>
            <w:r>
              <w:rPr>
                <w:sz w:val="20"/>
              </w:rPr>
              <w:t>(ton DBO/Km</w:t>
            </w:r>
            <w:r>
              <w:rPr>
                <w:position w:val="6"/>
                <w:sz w:val="13"/>
              </w:rPr>
              <w:t>2</w:t>
            </w:r>
            <w:r>
              <w:rPr>
                <w:sz w:val="20"/>
              </w:rPr>
              <w:t>)</w:t>
            </w:r>
          </w:p>
        </w:tc>
      </w:tr>
    </w:tbl>
    <w:p>
      <w:pPr>
        <w:spacing w:after="0" w:line="227" w:lineRule="exact"/>
        <w:rPr>
          <w:sz w:val="20"/>
        </w:rPr>
        <w:sectPr>
          <w:pgSz w:w="11910" w:h="16840"/>
          <w:pgMar w:header="0" w:footer="768" w:top="1580" w:bottom="960" w:left="1600" w:right="1020"/>
        </w:sectPr>
      </w:pPr>
    </w:p>
    <w:p>
      <w:pPr>
        <w:pStyle w:val="BodyText"/>
        <w:spacing w:line="480" w:lineRule="auto" w:before="103"/>
        <w:ind w:left="102" w:right="111" w:firstLine="707"/>
        <w:jc w:val="both"/>
      </w:pPr>
      <w:r>
        <w:rPr/>
        <w:t>Particularmente, respecto a la dimensión </w:t>
      </w:r>
      <w:r>
        <w:rPr>
          <w:i/>
        </w:rPr>
        <w:t>acceso a la energía</w:t>
      </w:r>
      <w:r>
        <w:rPr/>
        <w:t>, consideramos que el indicador analizado para el 2000 es más relevante; sin embargo las limitaciones a fuentes de información fiables para su cálculo en el 2008, nos obligó a considerar su sustitución por el de </w:t>
      </w:r>
      <w:r>
        <w:rPr>
          <w:i/>
        </w:rPr>
        <w:t>consumo energético per cápita, </w:t>
      </w:r>
      <w:r>
        <w:rPr/>
        <w:t>siendo el más relevante en ausencia del trazador principal. Recomendamos no obstante, que en caso de ser posible, para otros estudios que se realicen siguiendo esta metodología, se considere el porcentaje de viviendas electrificadas como indicador que mejor mide esta dimensión.</w:t>
      </w:r>
    </w:p>
    <w:p>
      <w:pPr>
        <w:pStyle w:val="BodyText"/>
        <w:spacing w:line="480" w:lineRule="auto" w:before="126"/>
        <w:ind w:left="102" w:right="111" w:firstLine="707"/>
        <w:jc w:val="both"/>
      </w:pPr>
      <w:r>
        <w:rPr/>
        <w:t>En el caso de la accesibilidad a la vivienda, consideramos que el porcentaje de viviendas en buen estado, si bien es acertado para medir las deficiencias cualitativas del fondo habitacional, no representa lo que para nosotros debería tener un mayor peso dentro de esta dimensión; lo referente a las deficiencias cuantitativas. En Cuba, a pesar de la preocupación constante del gobierno por proporcionar un marco general apropiado en la accesibilidad a la vivienda, solo un poco más de una tercera parte de la población reside en el modelo de “familia ideal o dominante” (nucleares conyugales). Esta particularidad en los hogares cubanos puede incidir negativamente en la organización doméstica; provocando problemas de comunicación, presión sobre los recursos de las familias, así como sobre los servicios de vivienda, y asistencia social, o fomentado relaciones no cooperativas o conflictivas (ONE, 2008:126). El porcentaje de hogares nucleares representa a nuestra consideración</w:t>
      </w:r>
      <w:r>
        <w:rPr>
          <w:spacing w:val="-7"/>
        </w:rPr>
        <w:t> </w:t>
      </w:r>
      <w:r>
        <w:rPr/>
        <w:t>un</w:t>
      </w:r>
      <w:r>
        <w:rPr>
          <w:spacing w:val="-9"/>
        </w:rPr>
        <w:t> </w:t>
      </w:r>
      <w:r>
        <w:rPr/>
        <w:t>mejor</w:t>
      </w:r>
      <w:r>
        <w:rPr>
          <w:spacing w:val="-6"/>
        </w:rPr>
        <w:t> </w:t>
      </w:r>
      <w:r>
        <w:rPr/>
        <w:t>indicador</w:t>
      </w:r>
      <w:r>
        <w:rPr>
          <w:spacing w:val="-6"/>
        </w:rPr>
        <w:t> </w:t>
      </w:r>
      <w:r>
        <w:rPr/>
        <w:t>trazador</w:t>
      </w:r>
      <w:r>
        <w:rPr>
          <w:spacing w:val="-6"/>
        </w:rPr>
        <w:t> </w:t>
      </w:r>
      <w:r>
        <w:rPr/>
        <w:t>a</w:t>
      </w:r>
      <w:r>
        <w:rPr>
          <w:spacing w:val="-6"/>
        </w:rPr>
        <w:t> </w:t>
      </w:r>
      <w:r>
        <w:rPr/>
        <w:t>la</w:t>
      </w:r>
      <w:r>
        <w:rPr>
          <w:spacing w:val="-6"/>
        </w:rPr>
        <w:t> </w:t>
      </w:r>
      <w:r>
        <w:rPr/>
        <w:t>dimensión</w:t>
      </w:r>
      <w:r>
        <w:rPr>
          <w:spacing w:val="-9"/>
        </w:rPr>
        <w:t> </w:t>
      </w:r>
      <w:r>
        <w:rPr/>
        <w:t>que</w:t>
      </w:r>
      <w:r>
        <w:rPr>
          <w:spacing w:val="-7"/>
        </w:rPr>
        <w:t> </w:t>
      </w:r>
      <w:r>
        <w:rPr/>
        <w:t>pretendemos</w:t>
      </w:r>
      <w:r>
        <w:rPr>
          <w:spacing w:val="-6"/>
        </w:rPr>
        <w:t> </w:t>
      </w:r>
      <w:r>
        <w:rPr/>
        <w:t>medir</w:t>
      </w:r>
      <w:r>
        <w:rPr>
          <w:spacing w:val="-8"/>
        </w:rPr>
        <w:t> </w:t>
      </w:r>
      <w:r>
        <w:rPr/>
        <w:t>dentro</w:t>
      </w:r>
      <w:r>
        <w:rPr>
          <w:spacing w:val="-6"/>
        </w:rPr>
        <w:t> </w:t>
      </w:r>
      <w:r>
        <w:rPr/>
        <w:t>del ITDHE.</w:t>
      </w:r>
    </w:p>
    <w:p>
      <w:pPr>
        <w:pStyle w:val="BodyText"/>
        <w:spacing w:before="128"/>
        <w:ind w:left="810"/>
      </w:pPr>
      <w:r>
        <w:rPr/>
        <w:t>A partir de lo anterior se determinaron los siguientes </w:t>
      </w:r>
      <w:r>
        <w:rPr>
          <w:i/>
        </w:rPr>
        <w:t>Logros Relativos </w:t>
      </w:r>
      <w:r>
        <w:rPr/>
        <w:t>por regiones:</w:t>
      </w:r>
    </w:p>
    <w:p>
      <w:pPr>
        <w:pStyle w:val="BodyText"/>
        <w:spacing w:before="5"/>
        <w:rPr>
          <w:sz w:val="32"/>
        </w:rPr>
      </w:pPr>
    </w:p>
    <w:p>
      <w:pPr>
        <w:pStyle w:val="BodyText"/>
        <w:ind w:left="810"/>
      </w:pPr>
      <w:r>
        <w:rPr>
          <w:b/>
          <w:i/>
        </w:rPr>
        <w:t>L1</w:t>
      </w:r>
      <w:r>
        <w:rPr/>
        <w:t>: Logro relativo en el crecimiento económico</w:t>
      </w:r>
    </w:p>
    <w:p>
      <w:pPr>
        <w:pStyle w:val="BodyText"/>
        <w:spacing w:before="5"/>
        <w:rPr>
          <w:sz w:val="32"/>
        </w:rPr>
      </w:pPr>
    </w:p>
    <w:p>
      <w:pPr>
        <w:pStyle w:val="BodyText"/>
        <w:ind w:left="810"/>
      </w:pPr>
      <w:r>
        <w:rPr>
          <w:b/>
          <w:i/>
        </w:rPr>
        <w:t>L2</w:t>
      </w:r>
      <w:r>
        <w:rPr/>
        <w:t>: Logro relativo en el consumo personal</w:t>
      </w:r>
    </w:p>
    <w:p>
      <w:pPr>
        <w:pStyle w:val="BodyText"/>
        <w:spacing w:before="5"/>
        <w:rPr>
          <w:sz w:val="32"/>
        </w:rPr>
      </w:pPr>
    </w:p>
    <w:p>
      <w:pPr>
        <w:pStyle w:val="BodyText"/>
        <w:ind w:left="810"/>
      </w:pPr>
      <w:r>
        <w:rPr>
          <w:b/>
          <w:i/>
        </w:rPr>
        <w:t>L3</w:t>
      </w:r>
      <w:r>
        <w:rPr/>
        <w:t>: Logro relativo en el nivel educacional de la población</w:t>
      </w:r>
    </w:p>
    <w:p>
      <w:pPr>
        <w:pStyle w:val="BodyText"/>
        <w:spacing w:before="3"/>
        <w:rPr>
          <w:sz w:val="32"/>
        </w:rPr>
      </w:pPr>
    </w:p>
    <w:p>
      <w:pPr>
        <w:pStyle w:val="BodyText"/>
        <w:ind w:left="810"/>
      </w:pPr>
      <w:r>
        <w:rPr>
          <w:b/>
          <w:i/>
        </w:rPr>
        <w:t>L4</w:t>
      </w:r>
      <w:r>
        <w:rPr/>
        <w:t>:Logro relativo en el estado de salud de la población</w:t>
      </w:r>
    </w:p>
    <w:p>
      <w:pPr>
        <w:spacing w:after="0"/>
        <w:sectPr>
          <w:pgSz w:w="11910" w:h="16840"/>
          <w:pgMar w:header="0" w:footer="768" w:top="1580" w:bottom="960" w:left="1600" w:right="1140"/>
        </w:sectPr>
      </w:pPr>
    </w:p>
    <w:p>
      <w:pPr>
        <w:pStyle w:val="BodyText"/>
        <w:spacing w:before="103"/>
        <w:ind w:left="810"/>
      </w:pPr>
      <w:r>
        <w:rPr>
          <w:b/>
          <w:i/>
        </w:rPr>
        <w:t>L5</w:t>
      </w:r>
      <w:r>
        <w:rPr/>
        <w:t>: Logro relativo en el acceso a servicios básicos</w:t>
      </w:r>
    </w:p>
    <w:p>
      <w:pPr>
        <w:pStyle w:val="BodyText"/>
        <w:spacing w:before="5"/>
        <w:rPr>
          <w:sz w:val="32"/>
        </w:rPr>
      </w:pPr>
    </w:p>
    <w:p>
      <w:pPr>
        <w:pStyle w:val="BodyText"/>
        <w:ind w:left="810"/>
      </w:pPr>
      <w:r>
        <w:rPr>
          <w:b/>
          <w:i/>
        </w:rPr>
        <w:t>L6</w:t>
      </w:r>
      <w:r>
        <w:rPr/>
        <w:t>: Logro relativo en el acceso a la energía</w:t>
      </w:r>
    </w:p>
    <w:p>
      <w:pPr>
        <w:pStyle w:val="BodyText"/>
        <w:spacing w:before="3"/>
        <w:rPr>
          <w:sz w:val="32"/>
        </w:rPr>
      </w:pPr>
    </w:p>
    <w:p>
      <w:pPr>
        <w:pStyle w:val="BodyText"/>
        <w:spacing w:line="592" w:lineRule="auto"/>
        <w:ind w:left="810" w:right="3484"/>
      </w:pPr>
      <w:r>
        <w:rPr>
          <w:b/>
          <w:i/>
        </w:rPr>
        <w:t>L7</w:t>
      </w:r>
      <w:r>
        <w:rPr/>
        <w:t>: Logro relativo en la accesibilidad a la vivienda </w:t>
      </w:r>
      <w:r>
        <w:rPr>
          <w:b/>
          <w:i/>
        </w:rPr>
        <w:t>L8: </w:t>
      </w:r>
      <w:r>
        <w:rPr/>
        <w:t>Logro relativo en la participación política </w:t>
      </w:r>
      <w:r>
        <w:rPr>
          <w:b/>
          <w:i/>
        </w:rPr>
        <w:t>L9</w:t>
      </w:r>
      <w:r>
        <w:rPr/>
        <w:t>:Logro relativo en el impacto ambiental</w:t>
      </w:r>
      <w:r>
        <w:rPr>
          <w:position w:val="8"/>
          <w:sz w:val="14"/>
        </w:rPr>
        <w:t>2</w:t>
      </w:r>
      <w:r>
        <w:rPr/>
        <w:t>.</w:t>
      </w:r>
    </w:p>
    <w:p>
      <w:pPr>
        <w:pStyle w:val="BodyText"/>
        <w:spacing w:line="480" w:lineRule="auto" w:before="1"/>
        <w:ind w:left="102" w:right="113" w:firstLine="707"/>
        <w:jc w:val="both"/>
      </w:pPr>
      <w:r>
        <w:rPr/>
        <w:t>Para el cálculo del índice se utilizaron datos obtenidos de la Oficina Nacional de Estadísticas (ONE) y del PNUD.</w:t>
      </w:r>
    </w:p>
    <w:p>
      <w:pPr>
        <w:pStyle w:val="BodyText"/>
        <w:spacing w:line="480" w:lineRule="auto" w:before="125"/>
        <w:ind w:left="102" w:right="113" w:firstLine="707"/>
        <w:jc w:val="both"/>
      </w:pPr>
      <w:r>
        <w:rPr/>
        <w:t>En estudios pasados donde se ha utilizado el indicador, los análisis están hechos a nivel</w:t>
      </w:r>
      <w:r>
        <w:rPr>
          <w:spacing w:val="-17"/>
        </w:rPr>
        <w:t> </w:t>
      </w:r>
      <w:r>
        <w:rPr/>
        <w:t>provincial,</w:t>
      </w:r>
      <w:r>
        <w:rPr>
          <w:spacing w:val="-15"/>
        </w:rPr>
        <w:t> </w:t>
      </w:r>
      <w:r>
        <w:rPr/>
        <w:t>sin</w:t>
      </w:r>
      <w:r>
        <w:rPr>
          <w:spacing w:val="-16"/>
        </w:rPr>
        <w:t> </w:t>
      </w:r>
      <w:r>
        <w:rPr/>
        <w:t>embargo</w:t>
      </w:r>
      <w:r>
        <w:rPr>
          <w:spacing w:val="-16"/>
        </w:rPr>
        <w:t> </w:t>
      </w:r>
      <w:r>
        <w:rPr/>
        <w:t>en</w:t>
      </w:r>
      <w:r>
        <w:rPr>
          <w:spacing w:val="-16"/>
        </w:rPr>
        <w:t> </w:t>
      </w:r>
      <w:r>
        <w:rPr/>
        <w:t>nuestro</w:t>
      </w:r>
      <w:r>
        <w:rPr>
          <w:spacing w:val="-18"/>
        </w:rPr>
        <w:t> </w:t>
      </w:r>
      <w:r>
        <w:rPr/>
        <w:t>caso</w:t>
      </w:r>
      <w:r>
        <w:rPr>
          <w:spacing w:val="-16"/>
        </w:rPr>
        <w:t> </w:t>
      </w:r>
      <w:r>
        <w:rPr/>
        <w:t>partimos</w:t>
      </w:r>
      <w:r>
        <w:rPr>
          <w:spacing w:val="-16"/>
        </w:rPr>
        <w:t> </w:t>
      </w:r>
      <w:r>
        <w:rPr/>
        <w:t>de</w:t>
      </w:r>
      <w:r>
        <w:rPr>
          <w:spacing w:val="-16"/>
        </w:rPr>
        <w:t> </w:t>
      </w:r>
      <w:r>
        <w:rPr/>
        <w:t>los</w:t>
      </w:r>
      <w:r>
        <w:rPr>
          <w:spacing w:val="-16"/>
        </w:rPr>
        <w:t> </w:t>
      </w:r>
      <w:r>
        <w:rPr/>
        <w:t>indicadores</w:t>
      </w:r>
      <w:r>
        <w:rPr>
          <w:spacing w:val="-18"/>
        </w:rPr>
        <w:t> </w:t>
      </w:r>
      <w:r>
        <w:rPr/>
        <w:t>agregados</w:t>
      </w:r>
      <w:r>
        <w:rPr>
          <w:spacing w:val="-16"/>
        </w:rPr>
        <w:t> </w:t>
      </w:r>
      <w:r>
        <w:rPr/>
        <w:t>a</w:t>
      </w:r>
      <w:r>
        <w:rPr>
          <w:spacing w:val="-16"/>
        </w:rPr>
        <w:t> </w:t>
      </w:r>
      <w:r>
        <w:rPr/>
        <w:t>escala regional, profundizando posteriormente en las dinámicas provinciales para poder explicar mejor los resultados</w:t>
      </w:r>
      <w:r>
        <w:rPr>
          <w:spacing w:val="-13"/>
        </w:rPr>
        <w:t> </w:t>
      </w:r>
      <w:r>
        <w:rPr/>
        <w:t>obtenidos.</w:t>
      </w:r>
    </w:p>
    <w:p>
      <w:pPr>
        <w:pStyle w:val="BodyText"/>
        <w:spacing w:line="475" w:lineRule="auto" w:before="127"/>
        <w:ind w:left="102" w:right="112" w:firstLine="707"/>
        <w:jc w:val="both"/>
      </w:pPr>
      <w:r>
        <w:rPr/>
        <w:t>Los valores de los indicadores considerados en la nueva propuesta del ITDHE para las regiones</w:t>
      </w:r>
      <w:r>
        <w:rPr>
          <w:position w:val="8"/>
          <w:sz w:val="14"/>
        </w:rPr>
        <w:t>3  </w:t>
      </w:r>
      <w:r>
        <w:rPr/>
        <w:t>del país fueron los siguientes:</w:t>
      </w:r>
    </w:p>
    <w:p>
      <w:pPr>
        <w:pStyle w:val="Heading2"/>
        <w:spacing w:before="120"/>
        <w:ind w:left="214"/>
      </w:pPr>
      <w:r>
        <w:rPr/>
        <w:t>Tabla 3. Valores de los indicadores analizados en la propuesta del ITDHE para 2008</w:t>
      </w:r>
    </w:p>
    <w:p>
      <w:pPr>
        <w:pStyle w:val="BodyText"/>
        <w:spacing w:before="10"/>
        <w:rPr>
          <w:b/>
          <w:sz w:val="14"/>
        </w:rPr>
      </w:pPr>
    </w:p>
    <w:p>
      <w:pPr>
        <w:spacing w:after="0"/>
        <w:rPr>
          <w:sz w:val="14"/>
        </w:rPr>
        <w:sectPr>
          <w:pgSz w:w="11910" w:h="16840"/>
          <w:pgMar w:header="0" w:footer="768" w:top="1580" w:bottom="960" w:left="1600" w:right="1140"/>
        </w:sectPr>
      </w:pPr>
    </w:p>
    <w:p>
      <w:pPr>
        <w:spacing w:before="74"/>
        <w:ind w:left="1378" w:right="0" w:firstLine="1"/>
        <w:jc w:val="center"/>
        <w:rPr>
          <w:b/>
          <w:sz w:val="20"/>
        </w:rPr>
      </w:pPr>
      <w:r>
        <w:rPr>
          <w:b/>
          <w:sz w:val="20"/>
        </w:rPr>
        <w:t>Volumen de inversión</w:t>
      </w:r>
      <w:r>
        <w:rPr>
          <w:b/>
          <w:spacing w:val="-4"/>
          <w:sz w:val="20"/>
        </w:rPr>
        <w:t> </w:t>
      </w:r>
      <w:r>
        <w:rPr>
          <w:b/>
          <w:sz w:val="20"/>
        </w:rPr>
        <w:t>per</w:t>
      </w:r>
      <w:r>
        <w:rPr>
          <w:b/>
          <w:w w:val="99"/>
          <w:sz w:val="20"/>
        </w:rPr>
        <w:t> </w:t>
      </w:r>
      <w:r>
        <w:rPr>
          <w:b/>
          <w:sz w:val="20"/>
        </w:rPr>
        <w:t>cápita,</w:t>
      </w:r>
      <w:r>
        <w:rPr>
          <w:b/>
          <w:spacing w:val="-5"/>
          <w:sz w:val="20"/>
        </w:rPr>
        <w:t> </w:t>
      </w:r>
      <w:r>
        <w:rPr>
          <w:b/>
          <w:sz w:val="20"/>
        </w:rPr>
        <w:t>2008</w:t>
      </w:r>
    </w:p>
    <w:p>
      <w:pPr>
        <w:pStyle w:val="BodyText"/>
        <w:rPr>
          <w:b/>
          <w:sz w:val="20"/>
        </w:rPr>
      </w:pPr>
      <w:r>
        <w:rPr/>
        <w:br w:type="column"/>
      </w:r>
      <w:r>
        <w:rPr>
          <w:b/>
          <w:sz w:val="20"/>
        </w:rPr>
      </w:r>
    </w:p>
    <w:p>
      <w:pPr>
        <w:pStyle w:val="BodyText"/>
        <w:spacing w:before="6"/>
        <w:rPr>
          <w:b/>
          <w:sz w:val="26"/>
        </w:rPr>
      </w:pPr>
    </w:p>
    <w:p>
      <w:pPr>
        <w:spacing w:before="0"/>
        <w:ind w:left="450" w:right="-18" w:firstLine="0"/>
        <w:jc w:val="left"/>
        <w:rPr>
          <w:b/>
          <w:sz w:val="20"/>
        </w:rPr>
      </w:pPr>
      <w:r>
        <w:rPr>
          <w:b/>
          <w:sz w:val="20"/>
        </w:rPr>
        <w:t>Valor de</w:t>
      </w:r>
      <w:r>
        <w:rPr>
          <w:b/>
          <w:spacing w:val="-3"/>
          <w:sz w:val="20"/>
        </w:rPr>
        <w:t> </w:t>
      </w:r>
      <w:r>
        <w:rPr>
          <w:b/>
          <w:sz w:val="20"/>
        </w:rPr>
        <w:t>la</w:t>
      </w:r>
    </w:p>
    <w:p>
      <w:pPr>
        <w:spacing w:before="74"/>
        <w:ind w:left="363" w:right="0" w:firstLine="0"/>
        <w:jc w:val="center"/>
        <w:rPr>
          <w:b/>
          <w:sz w:val="20"/>
        </w:rPr>
      </w:pPr>
      <w:r>
        <w:rPr/>
        <w:br w:type="column"/>
      </w:r>
      <w:r>
        <w:rPr>
          <w:b/>
          <w:sz w:val="20"/>
        </w:rPr>
        <w:t>Tasa de escolarización de 6 a 14</w:t>
      </w:r>
      <w:r>
        <w:rPr>
          <w:b/>
          <w:spacing w:val="-5"/>
          <w:sz w:val="20"/>
        </w:rPr>
        <w:t> </w:t>
      </w:r>
      <w:r>
        <w:rPr>
          <w:b/>
          <w:sz w:val="20"/>
        </w:rPr>
        <w:t>años,</w:t>
      </w:r>
    </w:p>
    <w:p>
      <w:pPr>
        <w:spacing w:before="74"/>
        <w:ind w:left="169" w:right="0" w:firstLine="3"/>
        <w:jc w:val="center"/>
        <w:rPr>
          <w:b/>
          <w:sz w:val="20"/>
        </w:rPr>
      </w:pPr>
      <w:r>
        <w:rPr/>
        <w:br w:type="column"/>
      </w:r>
      <w:r>
        <w:rPr>
          <w:b/>
          <w:sz w:val="20"/>
        </w:rPr>
        <w:t>Esperanza de vida al nacer (ambos</w:t>
      </w:r>
      <w:r>
        <w:rPr>
          <w:b/>
          <w:spacing w:val="-6"/>
          <w:sz w:val="20"/>
        </w:rPr>
        <w:t> </w:t>
      </w:r>
      <w:r>
        <w:rPr>
          <w:b/>
          <w:sz w:val="20"/>
        </w:rPr>
        <w:t>sexos)</w:t>
      </w:r>
    </w:p>
    <w:p>
      <w:pPr>
        <w:spacing w:before="120"/>
        <w:ind w:left="372" w:right="199" w:firstLine="0"/>
        <w:jc w:val="center"/>
        <w:rPr>
          <w:b/>
          <w:sz w:val="20"/>
        </w:rPr>
      </w:pPr>
      <w:r>
        <w:rPr/>
        <w:pict>
          <v:shape style="position:absolute;margin-left:85.393997pt;margin-top:1.30914pt;width:440.25pt;height:113.65pt;mso-position-horizontal-relative:page;mso-position-vertical-relative:paragraph;z-index:10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07"/>
                    <w:gridCol w:w="1393"/>
                    <w:gridCol w:w="1921"/>
                    <w:gridCol w:w="888"/>
                    <w:gridCol w:w="1965"/>
                    <w:gridCol w:w="1431"/>
                  </w:tblGrid>
                  <w:tr>
                    <w:trPr>
                      <w:trHeight w:val="215" w:hRule="exact"/>
                    </w:trPr>
                    <w:tc>
                      <w:tcPr>
                        <w:tcW w:w="1207" w:type="dxa"/>
                      </w:tcPr>
                      <w:p>
                        <w:pPr/>
                      </w:p>
                    </w:tc>
                    <w:tc>
                      <w:tcPr>
                        <w:tcW w:w="1393" w:type="dxa"/>
                      </w:tcPr>
                      <w:p>
                        <w:pPr>
                          <w:pStyle w:val="TableParagraph"/>
                          <w:spacing w:line="204" w:lineRule="exact"/>
                          <w:ind w:left="254" w:right="263"/>
                          <w:jc w:val="center"/>
                          <w:rPr>
                            <w:b/>
                            <w:sz w:val="20"/>
                          </w:rPr>
                        </w:pPr>
                        <w:r>
                          <w:rPr>
                            <w:b/>
                            <w:sz w:val="20"/>
                          </w:rPr>
                          <w:t>(pesos)</w:t>
                        </w:r>
                      </w:p>
                    </w:tc>
                    <w:tc>
                      <w:tcPr>
                        <w:tcW w:w="1921" w:type="dxa"/>
                      </w:tcPr>
                      <w:p>
                        <w:pPr>
                          <w:pStyle w:val="TableParagraph"/>
                          <w:spacing w:line="204" w:lineRule="exact"/>
                          <w:ind w:left="285" w:right="366"/>
                          <w:jc w:val="center"/>
                          <w:rPr>
                            <w:b/>
                            <w:sz w:val="20"/>
                          </w:rPr>
                        </w:pPr>
                        <w:r>
                          <w:rPr>
                            <w:b/>
                            <w:sz w:val="20"/>
                          </w:rPr>
                          <w:t>circulación</w:t>
                        </w:r>
                      </w:p>
                    </w:tc>
                    <w:tc>
                      <w:tcPr>
                        <w:tcW w:w="4284" w:type="dxa"/>
                        <w:gridSpan w:val="3"/>
                      </w:tcPr>
                      <w:p>
                        <w:pPr>
                          <w:pStyle w:val="TableParagraph"/>
                          <w:tabs>
                            <w:tab w:pos="3530" w:val="left" w:leader="none"/>
                          </w:tabs>
                          <w:spacing w:line="204" w:lineRule="exact"/>
                          <w:ind w:left="397"/>
                          <w:rPr>
                            <w:b/>
                            <w:sz w:val="20"/>
                          </w:rPr>
                        </w:pPr>
                        <w:r>
                          <w:rPr>
                            <w:b/>
                            <w:sz w:val="20"/>
                          </w:rPr>
                          <w:t>2008</w:t>
                          <w:tab/>
                          <w:t>con</w:t>
                        </w:r>
                      </w:p>
                    </w:tc>
                  </w:tr>
                  <w:tr>
                    <w:trPr>
                      <w:trHeight w:val="980" w:hRule="exact"/>
                    </w:trPr>
                    <w:tc>
                      <w:tcPr>
                        <w:tcW w:w="1207" w:type="dxa"/>
                      </w:tcPr>
                      <w:p>
                        <w:pPr>
                          <w:pStyle w:val="TableParagraph"/>
                          <w:ind w:left="0"/>
                          <w:rPr>
                            <w:b/>
                            <w:sz w:val="20"/>
                          </w:rPr>
                        </w:pPr>
                      </w:p>
                      <w:p>
                        <w:pPr>
                          <w:pStyle w:val="TableParagraph"/>
                          <w:ind w:left="0"/>
                          <w:rPr>
                            <w:b/>
                            <w:sz w:val="20"/>
                          </w:rPr>
                        </w:pPr>
                      </w:p>
                      <w:p>
                        <w:pPr>
                          <w:pStyle w:val="TableParagraph"/>
                          <w:spacing w:before="7"/>
                          <w:ind w:left="0"/>
                          <w:rPr>
                            <w:b/>
                            <w:sz w:val="17"/>
                          </w:rPr>
                        </w:pPr>
                      </w:p>
                      <w:p>
                        <w:pPr>
                          <w:pStyle w:val="TableParagraph"/>
                          <w:ind w:left="15" w:right="251"/>
                          <w:jc w:val="center"/>
                          <w:rPr>
                            <w:b/>
                            <w:sz w:val="20"/>
                          </w:rPr>
                        </w:pPr>
                        <w:r>
                          <w:rPr>
                            <w:b/>
                            <w:sz w:val="20"/>
                          </w:rPr>
                          <w:t>Regiones</w:t>
                        </w:r>
                      </w:p>
                    </w:tc>
                    <w:tc>
                      <w:tcPr>
                        <w:tcW w:w="1393" w:type="dxa"/>
                      </w:tcPr>
                      <w:p>
                        <w:pPr/>
                      </w:p>
                    </w:tc>
                    <w:tc>
                      <w:tcPr>
                        <w:tcW w:w="1921" w:type="dxa"/>
                      </w:tcPr>
                      <w:p>
                        <w:pPr>
                          <w:pStyle w:val="TableParagraph"/>
                          <w:spacing w:line="204" w:lineRule="exact"/>
                          <w:ind w:left="284" w:right="366"/>
                          <w:jc w:val="center"/>
                          <w:rPr>
                            <w:b/>
                            <w:sz w:val="20"/>
                          </w:rPr>
                        </w:pPr>
                        <w:r>
                          <w:rPr>
                            <w:b/>
                            <w:sz w:val="20"/>
                          </w:rPr>
                          <w:t>mercantil</w:t>
                        </w:r>
                      </w:p>
                      <w:p>
                        <w:pPr>
                          <w:pStyle w:val="TableParagraph"/>
                          <w:ind w:left="286" w:right="366"/>
                          <w:jc w:val="center"/>
                          <w:rPr>
                            <w:b/>
                            <w:sz w:val="20"/>
                          </w:rPr>
                        </w:pPr>
                        <w:r>
                          <w:rPr>
                            <w:b/>
                            <w:sz w:val="20"/>
                          </w:rPr>
                          <w:t>minorista per cápita, 2008 (pesos)</w:t>
                        </w:r>
                      </w:p>
                    </w:tc>
                    <w:tc>
                      <w:tcPr>
                        <w:tcW w:w="888" w:type="dxa"/>
                      </w:tcPr>
                      <w:p>
                        <w:pPr/>
                      </w:p>
                    </w:tc>
                    <w:tc>
                      <w:tcPr>
                        <w:tcW w:w="1965" w:type="dxa"/>
                      </w:tcPr>
                      <w:p>
                        <w:pPr/>
                      </w:p>
                    </w:tc>
                    <w:tc>
                      <w:tcPr>
                        <w:tcW w:w="1431" w:type="dxa"/>
                      </w:tcPr>
                      <w:p>
                        <w:pPr>
                          <w:pStyle w:val="TableParagraph"/>
                          <w:spacing w:line="204" w:lineRule="exact"/>
                          <w:ind w:left="288" w:right="14"/>
                          <w:jc w:val="center"/>
                          <w:rPr>
                            <w:b/>
                            <w:sz w:val="20"/>
                          </w:rPr>
                        </w:pPr>
                        <w:r>
                          <w:rPr>
                            <w:b/>
                            <w:sz w:val="20"/>
                          </w:rPr>
                          <w:t>cobertura a</w:t>
                        </w:r>
                      </w:p>
                      <w:p>
                        <w:pPr>
                          <w:pStyle w:val="TableParagraph"/>
                          <w:ind w:left="470" w:right="193" w:firstLine="3"/>
                          <w:jc w:val="center"/>
                          <w:rPr>
                            <w:b/>
                            <w:sz w:val="20"/>
                          </w:rPr>
                        </w:pPr>
                        <w:r>
                          <w:rPr>
                            <w:b/>
                            <w:sz w:val="20"/>
                          </w:rPr>
                          <w:t>agua </w:t>
                        </w:r>
                        <w:r>
                          <w:rPr>
                            <w:b/>
                            <w:w w:val="95"/>
                            <w:sz w:val="20"/>
                          </w:rPr>
                          <w:t>potable, </w:t>
                        </w:r>
                        <w:r>
                          <w:rPr>
                            <w:b/>
                            <w:sz w:val="20"/>
                          </w:rPr>
                          <w:t>2008</w:t>
                        </w:r>
                      </w:p>
                    </w:tc>
                  </w:tr>
                  <w:tr>
                    <w:trPr>
                      <w:trHeight w:val="352" w:hRule="exact"/>
                    </w:trPr>
                    <w:tc>
                      <w:tcPr>
                        <w:tcW w:w="1207" w:type="dxa"/>
                      </w:tcPr>
                      <w:p>
                        <w:pPr>
                          <w:pStyle w:val="TableParagraph"/>
                          <w:spacing w:before="50"/>
                          <w:ind w:left="15" w:right="251"/>
                          <w:jc w:val="center"/>
                          <w:rPr>
                            <w:sz w:val="20"/>
                          </w:rPr>
                        </w:pPr>
                        <w:r>
                          <w:rPr>
                            <w:sz w:val="20"/>
                          </w:rPr>
                          <w:t>Occidente</w:t>
                        </w:r>
                      </w:p>
                    </w:tc>
                    <w:tc>
                      <w:tcPr>
                        <w:tcW w:w="1393" w:type="dxa"/>
                      </w:tcPr>
                      <w:p>
                        <w:pPr>
                          <w:pStyle w:val="TableParagraph"/>
                          <w:spacing w:before="50"/>
                          <w:ind w:left="254" w:right="265"/>
                          <w:jc w:val="center"/>
                          <w:rPr>
                            <w:sz w:val="20"/>
                          </w:rPr>
                        </w:pPr>
                        <w:r>
                          <w:rPr>
                            <w:sz w:val="20"/>
                          </w:rPr>
                          <w:t>607,4507</w:t>
                        </w:r>
                      </w:p>
                    </w:tc>
                    <w:tc>
                      <w:tcPr>
                        <w:tcW w:w="1921" w:type="dxa"/>
                      </w:tcPr>
                      <w:p>
                        <w:pPr>
                          <w:pStyle w:val="TableParagraph"/>
                          <w:spacing w:before="50"/>
                          <w:ind w:left="282" w:right="366"/>
                          <w:jc w:val="center"/>
                          <w:rPr>
                            <w:sz w:val="20"/>
                          </w:rPr>
                        </w:pPr>
                        <w:r>
                          <w:rPr>
                            <w:sz w:val="20"/>
                          </w:rPr>
                          <w:t>2728,057</w:t>
                        </w:r>
                      </w:p>
                    </w:tc>
                    <w:tc>
                      <w:tcPr>
                        <w:tcW w:w="888" w:type="dxa"/>
                      </w:tcPr>
                      <w:p>
                        <w:pPr>
                          <w:pStyle w:val="TableParagraph"/>
                          <w:spacing w:before="50"/>
                          <w:ind w:left="0" w:right="18"/>
                          <w:jc w:val="right"/>
                          <w:rPr>
                            <w:sz w:val="20"/>
                          </w:rPr>
                        </w:pPr>
                        <w:r>
                          <w:rPr>
                            <w:w w:val="95"/>
                            <w:sz w:val="20"/>
                          </w:rPr>
                          <w:t>96,96</w:t>
                        </w:r>
                      </w:p>
                    </w:tc>
                    <w:tc>
                      <w:tcPr>
                        <w:tcW w:w="1965" w:type="dxa"/>
                      </w:tcPr>
                      <w:p>
                        <w:pPr>
                          <w:pStyle w:val="TableParagraph"/>
                          <w:spacing w:before="50"/>
                          <w:ind w:left="1021" w:right="288"/>
                          <w:jc w:val="center"/>
                          <w:rPr>
                            <w:sz w:val="20"/>
                          </w:rPr>
                        </w:pPr>
                        <w:r>
                          <w:rPr>
                            <w:sz w:val="20"/>
                          </w:rPr>
                          <w:t>77,3</w:t>
                        </w:r>
                      </w:p>
                    </w:tc>
                    <w:tc>
                      <w:tcPr>
                        <w:tcW w:w="1431" w:type="dxa"/>
                      </w:tcPr>
                      <w:p>
                        <w:pPr>
                          <w:pStyle w:val="TableParagraph"/>
                          <w:spacing w:before="50"/>
                          <w:ind w:left="0" w:right="327"/>
                          <w:jc w:val="right"/>
                          <w:rPr>
                            <w:sz w:val="20"/>
                          </w:rPr>
                        </w:pPr>
                        <w:r>
                          <w:rPr>
                            <w:w w:val="95"/>
                            <w:sz w:val="20"/>
                          </w:rPr>
                          <w:t>98,64</w:t>
                        </w:r>
                      </w:p>
                    </w:tc>
                  </w:tr>
                  <w:tr>
                    <w:trPr>
                      <w:trHeight w:val="351" w:hRule="exact"/>
                    </w:trPr>
                    <w:tc>
                      <w:tcPr>
                        <w:tcW w:w="1207" w:type="dxa"/>
                      </w:tcPr>
                      <w:p>
                        <w:pPr>
                          <w:pStyle w:val="TableParagraph"/>
                          <w:spacing w:before="49"/>
                          <w:ind w:left="15" w:right="249"/>
                          <w:jc w:val="center"/>
                          <w:rPr>
                            <w:sz w:val="20"/>
                          </w:rPr>
                        </w:pPr>
                        <w:r>
                          <w:rPr>
                            <w:sz w:val="20"/>
                          </w:rPr>
                          <w:t>Centro</w:t>
                        </w:r>
                      </w:p>
                    </w:tc>
                    <w:tc>
                      <w:tcPr>
                        <w:tcW w:w="1393" w:type="dxa"/>
                      </w:tcPr>
                      <w:p>
                        <w:pPr>
                          <w:pStyle w:val="TableParagraph"/>
                          <w:spacing w:before="49"/>
                          <w:ind w:left="254" w:right="265"/>
                          <w:jc w:val="center"/>
                          <w:rPr>
                            <w:sz w:val="20"/>
                          </w:rPr>
                        </w:pPr>
                        <w:r>
                          <w:rPr>
                            <w:sz w:val="20"/>
                          </w:rPr>
                          <w:t>277,3131</w:t>
                        </w:r>
                      </w:p>
                    </w:tc>
                    <w:tc>
                      <w:tcPr>
                        <w:tcW w:w="1921" w:type="dxa"/>
                      </w:tcPr>
                      <w:p>
                        <w:pPr>
                          <w:pStyle w:val="TableParagraph"/>
                          <w:spacing w:before="49"/>
                          <w:ind w:left="282" w:right="366"/>
                          <w:jc w:val="center"/>
                          <w:rPr>
                            <w:sz w:val="20"/>
                          </w:rPr>
                        </w:pPr>
                        <w:r>
                          <w:rPr>
                            <w:sz w:val="20"/>
                          </w:rPr>
                          <w:t>2399,246</w:t>
                        </w:r>
                      </w:p>
                    </w:tc>
                    <w:tc>
                      <w:tcPr>
                        <w:tcW w:w="888" w:type="dxa"/>
                      </w:tcPr>
                      <w:p>
                        <w:pPr>
                          <w:pStyle w:val="TableParagraph"/>
                          <w:spacing w:before="49"/>
                          <w:ind w:left="0" w:right="76"/>
                          <w:jc w:val="right"/>
                          <w:rPr>
                            <w:sz w:val="20"/>
                          </w:rPr>
                        </w:pPr>
                        <w:r>
                          <w:rPr>
                            <w:sz w:val="20"/>
                          </w:rPr>
                          <w:t>96,5</w:t>
                        </w:r>
                      </w:p>
                    </w:tc>
                    <w:tc>
                      <w:tcPr>
                        <w:tcW w:w="1965" w:type="dxa"/>
                      </w:tcPr>
                      <w:p>
                        <w:pPr>
                          <w:pStyle w:val="TableParagraph"/>
                          <w:spacing w:before="49"/>
                          <w:ind w:left="1024" w:right="288"/>
                          <w:jc w:val="center"/>
                          <w:rPr>
                            <w:sz w:val="20"/>
                          </w:rPr>
                        </w:pPr>
                        <w:r>
                          <w:rPr>
                            <w:sz w:val="20"/>
                          </w:rPr>
                          <w:t>78,426</w:t>
                        </w:r>
                      </w:p>
                    </w:tc>
                    <w:tc>
                      <w:tcPr>
                        <w:tcW w:w="1431" w:type="dxa"/>
                      </w:tcPr>
                      <w:p>
                        <w:pPr>
                          <w:pStyle w:val="TableParagraph"/>
                          <w:spacing w:before="49"/>
                          <w:ind w:left="0" w:right="327"/>
                          <w:jc w:val="right"/>
                          <w:rPr>
                            <w:sz w:val="20"/>
                          </w:rPr>
                        </w:pPr>
                        <w:r>
                          <w:rPr>
                            <w:w w:val="95"/>
                            <w:sz w:val="20"/>
                          </w:rPr>
                          <w:t>98,62</w:t>
                        </w:r>
                      </w:p>
                    </w:tc>
                  </w:tr>
                  <w:tr>
                    <w:trPr>
                      <w:trHeight w:val="375" w:hRule="exact"/>
                    </w:trPr>
                    <w:tc>
                      <w:tcPr>
                        <w:tcW w:w="1207" w:type="dxa"/>
                      </w:tcPr>
                      <w:p>
                        <w:pPr>
                          <w:pStyle w:val="TableParagraph"/>
                          <w:spacing w:before="49"/>
                          <w:ind w:left="15" w:right="251"/>
                          <w:jc w:val="center"/>
                          <w:rPr>
                            <w:sz w:val="20"/>
                          </w:rPr>
                        </w:pPr>
                        <w:r>
                          <w:rPr>
                            <w:sz w:val="20"/>
                          </w:rPr>
                          <w:t>Oriente</w:t>
                        </w:r>
                      </w:p>
                    </w:tc>
                    <w:tc>
                      <w:tcPr>
                        <w:tcW w:w="1393" w:type="dxa"/>
                      </w:tcPr>
                      <w:p>
                        <w:pPr>
                          <w:pStyle w:val="TableParagraph"/>
                          <w:spacing w:before="49"/>
                          <w:ind w:left="254" w:right="262"/>
                          <w:jc w:val="center"/>
                          <w:rPr>
                            <w:sz w:val="20"/>
                          </w:rPr>
                        </w:pPr>
                        <w:r>
                          <w:rPr>
                            <w:sz w:val="20"/>
                          </w:rPr>
                          <w:t>312,862</w:t>
                        </w:r>
                      </w:p>
                    </w:tc>
                    <w:tc>
                      <w:tcPr>
                        <w:tcW w:w="1921" w:type="dxa"/>
                      </w:tcPr>
                      <w:p>
                        <w:pPr>
                          <w:pStyle w:val="TableParagraph"/>
                          <w:spacing w:before="49"/>
                          <w:ind w:left="282" w:right="366"/>
                          <w:jc w:val="center"/>
                          <w:rPr>
                            <w:sz w:val="20"/>
                          </w:rPr>
                        </w:pPr>
                        <w:r>
                          <w:rPr>
                            <w:sz w:val="20"/>
                          </w:rPr>
                          <w:t>1805,583</w:t>
                        </w:r>
                      </w:p>
                    </w:tc>
                    <w:tc>
                      <w:tcPr>
                        <w:tcW w:w="888" w:type="dxa"/>
                      </w:tcPr>
                      <w:p>
                        <w:pPr>
                          <w:pStyle w:val="TableParagraph"/>
                          <w:spacing w:before="49"/>
                          <w:ind w:left="0" w:right="18"/>
                          <w:jc w:val="right"/>
                          <w:rPr>
                            <w:sz w:val="20"/>
                          </w:rPr>
                        </w:pPr>
                        <w:r>
                          <w:rPr>
                            <w:w w:val="95"/>
                            <w:sz w:val="20"/>
                          </w:rPr>
                          <w:t>96,21</w:t>
                        </w:r>
                      </w:p>
                    </w:tc>
                    <w:tc>
                      <w:tcPr>
                        <w:tcW w:w="1965" w:type="dxa"/>
                      </w:tcPr>
                      <w:p>
                        <w:pPr>
                          <w:pStyle w:val="TableParagraph"/>
                          <w:spacing w:before="49"/>
                          <w:ind w:left="1024" w:right="288"/>
                          <w:jc w:val="center"/>
                          <w:rPr>
                            <w:sz w:val="20"/>
                          </w:rPr>
                        </w:pPr>
                        <w:r>
                          <w:rPr>
                            <w:sz w:val="20"/>
                          </w:rPr>
                          <w:t>78,686</w:t>
                        </w:r>
                      </w:p>
                    </w:tc>
                    <w:tc>
                      <w:tcPr>
                        <w:tcW w:w="1431" w:type="dxa"/>
                      </w:tcPr>
                      <w:p>
                        <w:pPr>
                          <w:pStyle w:val="TableParagraph"/>
                          <w:spacing w:before="49"/>
                          <w:ind w:left="0" w:right="327"/>
                          <w:jc w:val="right"/>
                          <w:rPr>
                            <w:sz w:val="20"/>
                          </w:rPr>
                        </w:pPr>
                        <w:r>
                          <w:rPr>
                            <w:w w:val="95"/>
                            <w:sz w:val="20"/>
                          </w:rPr>
                          <w:t>92,02</w:t>
                        </w:r>
                      </w:p>
                    </w:tc>
                  </w:tr>
                </w:tbl>
                <w:p>
                  <w:pPr>
                    <w:pStyle w:val="BodyText"/>
                  </w:pPr>
                </w:p>
              </w:txbxContent>
            </v:textbox>
            <w10:wrap type="none"/>
          </v:shape>
        </w:pict>
      </w:r>
      <w:r>
        <w:rPr>
          <w:b/>
          <w:sz w:val="20"/>
        </w:rPr>
        <w:t>2005-2007</w:t>
      </w:r>
    </w:p>
    <w:p>
      <w:pPr>
        <w:spacing w:before="74"/>
        <w:ind w:left="227" w:right="324" w:firstLine="0"/>
        <w:jc w:val="center"/>
        <w:rPr>
          <w:b/>
          <w:sz w:val="20"/>
        </w:rPr>
      </w:pPr>
      <w:r>
        <w:rPr/>
        <w:br w:type="column"/>
      </w:r>
      <w:r>
        <w:rPr>
          <w:b/>
          <w:w w:val="95"/>
          <w:sz w:val="20"/>
        </w:rPr>
        <w:t>Porcentaje </w:t>
      </w:r>
      <w:r>
        <w:rPr>
          <w:b/>
          <w:sz w:val="20"/>
        </w:rPr>
        <w:t>de   población</w:t>
      </w:r>
    </w:p>
    <w:p>
      <w:pPr>
        <w:spacing w:after="0"/>
        <w:jc w:val="center"/>
        <w:rPr>
          <w:sz w:val="20"/>
        </w:rPr>
        <w:sectPr>
          <w:type w:val="continuous"/>
          <w:pgSz w:w="11910" w:h="16840"/>
          <w:pgMar w:top="1580" w:bottom="960" w:left="1600" w:right="1140"/>
          <w:cols w:num="5" w:equalWidth="0">
            <w:col w:w="2632" w:space="40"/>
            <w:col w:w="1461" w:space="40"/>
            <w:col w:w="1784" w:space="40"/>
            <w:col w:w="1569" w:space="40"/>
            <w:col w:w="1564"/>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5"/>
        </w:rPr>
      </w:pPr>
    </w:p>
    <w:p>
      <w:pPr>
        <w:spacing w:after="0"/>
        <w:rPr>
          <w:sz w:val="25"/>
        </w:rPr>
        <w:sectPr>
          <w:type w:val="continuous"/>
          <w:pgSz w:w="11910" w:h="16840"/>
          <w:pgMar w:top="1580" w:bottom="960" w:left="1600" w:right="1140"/>
        </w:sectPr>
      </w:pPr>
    </w:p>
    <w:p>
      <w:pPr>
        <w:spacing w:before="74"/>
        <w:ind w:left="1338" w:right="0" w:firstLine="0"/>
        <w:jc w:val="center"/>
        <w:rPr>
          <w:b/>
          <w:sz w:val="20"/>
        </w:rPr>
      </w:pPr>
      <w:r>
        <w:rPr/>
        <w:pict>
          <v:shape style="position:absolute;margin-left:86.834pt;margin-top:45.449146pt;width:432.7pt;height:79.05pt;mso-position-horizontal-relative:page;mso-position-vertical-relative:paragraph;z-index: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5"/>
                    <w:gridCol w:w="1912"/>
                    <w:gridCol w:w="1807"/>
                    <w:gridCol w:w="1595"/>
                    <w:gridCol w:w="1985"/>
                  </w:tblGrid>
                  <w:tr>
                    <w:trPr>
                      <w:trHeight w:val="506" w:hRule="exact"/>
                    </w:trPr>
                    <w:tc>
                      <w:tcPr>
                        <w:tcW w:w="1355" w:type="dxa"/>
                      </w:tcPr>
                      <w:p>
                        <w:pPr>
                          <w:pStyle w:val="TableParagraph"/>
                          <w:spacing w:before="8"/>
                          <w:ind w:left="0"/>
                          <w:rPr>
                            <w:b/>
                            <w:sz w:val="17"/>
                          </w:rPr>
                        </w:pPr>
                      </w:p>
                      <w:p>
                        <w:pPr>
                          <w:pStyle w:val="TableParagraph"/>
                          <w:ind w:left="14" w:right="399"/>
                          <w:jc w:val="center"/>
                          <w:rPr>
                            <w:b/>
                            <w:sz w:val="20"/>
                          </w:rPr>
                        </w:pPr>
                        <w:r>
                          <w:rPr>
                            <w:b/>
                            <w:sz w:val="20"/>
                          </w:rPr>
                          <w:t>Regiones</w:t>
                        </w:r>
                      </w:p>
                    </w:tc>
                    <w:tc>
                      <w:tcPr>
                        <w:tcW w:w="1912" w:type="dxa"/>
                      </w:tcPr>
                      <w:p>
                        <w:pPr>
                          <w:pStyle w:val="TableParagraph"/>
                          <w:spacing w:before="8"/>
                          <w:ind w:left="0"/>
                          <w:rPr>
                            <w:b/>
                            <w:sz w:val="17"/>
                          </w:rPr>
                        </w:pPr>
                      </w:p>
                      <w:p>
                        <w:pPr>
                          <w:pStyle w:val="TableParagraph"/>
                          <w:ind w:left="616"/>
                          <w:rPr>
                            <w:b/>
                            <w:sz w:val="20"/>
                          </w:rPr>
                        </w:pPr>
                        <w:r>
                          <w:rPr>
                            <w:b/>
                            <w:sz w:val="20"/>
                          </w:rPr>
                          <w:t>(ton)</w:t>
                        </w:r>
                      </w:p>
                    </w:tc>
                    <w:tc>
                      <w:tcPr>
                        <w:tcW w:w="1807" w:type="dxa"/>
                      </w:tcPr>
                      <w:p>
                        <w:pPr>
                          <w:pStyle w:val="TableParagraph"/>
                          <w:spacing w:line="204" w:lineRule="exact"/>
                          <w:ind w:left="635" w:right="630"/>
                          <w:jc w:val="center"/>
                          <w:rPr>
                            <w:b/>
                            <w:sz w:val="20"/>
                          </w:rPr>
                        </w:pPr>
                        <w:r>
                          <w:rPr>
                            <w:b/>
                            <w:sz w:val="20"/>
                          </w:rPr>
                          <w:t>2002</w:t>
                        </w:r>
                      </w:p>
                    </w:tc>
                    <w:tc>
                      <w:tcPr>
                        <w:tcW w:w="1595" w:type="dxa"/>
                      </w:tcPr>
                      <w:p>
                        <w:pPr/>
                      </w:p>
                    </w:tc>
                    <w:tc>
                      <w:tcPr>
                        <w:tcW w:w="1985" w:type="dxa"/>
                      </w:tcPr>
                      <w:p>
                        <w:pPr>
                          <w:pStyle w:val="TableParagraph"/>
                          <w:spacing w:before="4"/>
                          <w:ind w:left="0"/>
                          <w:rPr>
                            <w:b/>
                            <w:sz w:val="17"/>
                          </w:rPr>
                        </w:pPr>
                      </w:p>
                      <w:p>
                        <w:pPr>
                          <w:pStyle w:val="TableParagraph"/>
                          <w:ind w:left="424" w:right="14"/>
                          <w:jc w:val="center"/>
                          <w:rPr>
                            <w:b/>
                            <w:sz w:val="20"/>
                          </w:rPr>
                        </w:pPr>
                        <w:r>
                          <w:rPr>
                            <w:b/>
                            <w:sz w:val="20"/>
                          </w:rPr>
                          <w:t>(ton DBO/Km2</w:t>
                        </w:r>
                        <w:r>
                          <w:rPr>
                            <w:b/>
                            <w:position w:val="7"/>
                            <w:sz w:val="13"/>
                          </w:rPr>
                          <w:t>4</w:t>
                        </w:r>
                        <w:r>
                          <w:rPr>
                            <w:b/>
                            <w:sz w:val="20"/>
                          </w:rPr>
                          <w:t>)</w:t>
                        </w:r>
                      </w:p>
                    </w:tc>
                  </w:tr>
                  <w:tr>
                    <w:trPr>
                      <w:trHeight w:val="350" w:hRule="exact"/>
                    </w:trPr>
                    <w:tc>
                      <w:tcPr>
                        <w:tcW w:w="1355" w:type="dxa"/>
                      </w:tcPr>
                      <w:p>
                        <w:pPr>
                          <w:pStyle w:val="TableParagraph"/>
                          <w:spacing w:before="50"/>
                          <w:ind w:left="14" w:right="399"/>
                          <w:jc w:val="center"/>
                          <w:rPr>
                            <w:sz w:val="20"/>
                          </w:rPr>
                        </w:pPr>
                        <w:r>
                          <w:rPr>
                            <w:sz w:val="20"/>
                          </w:rPr>
                          <w:t>Occidente</w:t>
                        </w:r>
                      </w:p>
                    </w:tc>
                    <w:tc>
                      <w:tcPr>
                        <w:tcW w:w="1912" w:type="dxa"/>
                      </w:tcPr>
                      <w:p>
                        <w:pPr>
                          <w:pStyle w:val="TableParagraph"/>
                          <w:spacing w:before="50"/>
                          <w:ind w:left="0" w:right="712"/>
                          <w:jc w:val="right"/>
                          <w:rPr>
                            <w:sz w:val="20"/>
                          </w:rPr>
                        </w:pPr>
                        <w:r>
                          <w:rPr>
                            <w:sz w:val="20"/>
                          </w:rPr>
                          <w:t>0,06597</w:t>
                        </w:r>
                      </w:p>
                    </w:tc>
                    <w:tc>
                      <w:tcPr>
                        <w:tcW w:w="1807" w:type="dxa"/>
                      </w:tcPr>
                      <w:p>
                        <w:pPr>
                          <w:pStyle w:val="TableParagraph"/>
                          <w:spacing w:before="50"/>
                          <w:ind w:left="635" w:right="630"/>
                          <w:jc w:val="center"/>
                          <w:rPr>
                            <w:sz w:val="20"/>
                          </w:rPr>
                        </w:pPr>
                        <w:r>
                          <w:rPr>
                            <w:sz w:val="20"/>
                          </w:rPr>
                          <w:t>66,58</w:t>
                        </w:r>
                      </w:p>
                    </w:tc>
                    <w:tc>
                      <w:tcPr>
                        <w:tcW w:w="1595" w:type="dxa"/>
                      </w:tcPr>
                      <w:p>
                        <w:pPr>
                          <w:pStyle w:val="TableParagraph"/>
                          <w:spacing w:before="50"/>
                          <w:ind w:left="650"/>
                          <w:rPr>
                            <w:sz w:val="20"/>
                          </w:rPr>
                        </w:pPr>
                        <w:r>
                          <w:rPr>
                            <w:sz w:val="20"/>
                          </w:rPr>
                          <w:t>97,68</w:t>
                        </w:r>
                      </w:p>
                    </w:tc>
                    <w:tc>
                      <w:tcPr>
                        <w:tcW w:w="1985" w:type="dxa"/>
                      </w:tcPr>
                      <w:p>
                        <w:pPr>
                          <w:pStyle w:val="TableParagraph"/>
                          <w:spacing w:before="50"/>
                          <w:ind w:left="419" w:right="14"/>
                          <w:jc w:val="center"/>
                          <w:rPr>
                            <w:sz w:val="20"/>
                          </w:rPr>
                        </w:pPr>
                        <w:r>
                          <w:rPr>
                            <w:sz w:val="20"/>
                          </w:rPr>
                          <w:t>1,982995</w:t>
                        </w:r>
                      </w:p>
                    </w:tc>
                  </w:tr>
                  <w:tr>
                    <w:trPr>
                      <w:trHeight w:val="349" w:hRule="exact"/>
                    </w:trPr>
                    <w:tc>
                      <w:tcPr>
                        <w:tcW w:w="1355" w:type="dxa"/>
                      </w:tcPr>
                      <w:p>
                        <w:pPr>
                          <w:pStyle w:val="TableParagraph"/>
                          <w:spacing w:before="48"/>
                          <w:ind w:left="11" w:right="399"/>
                          <w:jc w:val="center"/>
                          <w:rPr>
                            <w:sz w:val="20"/>
                          </w:rPr>
                        </w:pPr>
                        <w:r>
                          <w:rPr>
                            <w:sz w:val="20"/>
                          </w:rPr>
                          <w:t>Centro</w:t>
                        </w:r>
                      </w:p>
                    </w:tc>
                    <w:tc>
                      <w:tcPr>
                        <w:tcW w:w="1912" w:type="dxa"/>
                      </w:tcPr>
                      <w:p>
                        <w:pPr>
                          <w:pStyle w:val="TableParagraph"/>
                          <w:spacing w:before="48"/>
                          <w:ind w:left="0" w:right="654"/>
                          <w:jc w:val="right"/>
                          <w:rPr>
                            <w:sz w:val="20"/>
                          </w:rPr>
                        </w:pPr>
                        <w:r>
                          <w:rPr>
                            <w:w w:val="95"/>
                            <w:sz w:val="20"/>
                          </w:rPr>
                          <w:t>0,062771</w:t>
                        </w:r>
                      </w:p>
                    </w:tc>
                    <w:tc>
                      <w:tcPr>
                        <w:tcW w:w="1807" w:type="dxa"/>
                      </w:tcPr>
                      <w:p>
                        <w:pPr>
                          <w:pStyle w:val="TableParagraph"/>
                          <w:spacing w:before="48"/>
                          <w:ind w:left="635" w:right="630"/>
                          <w:jc w:val="center"/>
                          <w:rPr>
                            <w:sz w:val="20"/>
                          </w:rPr>
                        </w:pPr>
                        <w:r>
                          <w:rPr>
                            <w:sz w:val="20"/>
                          </w:rPr>
                          <w:t>70,02</w:t>
                        </w:r>
                      </w:p>
                    </w:tc>
                    <w:tc>
                      <w:tcPr>
                        <w:tcW w:w="1595" w:type="dxa"/>
                      </w:tcPr>
                      <w:p>
                        <w:pPr>
                          <w:pStyle w:val="TableParagraph"/>
                          <w:spacing w:before="48"/>
                          <w:ind w:left="768" w:right="563"/>
                          <w:jc w:val="center"/>
                          <w:rPr>
                            <w:sz w:val="20"/>
                          </w:rPr>
                        </w:pPr>
                        <w:r>
                          <w:rPr>
                            <w:sz w:val="20"/>
                          </w:rPr>
                          <w:t>97</w:t>
                        </w:r>
                      </w:p>
                    </w:tc>
                    <w:tc>
                      <w:tcPr>
                        <w:tcW w:w="1985" w:type="dxa"/>
                      </w:tcPr>
                      <w:p>
                        <w:pPr>
                          <w:pStyle w:val="TableParagraph"/>
                          <w:spacing w:before="48"/>
                          <w:ind w:left="409"/>
                          <w:jc w:val="center"/>
                          <w:rPr>
                            <w:sz w:val="20"/>
                          </w:rPr>
                        </w:pPr>
                        <w:r>
                          <w:rPr>
                            <w:w w:val="99"/>
                            <w:sz w:val="20"/>
                          </w:rPr>
                          <w:t>1</w:t>
                        </w:r>
                      </w:p>
                    </w:tc>
                  </w:tr>
                  <w:tr>
                    <w:trPr>
                      <w:trHeight w:val="375" w:hRule="exact"/>
                    </w:trPr>
                    <w:tc>
                      <w:tcPr>
                        <w:tcW w:w="1355" w:type="dxa"/>
                      </w:tcPr>
                      <w:p>
                        <w:pPr>
                          <w:pStyle w:val="TableParagraph"/>
                          <w:spacing w:before="49"/>
                          <w:ind w:left="14" w:right="399"/>
                          <w:jc w:val="center"/>
                          <w:rPr>
                            <w:sz w:val="20"/>
                          </w:rPr>
                        </w:pPr>
                        <w:r>
                          <w:rPr>
                            <w:sz w:val="20"/>
                          </w:rPr>
                          <w:t>Oriente</w:t>
                        </w:r>
                      </w:p>
                    </w:tc>
                    <w:tc>
                      <w:tcPr>
                        <w:tcW w:w="1912" w:type="dxa"/>
                      </w:tcPr>
                      <w:p>
                        <w:pPr>
                          <w:pStyle w:val="TableParagraph"/>
                          <w:spacing w:before="49"/>
                          <w:ind w:left="0" w:right="654"/>
                          <w:jc w:val="right"/>
                          <w:rPr>
                            <w:sz w:val="20"/>
                          </w:rPr>
                        </w:pPr>
                        <w:r>
                          <w:rPr>
                            <w:w w:val="95"/>
                            <w:sz w:val="20"/>
                          </w:rPr>
                          <w:t>0,058059</w:t>
                        </w:r>
                      </w:p>
                    </w:tc>
                    <w:tc>
                      <w:tcPr>
                        <w:tcW w:w="1807" w:type="dxa"/>
                      </w:tcPr>
                      <w:p>
                        <w:pPr>
                          <w:pStyle w:val="TableParagraph"/>
                          <w:spacing w:before="49"/>
                          <w:ind w:left="635" w:right="629"/>
                          <w:jc w:val="center"/>
                          <w:rPr>
                            <w:sz w:val="20"/>
                          </w:rPr>
                        </w:pPr>
                        <w:r>
                          <w:rPr>
                            <w:sz w:val="20"/>
                          </w:rPr>
                          <w:t>69,98</w:t>
                        </w:r>
                      </w:p>
                    </w:tc>
                    <w:tc>
                      <w:tcPr>
                        <w:tcW w:w="1595" w:type="dxa"/>
                      </w:tcPr>
                      <w:p>
                        <w:pPr>
                          <w:pStyle w:val="TableParagraph"/>
                          <w:spacing w:before="49"/>
                          <w:ind w:left="708"/>
                          <w:rPr>
                            <w:sz w:val="20"/>
                          </w:rPr>
                        </w:pPr>
                        <w:r>
                          <w:rPr>
                            <w:sz w:val="20"/>
                          </w:rPr>
                          <w:t>97,2</w:t>
                        </w:r>
                      </w:p>
                    </w:tc>
                    <w:tc>
                      <w:tcPr>
                        <w:tcW w:w="1985" w:type="dxa"/>
                      </w:tcPr>
                      <w:p>
                        <w:pPr>
                          <w:pStyle w:val="TableParagraph"/>
                          <w:spacing w:before="49"/>
                          <w:ind w:left="409"/>
                          <w:jc w:val="center"/>
                          <w:rPr>
                            <w:sz w:val="20"/>
                          </w:rPr>
                        </w:pPr>
                        <w:r>
                          <w:rPr>
                            <w:w w:val="99"/>
                            <w:sz w:val="20"/>
                          </w:rPr>
                          <w:t>1</w:t>
                        </w:r>
                      </w:p>
                    </w:tc>
                  </w:tr>
                </w:tbl>
                <w:p>
                  <w:pPr>
                    <w:pStyle w:val="BodyText"/>
                  </w:pPr>
                </w:p>
              </w:txbxContent>
            </v:textbox>
            <w10:wrap type="none"/>
          </v:shape>
        </w:pict>
      </w:r>
      <w:r>
        <w:rPr>
          <w:b/>
          <w:sz w:val="20"/>
        </w:rPr>
        <w:t>Consumo</w:t>
      </w:r>
      <w:r>
        <w:rPr>
          <w:b/>
          <w:spacing w:val="-6"/>
          <w:sz w:val="20"/>
        </w:rPr>
        <w:t> </w:t>
      </w:r>
      <w:r>
        <w:rPr>
          <w:b/>
          <w:sz w:val="20"/>
        </w:rPr>
        <w:t>energético</w:t>
      </w:r>
      <w:r>
        <w:rPr>
          <w:b/>
          <w:w w:val="99"/>
          <w:sz w:val="20"/>
        </w:rPr>
        <w:t> </w:t>
      </w:r>
      <w:r>
        <w:rPr>
          <w:b/>
          <w:sz w:val="20"/>
        </w:rPr>
        <w:t>en el sector residencial per cápita,</w:t>
      </w:r>
      <w:r>
        <w:rPr>
          <w:b/>
          <w:spacing w:val="-5"/>
          <w:sz w:val="20"/>
        </w:rPr>
        <w:t> </w:t>
      </w:r>
      <w:r>
        <w:rPr>
          <w:b/>
          <w:sz w:val="20"/>
        </w:rPr>
        <w:t>2008</w:t>
      </w:r>
    </w:p>
    <w:p>
      <w:pPr>
        <w:spacing w:before="74"/>
        <w:ind w:left="293" w:right="0" w:firstLine="0"/>
        <w:jc w:val="center"/>
        <w:rPr>
          <w:b/>
          <w:sz w:val="20"/>
        </w:rPr>
      </w:pPr>
      <w:r>
        <w:rPr/>
        <w:br w:type="column"/>
      </w:r>
      <w:r>
        <w:rPr>
          <w:b/>
          <w:sz w:val="20"/>
        </w:rPr>
        <w:t>Porcentaje</w:t>
      </w:r>
      <w:r>
        <w:rPr>
          <w:b/>
          <w:spacing w:val="-5"/>
          <w:sz w:val="20"/>
        </w:rPr>
        <w:t> </w:t>
      </w:r>
      <w:r>
        <w:rPr>
          <w:b/>
          <w:sz w:val="20"/>
        </w:rPr>
        <w:t>de</w:t>
      </w:r>
      <w:r>
        <w:rPr>
          <w:b/>
          <w:w w:val="99"/>
          <w:sz w:val="20"/>
        </w:rPr>
        <w:t> </w:t>
      </w:r>
      <w:r>
        <w:rPr>
          <w:b/>
          <w:sz w:val="20"/>
        </w:rPr>
        <w:t>hogares nucleares,</w:t>
      </w:r>
    </w:p>
    <w:p>
      <w:pPr>
        <w:spacing w:before="74"/>
        <w:ind w:left="450" w:right="0" w:firstLine="0"/>
        <w:jc w:val="center"/>
        <w:rPr>
          <w:b/>
          <w:sz w:val="20"/>
        </w:rPr>
      </w:pPr>
      <w:r>
        <w:rPr/>
        <w:br w:type="column"/>
      </w:r>
      <w:r>
        <w:rPr>
          <w:b/>
          <w:sz w:val="20"/>
        </w:rPr>
        <w:t>Porcentaje</w:t>
      </w:r>
      <w:r>
        <w:rPr>
          <w:b/>
          <w:spacing w:val="-5"/>
          <w:sz w:val="20"/>
        </w:rPr>
        <w:t> </w:t>
      </w:r>
      <w:r>
        <w:rPr>
          <w:b/>
          <w:sz w:val="20"/>
        </w:rPr>
        <w:t>de</w:t>
      </w:r>
      <w:r>
        <w:rPr>
          <w:b/>
          <w:w w:val="99"/>
          <w:sz w:val="20"/>
        </w:rPr>
        <w:t> </w:t>
      </w:r>
      <w:r>
        <w:rPr>
          <w:b/>
          <w:sz w:val="20"/>
        </w:rPr>
        <w:t>votantes</w:t>
      </w:r>
    </w:p>
    <w:p>
      <w:pPr>
        <w:spacing w:before="120"/>
        <w:ind w:left="446" w:right="0" w:firstLine="0"/>
        <w:jc w:val="center"/>
        <w:rPr>
          <w:b/>
          <w:sz w:val="20"/>
        </w:rPr>
      </w:pPr>
      <w:r>
        <w:rPr>
          <w:b/>
          <w:sz w:val="20"/>
        </w:rPr>
        <w:t>2007-2008</w:t>
      </w:r>
    </w:p>
    <w:p>
      <w:pPr>
        <w:spacing w:before="74"/>
        <w:ind w:left="296" w:right="261" w:firstLine="1"/>
        <w:jc w:val="center"/>
        <w:rPr>
          <w:b/>
          <w:sz w:val="20"/>
        </w:rPr>
      </w:pPr>
      <w:r>
        <w:rPr/>
        <w:br w:type="column"/>
      </w:r>
      <w:r>
        <w:rPr>
          <w:b/>
          <w:sz w:val="20"/>
        </w:rPr>
        <w:t>Carga contaminante dispuesta por Km2 al año, 2008</w:t>
      </w:r>
    </w:p>
    <w:p>
      <w:pPr>
        <w:spacing w:after="0"/>
        <w:jc w:val="center"/>
        <w:rPr>
          <w:sz w:val="20"/>
        </w:rPr>
        <w:sectPr>
          <w:type w:val="continuous"/>
          <w:pgSz w:w="11910" w:h="16840"/>
          <w:pgMar w:top="1580" w:bottom="960" w:left="1600" w:right="1140"/>
          <w:cols w:num="4" w:equalWidth="0">
            <w:col w:w="3324" w:space="40"/>
            <w:col w:w="1604" w:space="40"/>
            <w:col w:w="1761" w:space="40"/>
            <w:col w:w="2361"/>
          </w:cols>
        </w:sectPr>
      </w:pPr>
    </w:p>
    <w:p>
      <w:pPr>
        <w:pStyle w:val="BodyText"/>
        <w:rPr>
          <w:b/>
          <w:sz w:val="20"/>
        </w:rPr>
      </w:pPr>
    </w:p>
    <w:p>
      <w:pPr>
        <w:pStyle w:val="BodyText"/>
        <w:rPr>
          <w:b/>
          <w:sz w:val="20"/>
        </w:rPr>
      </w:pPr>
    </w:p>
    <w:p>
      <w:pPr>
        <w:pStyle w:val="BodyText"/>
        <w:spacing w:before="2"/>
        <w:rPr>
          <w:b/>
          <w:sz w:val="17"/>
        </w:rPr>
      </w:pPr>
    </w:p>
    <w:p>
      <w:pPr>
        <w:pStyle w:val="BodyText"/>
        <w:spacing w:before="72"/>
        <w:ind w:left="810"/>
      </w:pPr>
      <w:r>
        <w:rPr/>
        <w:t>Para el cálculo del ITDHE se empleó la fórmula:</w:t>
      </w:r>
    </w:p>
    <w:p>
      <w:pPr>
        <w:pStyle w:val="BodyText"/>
        <w:rPr>
          <w:sz w:val="27"/>
        </w:rPr>
      </w:pPr>
    </w:p>
    <w:p>
      <w:pPr>
        <w:spacing w:before="62"/>
        <w:ind w:left="146" w:right="0" w:firstLine="0"/>
        <w:jc w:val="left"/>
        <w:rPr>
          <w:rFonts w:ascii="Times New Roman" w:hAnsi="Times New Roman"/>
          <w:sz w:val="24"/>
        </w:rPr>
      </w:pPr>
      <w:r>
        <w:rPr/>
        <w:pict>
          <v:line style="position:absolute;mso-position-horizontal-relative:page;mso-position-vertical-relative:paragraph;z-index:-40624" from="338.79206pt,5.974838pt" to="334.856354pt,18.258736pt" stroked="true" strokeweight=".45976pt" strokecolor="#000000">
            <w10:wrap type="none"/>
          </v:line>
        </w:pict>
      </w:r>
      <w:r>
        <w:rPr>
          <w:rFonts w:ascii="Times New Roman" w:hAnsi="Times New Roman"/>
          <w:i/>
          <w:w w:val="600"/>
          <w:sz w:val="24"/>
        </w:rPr>
        <w:t>I</w:t>
      </w:r>
      <w:r>
        <w:rPr>
          <w:rFonts w:ascii="Times New Roman" w:hAnsi="Times New Roman"/>
          <w:i/>
          <w:spacing w:val="-714"/>
          <w:w w:val="600"/>
          <w:sz w:val="24"/>
        </w:rPr>
        <w:t>T</w:t>
      </w:r>
      <w:r>
        <w:rPr>
          <w:rFonts w:ascii="Symbol" w:hAnsi="Symbol"/>
          <w:spacing w:val="-734"/>
          <w:w w:val="600"/>
          <w:sz w:val="24"/>
        </w:rPr>
        <w:t></w:t>
      </w:r>
      <w:r>
        <w:rPr>
          <w:rFonts w:ascii="Times New Roman" w:hAnsi="Times New Roman"/>
          <w:spacing w:val="-465"/>
          <w:w w:val="600"/>
          <w:sz w:val="24"/>
        </w:rPr>
        <w:t>(</w:t>
      </w:r>
      <w:r>
        <w:rPr>
          <w:rFonts w:ascii="Times New Roman" w:hAnsi="Times New Roman"/>
          <w:i/>
          <w:spacing w:val="-822"/>
          <w:w w:val="600"/>
          <w:sz w:val="24"/>
        </w:rPr>
        <w:t>L</w:t>
      </w:r>
      <w:r>
        <w:rPr>
          <w:rFonts w:ascii="Times New Roman" w:hAnsi="Times New Roman"/>
          <w:spacing w:val="-361"/>
          <w:w w:val="600"/>
          <w:position w:val="-5"/>
          <w:sz w:val="14"/>
        </w:rPr>
        <w:t>1</w:t>
      </w:r>
      <w:r>
        <w:rPr>
          <w:rFonts w:ascii="Symbol" w:hAnsi="Symbol"/>
          <w:spacing w:val="-729"/>
          <w:w w:val="600"/>
          <w:sz w:val="24"/>
        </w:rPr>
        <w:t></w:t>
      </w:r>
      <w:r>
        <w:rPr>
          <w:rFonts w:ascii="Times New Roman" w:hAnsi="Times New Roman"/>
          <w:i/>
          <w:spacing w:val="-925"/>
          <w:w w:val="600"/>
          <w:sz w:val="24"/>
        </w:rPr>
        <w:t>L</w:t>
      </w:r>
      <w:r>
        <w:rPr>
          <w:rFonts w:ascii="Times New Roman" w:hAnsi="Times New Roman"/>
          <w:i/>
          <w:spacing w:val="-1091"/>
          <w:w w:val="600"/>
          <w:sz w:val="24"/>
        </w:rPr>
        <w:t>D</w:t>
      </w:r>
      <w:r>
        <w:rPr>
          <w:rFonts w:ascii="Times New Roman" w:hAnsi="Times New Roman"/>
          <w:spacing w:val="-350"/>
          <w:w w:val="600"/>
          <w:position w:val="-5"/>
          <w:sz w:val="14"/>
        </w:rPr>
        <w:t>2</w:t>
      </w:r>
      <w:r>
        <w:rPr>
          <w:rFonts w:ascii="Symbol" w:hAnsi="Symbol"/>
          <w:spacing w:val="-729"/>
          <w:w w:val="600"/>
          <w:sz w:val="24"/>
        </w:rPr>
        <w:t></w:t>
      </w:r>
      <w:r>
        <w:rPr>
          <w:rFonts w:ascii="Times New Roman" w:hAnsi="Times New Roman"/>
          <w:i/>
          <w:spacing w:val="-811"/>
          <w:w w:val="600"/>
          <w:sz w:val="24"/>
        </w:rPr>
        <w:t>L</w:t>
      </w:r>
      <w:r>
        <w:rPr>
          <w:rFonts w:ascii="Times New Roman" w:hAnsi="Times New Roman"/>
          <w:spacing w:val="-354"/>
          <w:w w:val="600"/>
          <w:position w:val="-5"/>
          <w:sz w:val="14"/>
        </w:rPr>
        <w:t>3</w:t>
      </w:r>
      <w:r>
        <w:rPr>
          <w:rFonts w:ascii="Symbol" w:hAnsi="Symbol"/>
          <w:spacing w:val="-729"/>
          <w:w w:val="600"/>
          <w:sz w:val="24"/>
        </w:rPr>
        <w:t></w:t>
      </w:r>
      <w:r>
        <w:rPr>
          <w:rFonts w:ascii="Times New Roman" w:hAnsi="Times New Roman"/>
          <w:i/>
          <w:spacing w:val="-807"/>
          <w:w w:val="600"/>
          <w:sz w:val="24"/>
        </w:rPr>
        <w:t>L</w:t>
      </w:r>
      <w:r>
        <w:rPr>
          <w:rFonts w:ascii="Times New Roman" w:hAnsi="Times New Roman"/>
          <w:spacing w:val="-350"/>
          <w:w w:val="600"/>
          <w:position w:val="-5"/>
          <w:sz w:val="14"/>
        </w:rPr>
        <w:t>4</w:t>
      </w:r>
      <w:r>
        <w:rPr>
          <w:rFonts w:ascii="Symbol" w:hAnsi="Symbol"/>
          <w:spacing w:val="-870"/>
          <w:w w:val="600"/>
          <w:sz w:val="24"/>
        </w:rPr>
        <w:t></w:t>
      </w:r>
      <w:r>
        <w:rPr>
          <w:rFonts w:ascii="Times New Roman" w:hAnsi="Times New Roman"/>
          <w:i/>
          <w:spacing w:val="-1069"/>
          <w:w w:val="600"/>
          <w:sz w:val="24"/>
        </w:rPr>
        <w:t>H</w:t>
      </w:r>
      <w:r>
        <w:rPr>
          <w:rFonts w:ascii="Times New Roman" w:hAnsi="Times New Roman"/>
          <w:i/>
          <w:spacing w:val="-811"/>
          <w:w w:val="600"/>
          <w:sz w:val="24"/>
        </w:rPr>
        <w:t>L</w:t>
      </w:r>
      <w:r>
        <w:rPr>
          <w:rFonts w:ascii="Times New Roman" w:hAnsi="Times New Roman"/>
          <w:spacing w:val="-351"/>
          <w:w w:val="600"/>
          <w:position w:val="-5"/>
          <w:sz w:val="14"/>
        </w:rPr>
        <w:t>5</w:t>
      </w:r>
      <w:r>
        <w:rPr>
          <w:rFonts w:ascii="Symbol" w:hAnsi="Symbol"/>
          <w:spacing w:val="-729"/>
          <w:w w:val="600"/>
          <w:sz w:val="24"/>
        </w:rPr>
        <w:t></w:t>
      </w:r>
      <w:r>
        <w:rPr>
          <w:rFonts w:ascii="Times New Roman" w:hAnsi="Times New Roman"/>
          <w:i/>
          <w:spacing w:val="-809"/>
          <w:w w:val="600"/>
          <w:sz w:val="24"/>
        </w:rPr>
        <w:t>L</w:t>
      </w:r>
      <w:r>
        <w:rPr>
          <w:rFonts w:ascii="Times New Roman" w:hAnsi="Times New Roman"/>
          <w:spacing w:val="-350"/>
          <w:w w:val="600"/>
          <w:position w:val="-5"/>
          <w:sz w:val="14"/>
        </w:rPr>
        <w:t>6</w:t>
      </w:r>
      <w:r>
        <w:rPr>
          <w:rFonts w:ascii="Symbol" w:hAnsi="Symbol"/>
          <w:spacing w:val="-729"/>
          <w:w w:val="600"/>
          <w:sz w:val="24"/>
        </w:rPr>
        <w:t></w:t>
      </w:r>
      <w:r>
        <w:rPr>
          <w:rFonts w:ascii="Times New Roman" w:hAnsi="Times New Roman"/>
          <w:i/>
          <w:spacing w:val="-809"/>
          <w:w w:val="600"/>
          <w:sz w:val="24"/>
        </w:rPr>
        <w:t>L</w:t>
      </w:r>
      <w:r>
        <w:rPr>
          <w:rFonts w:ascii="Times New Roman" w:hAnsi="Times New Roman"/>
          <w:spacing w:val="-444"/>
          <w:w w:val="600"/>
          <w:position w:val="-5"/>
          <w:sz w:val="14"/>
        </w:rPr>
        <w:t>7</w:t>
      </w:r>
      <w:r>
        <w:rPr>
          <w:rFonts w:ascii="Times New Roman" w:hAnsi="Times New Roman"/>
          <w:i/>
          <w:spacing w:val="-926"/>
          <w:w w:val="600"/>
          <w:sz w:val="24"/>
        </w:rPr>
        <w:t>E</w:t>
      </w:r>
      <w:r>
        <w:rPr>
          <w:rFonts w:ascii="Symbol" w:hAnsi="Symbol"/>
          <w:spacing w:val="-729"/>
          <w:w w:val="600"/>
          <w:sz w:val="24"/>
        </w:rPr>
        <w:t></w:t>
      </w:r>
      <w:r>
        <w:rPr>
          <w:rFonts w:ascii="Times New Roman" w:hAnsi="Times New Roman"/>
          <w:i/>
          <w:spacing w:val="-813"/>
          <w:w w:val="600"/>
          <w:sz w:val="24"/>
        </w:rPr>
        <w:t>L</w:t>
      </w:r>
      <w:r>
        <w:rPr>
          <w:rFonts w:ascii="Times New Roman" w:hAnsi="Times New Roman"/>
          <w:spacing w:val="-351"/>
          <w:w w:val="600"/>
          <w:position w:val="-5"/>
          <w:sz w:val="14"/>
        </w:rPr>
        <w:t>8</w:t>
      </w:r>
      <w:r>
        <w:rPr>
          <w:rFonts w:ascii="Symbol" w:hAnsi="Symbol"/>
          <w:spacing w:val="-729"/>
          <w:w w:val="600"/>
          <w:sz w:val="24"/>
        </w:rPr>
        <w:t></w:t>
      </w:r>
      <w:r>
        <w:rPr>
          <w:rFonts w:ascii="Times New Roman" w:hAnsi="Times New Roman"/>
          <w:i/>
          <w:spacing w:val="-811"/>
          <w:w w:val="600"/>
          <w:sz w:val="24"/>
        </w:rPr>
        <w:t>L</w:t>
      </w:r>
      <w:r>
        <w:rPr>
          <w:rFonts w:ascii="Times New Roman" w:hAnsi="Times New Roman"/>
          <w:spacing w:val="-395"/>
          <w:w w:val="600"/>
          <w:position w:val="-5"/>
          <w:sz w:val="14"/>
        </w:rPr>
        <w:t>9</w:t>
      </w:r>
      <w:r>
        <w:rPr>
          <w:rFonts w:ascii="Times New Roman" w:hAnsi="Times New Roman"/>
          <w:w w:val="600"/>
          <w:sz w:val="24"/>
        </w:rPr>
        <w:t>)</w:t>
      </w:r>
    </w:p>
    <w:p>
      <w:pPr>
        <w:pStyle w:val="BodyText"/>
        <w:spacing w:before="6"/>
        <w:rPr>
          <w:rFonts w:ascii="Times New Roman"/>
          <w:sz w:val="28"/>
        </w:rPr>
      </w:pPr>
    </w:p>
    <w:p>
      <w:pPr>
        <w:pStyle w:val="BodyText"/>
        <w:spacing w:line="480" w:lineRule="auto" w:before="72"/>
        <w:ind w:left="102" w:right="108" w:firstLine="707"/>
        <w:jc w:val="both"/>
      </w:pPr>
      <w:r>
        <w:rPr>
          <w:position w:val="2"/>
        </w:rPr>
        <w:t>Referente a la ponderación de cada indicador (</w:t>
      </w:r>
      <w:r>
        <w:rPr>
          <w:i/>
          <w:position w:val="2"/>
        </w:rPr>
        <w:t>L</w:t>
      </w:r>
      <w:r>
        <w:rPr>
          <w:i/>
          <w:sz w:val="14"/>
        </w:rPr>
        <w:t>n</w:t>
      </w:r>
      <w:r>
        <w:rPr>
          <w:position w:val="2"/>
        </w:rPr>
        <w:t>), se analizaron dos alternativas </w:t>
      </w:r>
      <w:r>
        <w:rPr/>
        <w:t>posibles:</w:t>
      </w:r>
      <w:r>
        <w:rPr>
          <w:spacing w:val="-7"/>
        </w:rPr>
        <w:t> </w:t>
      </w:r>
      <w:r>
        <w:rPr/>
        <w:t>una</w:t>
      </w:r>
      <w:r>
        <w:rPr>
          <w:spacing w:val="-8"/>
        </w:rPr>
        <w:t> </w:t>
      </w:r>
      <w:r>
        <w:rPr/>
        <w:t>en</w:t>
      </w:r>
      <w:r>
        <w:rPr>
          <w:spacing w:val="-10"/>
        </w:rPr>
        <w:t> </w:t>
      </w:r>
      <w:r>
        <w:rPr/>
        <w:t>que</w:t>
      </w:r>
      <w:r>
        <w:rPr>
          <w:spacing w:val="-8"/>
        </w:rPr>
        <w:t> </w:t>
      </w:r>
      <w:r>
        <w:rPr/>
        <w:t>cada</w:t>
      </w:r>
      <w:r>
        <w:rPr>
          <w:spacing w:val="-8"/>
        </w:rPr>
        <w:t> </w:t>
      </w:r>
      <w:r>
        <w:rPr/>
        <w:t>componente</w:t>
      </w:r>
      <w:r>
        <w:rPr>
          <w:spacing w:val="-8"/>
        </w:rPr>
        <w:t> </w:t>
      </w:r>
      <w:r>
        <w:rPr/>
        <w:t>tiene</w:t>
      </w:r>
      <w:r>
        <w:rPr>
          <w:spacing w:val="-8"/>
        </w:rPr>
        <w:t> </w:t>
      </w:r>
      <w:r>
        <w:rPr/>
        <w:t>un</w:t>
      </w:r>
      <w:r>
        <w:rPr>
          <w:spacing w:val="-8"/>
        </w:rPr>
        <w:t> </w:t>
      </w:r>
      <w:r>
        <w:rPr/>
        <w:t>peso</w:t>
      </w:r>
      <w:r>
        <w:rPr>
          <w:spacing w:val="-8"/>
        </w:rPr>
        <w:t> </w:t>
      </w:r>
      <w:r>
        <w:rPr/>
        <w:t>proporcional</w:t>
      </w:r>
      <w:r>
        <w:rPr>
          <w:spacing w:val="-9"/>
        </w:rPr>
        <w:t> </w:t>
      </w:r>
      <w:r>
        <w:rPr/>
        <w:t>al</w:t>
      </w:r>
      <w:r>
        <w:rPr>
          <w:spacing w:val="-9"/>
        </w:rPr>
        <w:t> </w:t>
      </w:r>
      <w:r>
        <w:rPr/>
        <w:t>número</w:t>
      </w:r>
      <w:r>
        <w:rPr>
          <w:spacing w:val="-8"/>
        </w:rPr>
        <w:t> </w:t>
      </w:r>
      <w:r>
        <w:rPr/>
        <w:t>de</w:t>
      </w:r>
      <w:r>
        <w:rPr>
          <w:spacing w:val="-5"/>
        </w:rPr>
        <w:t> </w:t>
      </w:r>
      <w:r>
        <w:rPr/>
        <w:t>indicadores que</w:t>
      </w:r>
      <w:r>
        <w:rPr>
          <w:spacing w:val="-6"/>
        </w:rPr>
        <w:t> </w:t>
      </w:r>
      <w:r>
        <w:rPr/>
        <w:t>lo</w:t>
      </w:r>
      <w:r>
        <w:rPr>
          <w:spacing w:val="-5"/>
        </w:rPr>
        <w:t> </w:t>
      </w:r>
      <w:r>
        <w:rPr/>
        <w:t>integran</w:t>
      </w:r>
      <w:r>
        <w:rPr>
          <w:spacing w:val="-6"/>
        </w:rPr>
        <w:t> </w:t>
      </w:r>
      <w:r>
        <w:rPr/>
        <w:t>y</w:t>
      </w:r>
      <w:r>
        <w:rPr>
          <w:spacing w:val="-5"/>
        </w:rPr>
        <w:t> </w:t>
      </w:r>
      <w:r>
        <w:rPr/>
        <w:t>otra</w:t>
      </w:r>
      <w:r>
        <w:rPr>
          <w:spacing w:val="-3"/>
        </w:rPr>
        <w:t> </w:t>
      </w:r>
      <w:r>
        <w:rPr/>
        <w:t>en</w:t>
      </w:r>
      <w:r>
        <w:rPr>
          <w:spacing w:val="-5"/>
        </w:rPr>
        <w:t> </w:t>
      </w:r>
      <w:r>
        <w:rPr/>
        <w:t>que</w:t>
      </w:r>
      <w:r>
        <w:rPr>
          <w:spacing w:val="-6"/>
        </w:rPr>
        <w:t> </w:t>
      </w:r>
      <w:r>
        <w:rPr/>
        <w:t>el</w:t>
      </w:r>
      <w:r>
        <w:rPr>
          <w:spacing w:val="-6"/>
        </w:rPr>
        <w:t> </w:t>
      </w:r>
      <w:r>
        <w:rPr/>
        <w:t>peso</w:t>
      </w:r>
      <w:r>
        <w:rPr>
          <w:spacing w:val="-5"/>
        </w:rPr>
        <w:t> </w:t>
      </w:r>
      <w:r>
        <w:rPr/>
        <w:t>de</w:t>
      </w:r>
      <w:r>
        <w:rPr>
          <w:spacing w:val="-6"/>
        </w:rPr>
        <w:t> </w:t>
      </w:r>
      <w:r>
        <w:rPr/>
        <w:t>cada</w:t>
      </w:r>
      <w:r>
        <w:rPr>
          <w:spacing w:val="-5"/>
        </w:rPr>
        <w:t> </w:t>
      </w:r>
      <w:r>
        <w:rPr/>
        <w:t>componente</w:t>
      </w:r>
      <w:r>
        <w:rPr>
          <w:spacing w:val="-5"/>
        </w:rPr>
        <w:t> </w:t>
      </w:r>
      <w:r>
        <w:rPr/>
        <w:t>es</w:t>
      </w:r>
      <w:r>
        <w:rPr>
          <w:spacing w:val="-5"/>
        </w:rPr>
        <w:t> </w:t>
      </w:r>
      <w:r>
        <w:rPr/>
        <w:t>directamente</w:t>
      </w:r>
      <w:r>
        <w:rPr>
          <w:spacing w:val="-5"/>
        </w:rPr>
        <w:t> </w:t>
      </w:r>
      <w:r>
        <w:rPr/>
        <w:t>proporcional</w:t>
      </w:r>
      <w:r>
        <w:rPr>
          <w:spacing w:val="-4"/>
        </w:rPr>
        <w:t> </w:t>
      </w:r>
      <w:r>
        <w:rPr/>
        <w:t>a</w:t>
      </w:r>
      <w:r>
        <w:rPr>
          <w:spacing w:val="-5"/>
        </w:rPr>
        <w:t> </w:t>
      </w:r>
      <w:r>
        <w:rPr/>
        <w:t>la varianza de los valores resultantes para esa componente, de manera que aquellos componentes que más discriminan son los que contribuyen más al índice. El criterio de ponderación siguiendo la segunda alternativa, puede contraponerse al criterio de que aquellos componentes que presentan una menor varianza contribuyan más al valor del índice, aunque discriminen menos (PNUD, 1999:179). Por otro lado, la asunción de la primera alternativa simplifica la metodología permitiendo su aplicación de manera más general, además que mantiene coherencia con la importancia que tiene cada dimensión considerada dentro de la concepción del desarrollo humano desde una visión de sustentabilidad.</w:t>
      </w:r>
    </w:p>
    <w:p>
      <w:pPr>
        <w:pStyle w:val="BodyText"/>
        <w:spacing w:line="480" w:lineRule="auto" w:before="127"/>
        <w:ind w:left="102" w:right="111" w:firstLine="707"/>
        <w:jc w:val="both"/>
      </w:pPr>
      <w:r>
        <w:rPr/>
        <w:t>La aplicación de la nueva metodología para el año 2008 dio como resultado que la región</w:t>
      </w:r>
      <w:r>
        <w:rPr>
          <w:spacing w:val="-3"/>
        </w:rPr>
        <w:t> </w:t>
      </w:r>
      <w:r>
        <w:rPr/>
        <w:t>con</w:t>
      </w:r>
      <w:r>
        <w:rPr>
          <w:spacing w:val="-6"/>
        </w:rPr>
        <w:t> </w:t>
      </w:r>
      <w:r>
        <w:rPr/>
        <w:t>el</w:t>
      </w:r>
      <w:r>
        <w:rPr>
          <w:spacing w:val="-6"/>
        </w:rPr>
        <w:t> </w:t>
      </w:r>
      <w:r>
        <w:rPr/>
        <w:t>ITDHE</w:t>
      </w:r>
      <w:r>
        <w:rPr>
          <w:spacing w:val="-6"/>
        </w:rPr>
        <w:t> </w:t>
      </w:r>
      <w:r>
        <w:rPr/>
        <w:t>más</w:t>
      </w:r>
      <w:r>
        <w:rPr>
          <w:spacing w:val="-5"/>
        </w:rPr>
        <w:t> </w:t>
      </w:r>
      <w:r>
        <w:rPr/>
        <w:t>alto</w:t>
      </w:r>
      <w:r>
        <w:rPr>
          <w:spacing w:val="-5"/>
        </w:rPr>
        <w:t> </w:t>
      </w:r>
      <w:r>
        <w:rPr/>
        <w:t>es</w:t>
      </w:r>
      <w:r>
        <w:rPr>
          <w:spacing w:val="-5"/>
        </w:rPr>
        <w:t> </w:t>
      </w:r>
      <w:r>
        <w:rPr/>
        <w:t>la</w:t>
      </w:r>
      <w:r>
        <w:rPr>
          <w:spacing w:val="-5"/>
        </w:rPr>
        <w:t> </w:t>
      </w:r>
      <w:r>
        <w:rPr/>
        <w:t>Occidental</w:t>
      </w:r>
      <w:r>
        <w:rPr>
          <w:spacing w:val="-4"/>
        </w:rPr>
        <w:t> </w:t>
      </w:r>
      <w:r>
        <w:rPr/>
        <w:t>con</w:t>
      </w:r>
      <w:r>
        <w:rPr>
          <w:spacing w:val="-6"/>
        </w:rPr>
        <w:t> </w:t>
      </w:r>
      <w:r>
        <w:rPr/>
        <w:t>un</w:t>
      </w:r>
      <w:r>
        <w:rPr>
          <w:spacing w:val="-6"/>
        </w:rPr>
        <w:t> </w:t>
      </w:r>
      <w:r>
        <w:rPr/>
        <w:t>valor</w:t>
      </w:r>
      <w:r>
        <w:rPr>
          <w:spacing w:val="-2"/>
        </w:rPr>
        <w:t> </w:t>
      </w:r>
      <w:r>
        <w:rPr/>
        <w:t>de</w:t>
      </w:r>
      <w:r>
        <w:rPr>
          <w:spacing w:val="-6"/>
        </w:rPr>
        <w:t> </w:t>
      </w:r>
      <w:r>
        <w:rPr/>
        <w:t>0.666,</w:t>
      </w:r>
      <w:r>
        <w:rPr>
          <w:spacing w:val="-4"/>
        </w:rPr>
        <w:t> </w:t>
      </w:r>
      <w:r>
        <w:rPr/>
        <w:t>lo</w:t>
      </w:r>
      <w:r>
        <w:rPr>
          <w:spacing w:val="-3"/>
        </w:rPr>
        <w:t> </w:t>
      </w:r>
      <w:r>
        <w:rPr/>
        <w:t>cual</w:t>
      </w:r>
      <w:r>
        <w:rPr>
          <w:spacing w:val="-4"/>
        </w:rPr>
        <w:t> </w:t>
      </w:r>
      <w:r>
        <w:rPr/>
        <w:t>representa</w:t>
      </w:r>
      <w:r>
        <w:rPr>
          <w:spacing w:val="-5"/>
        </w:rPr>
        <w:t> </w:t>
      </w:r>
      <w:r>
        <w:rPr/>
        <w:t>casi el doble del valor de la región más</w:t>
      </w:r>
      <w:r>
        <w:rPr>
          <w:spacing w:val="-14"/>
        </w:rPr>
        <w:t> </w:t>
      </w:r>
      <w:r>
        <w:rPr/>
        <w:t>desfavorecida.</w:t>
      </w:r>
    </w:p>
    <w:p>
      <w:pPr>
        <w:spacing w:after="0" w:line="480" w:lineRule="auto"/>
        <w:jc w:val="both"/>
        <w:sectPr>
          <w:pgSz w:w="11910" w:h="16840"/>
          <w:pgMar w:header="0" w:footer="768" w:top="1580" w:bottom="960" w:left="1600" w:right="1140"/>
        </w:sectPr>
      </w:pPr>
    </w:p>
    <w:p>
      <w:pPr>
        <w:pStyle w:val="Heading2"/>
        <w:ind w:left="3606" w:right="3458"/>
        <w:jc w:val="center"/>
      </w:pPr>
      <w:r>
        <w:rPr/>
        <w:t>Figura 1</w:t>
      </w:r>
    </w:p>
    <w:p>
      <w:pPr>
        <w:pStyle w:val="BodyText"/>
        <w:rPr>
          <w:b/>
          <w:sz w:val="20"/>
        </w:rPr>
      </w:pPr>
    </w:p>
    <w:p>
      <w:pPr>
        <w:pStyle w:val="BodyText"/>
        <w:spacing w:before="6"/>
        <w:rPr>
          <w:b/>
          <w:sz w:val="14"/>
        </w:rPr>
      </w:pPr>
      <w:r>
        <w:rPr/>
        <w:pict>
          <v:group style="position:absolute;margin-left:87.996819pt;margin-top:10.306203pt;width:434.45pt;height:210.8pt;mso-position-horizontal-relative:page;mso-position-vertical-relative:paragraph;z-index:1240;mso-wrap-distance-left:0;mso-wrap-distance-right:0" coordorigin="1760,206" coordsize="8689,4216">
            <v:rect style="position:absolute;left:1766;top:213;width:8675;height:4202" filled="false" stroked="true" strokeweight=".648480pt" strokecolor="#000000"/>
            <v:shape style="position:absolute;left:2844;top:3387;width:6883;height:534" coordorigin="2844,3387" coordsize="6883,534" path="m9727,3387l3559,3387,2844,3920,9013,3920,9727,3387xe" filled="true" fillcolor="#808080" stroked="false">
              <v:path arrowok="t"/>
              <v:fill type="solid"/>
            </v:shape>
            <v:shape style="position:absolute;left:2844;top:902;width:715;height:3019" coordorigin="2844,902" coordsize="715,3019" path="m3559,902l2844,1436,2844,3920,3559,3387,3559,902xe" filled="true" fillcolor="#ffffff" stroked="false">
              <v:path arrowok="t"/>
              <v:fill type="solid"/>
            </v:shape>
            <v:shape style="position:absolute;left:2851;top:3393;width:6883;height:534" coordorigin="2851,3393" coordsize="6883,534" path="m9734,3393l9019,3927,2851,3927,3565,3393,9734,3393xe" filled="false" stroked="true" strokeweight=".648506pt" strokecolor="#000000">
              <v:path arrowok="t"/>
            </v:shape>
            <v:shape style="position:absolute;left:2851;top:909;width:714;height:3019" coordorigin="2851,909" coordsize="714,3019" path="m2851,3927l2851,1442,3565,909,3565,3393,2851,3927xe" filled="false" stroked="true" strokeweight=".648373pt" strokecolor="#ffffff">
              <v:path arrowok="t"/>
            </v:shape>
            <v:shape style="position:absolute;left:4496;top:1192;width:285;height:2555" type="#_x0000_t75" stroked="false">
              <v:imagedata r:id="rId7" o:title=""/>
            </v:shape>
            <v:shape style="position:absolute;left:4500;top:1195;width:286;height:2563" coordorigin="4500,1195" coordsize="286,2563" path="m4500,3758l4500,1403,4786,1195,4786,3550,4500,3758xe" filled="false" stroked="true" strokeweight=".648367pt" strokecolor="#000000">
              <v:path arrowok="t"/>
            </v:shape>
            <v:shape style="position:absolute;left:3679;top:1399;width:817;height:2348" type="#_x0000_t75" stroked="false">
              <v:imagedata r:id="rId8" o:title=""/>
            </v:shape>
            <v:rect style="position:absolute;left:3682;top:1403;width:818;height:2355" filled="false" stroked="true" strokeweight=".648381pt" strokecolor="#000000"/>
            <v:shape style="position:absolute;left:3679;top:1192;width:1102;height:208" type="#_x0000_t75" stroked="false">
              <v:imagedata r:id="rId9" o:title=""/>
            </v:shape>
            <v:shape style="position:absolute;left:3682;top:1195;width:1104;height:209" coordorigin="3682,1195" coordsize="1104,209" path="m4500,1403l4786,1195,3968,1195,3682,1403,4500,1403xe" filled="false" stroked="true" strokeweight=".648502pt" strokecolor="#000000">
              <v:path arrowok="t"/>
            </v:shape>
            <v:shape style="position:absolute;left:6558;top:1412;width:285;height:2335" type="#_x0000_t75" stroked="false">
              <v:imagedata r:id="rId10" o:title=""/>
            </v:shape>
            <v:shape style="position:absolute;left:6565;top:1416;width:286;height:2342" coordorigin="6565,1416" coordsize="286,2342" path="m6565,3758l6565,1624,6851,1416,6851,3550,6565,3758xe" filled="false" stroked="true" strokeweight=".648368pt" strokecolor="#000000">
              <v:path arrowok="t"/>
            </v:shape>
            <v:shape style="position:absolute;left:5728;top:1620;width:830;height:2127" type="#_x0000_t75" stroked="false">
              <v:imagedata r:id="rId11" o:title=""/>
            </v:shape>
            <v:rect style="position:absolute;left:5734;top:1624;width:831;height:2134" filled="false" stroked="true" strokeweight=".648384pt" strokecolor="#000000"/>
            <v:shape style="position:absolute;left:5728;top:1412;width:1115;height:208" type="#_x0000_t75" stroked="false">
              <v:imagedata r:id="rId12" o:title=""/>
            </v:shape>
            <v:shape style="position:absolute;left:5734;top:1416;width:1117;height:209" coordorigin="5734,1416" coordsize="1117,209" path="m6565,1624l6851,1416,6020,1416,5734,1624,6565,1624xe" filled="false" stroked="true" strokeweight=".648502pt" strokecolor="#000000">
              <v:path arrowok="t"/>
            </v:shape>
            <v:shape style="position:absolute;left:8607;top:2217;width:285;height:1530" type="#_x0000_t75" stroked="false">
              <v:imagedata r:id="rId13" o:title=""/>
            </v:shape>
            <v:shape style="position:absolute;left:8617;top:2223;width:286;height:1536" coordorigin="8617,2223" coordsize="286,1536" path="m8617,3758l8617,2431,8903,2223,8903,3550,8617,3758xe" filled="false" stroked="true" strokeweight=".64837pt" strokecolor="#000000">
              <v:path arrowok="t"/>
            </v:shape>
            <v:shape style="position:absolute;left:7790;top:2424;width:817;height:1323" type="#_x0000_t75" stroked="false">
              <v:imagedata r:id="rId14" o:title=""/>
            </v:shape>
            <v:rect style="position:absolute;left:7799;top:2431;width:818;height:1327" filled="false" stroked="true" strokeweight=".648404pt" strokecolor="#000000"/>
            <v:shape style="position:absolute;left:7790;top:2217;width:1102;height:208" type="#_x0000_t75" stroked="false">
              <v:imagedata r:id="rId15" o:title=""/>
            </v:shape>
            <v:shape style="position:absolute;left:7799;top:2223;width:1104;height:209" coordorigin="7799,2223" coordsize="1104,209" path="m8617,2431l8903,2223,8085,2223,7799,2431,8617,2431xe" filled="false" stroked="true" strokeweight=".648502pt" strokecolor="#000000">
              <v:path arrowok="t"/>
            </v:shape>
            <v:line style="position:absolute" from="2851,3927" to="2851,1455" stroked="true" strokeweight=".648366pt" strokecolor="#000000"/>
            <v:line style="position:absolute" from="2851,3927" to="2825,3927" stroked="true" strokeweight=".648507pt" strokecolor="#000000"/>
            <v:line style="position:absolute" from="2851,3563" to="2825,3563" stroked="true" strokeweight=".648507pt" strokecolor="#000000"/>
            <v:line style="position:absolute" from="2851,3211" to="2825,3211" stroked="true" strokeweight=".648507pt" strokecolor="#000000"/>
            <v:line style="position:absolute" from="2851,2860" to="2825,2860" stroked="true" strokeweight=".648507pt" strokecolor="#000000"/>
            <v:line style="position:absolute" from="2851,2509" to="2825,2509" stroked="true" strokeweight=".648507pt" strokecolor="#000000"/>
            <v:line style="position:absolute" from="2851,2158" to="2825,2158" stroked="true" strokeweight=".648507pt" strokecolor="#000000"/>
            <v:line style="position:absolute" from="2851,1806" to="2825,1806" stroked="true" strokeweight=".648507pt" strokecolor="#000000"/>
            <v:line style="position:absolute" from="2851,1442" to="2825,1442" stroked="true" strokeweight=".648507pt" strokecolor="#000000"/>
            <v:line style="position:absolute" from="2851,3927" to="9007,3927" stroked="true" strokeweight=".648507pt" strokecolor="#000000"/>
            <v:line style="position:absolute" from="2851,3927" to="2851,3953" stroked="true" strokeweight=".648366pt" strokecolor="#000000"/>
            <v:line style="position:absolute" from="4916,3927" to="4916,3953" stroked="true" strokeweight=".648366pt" strokecolor="#000000"/>
            <v:line style="position:absolute" from="6968,3927" to="6968,3953" stroked="true" strokeweight=".648366pt" strokecolor="#000000"/>
            <v:line style="position:absolute" from="9019,3927" to="9019,3953" stroked="true" strokeweight=".648366pt" strokecolor="#000000"/>
            <v:rect style="position:absolute;left:1766;top:213;width:8675;height:4202" filled="false" stroked="true" strokeweight=".648480pt" strokecolor="#000000"/>
            <v:shape style="position:absolute;left:4870;top:383;width:2461;height:208" type="#_x0000_t202" filled="false" stroked="false">
              <v:textbox inset="0,0,0,0">
                <w:txbxContent>
                  <w:p>
                    <w:pPr>
                      <w:spacing w:line="208" w:lineRule="exact" w:before="0"/>
                      <w:ind w:left="0" w:right="-9" w:firstLine="0"/>
                      <w:jc w:val="left"/>
                      <w:rPr>
                        <w:b/>
                        <w:sz w:val="20"/>
                      </w:rPr>
                    </w:pPr>
                    <w:r>
                      <w:rPr>
                        <w:b/>
                        <w:w w:val="105"/>
                        <w:sz w:val="20"/>
                      </w:rPr>
                      <w:t>ITDHE por regiones</w:t>
                    </w:r>
                    <w:r>
                      <w:rPr>
                        <w:b/>
                        <w:spacing w:val="-36"/>
                        <w:w w:val="105"/>
                        <w:sz w:val="20"/>
                      </w:rPr>
                      <w:t> </w:t>
                    </w:r>
                    <w:r>
                      <w:rPr>
                        <w:b/>
                        <w:w w:val="105"/>
                        <w:sz w:val="20"/>
                      </w:rPr>
                      <w:t>2008</w:t>
                    </w:r>
                  </w:p>
                </w:txbxContent>
              </v:textbox>
              <w10:wrap type="none"/>
            </v:shape>
            <v:shape style="position:absolute;left:3637;top:1071;width:1164;height:274" type="#_x0000_t202" filled="false" stroked="false">
              <v:textbox inset="0,0,0,0">
                <w:txbxContent>
                  <w:p>
                    <w:pPr>
                      <w:spacing w:line="273" w:lineRule="exact" w:before="0"/>
                      <w:ind w:left="0" w:right="0" w:firstLine="0"/>
                      <w:jc w:val="left"/>
                      <w:rPr>
                        <w:sz w:val="27"/>
                      </w:rPr>
                    </w:pPr>
                    <w:r>
                      <w:rPr>
                        <w:sz w:val="27"/>
                      </w:rPr>
                      <w:t>0,666667</w:t>
                    </w:r>
                  </w:p>
                </w:txbxContent>
              </v:textbox>
              <w10:wrap type="none"/>
            </v:shape>
            <v:shape style="position:absolute;left:2520;top:1356;width:264;height:2680" type="#_x0000_t202" filled="false" stroked="false">
              <v:textbox inset="0,0,0,0">
                <w:txbxContent>
                  <w:p>
                    <w:pPr>
                      <w:spacing w:line="198" w:lineRule="exact" w:before="0"/>
                      <w:ind w:left="0" w:right="0" w:firstLine="0"/>
                      <w:jc w:val="center"/>
                      <w:rPr>
                        <w:sz w:val="19"/>
                      </w:rPr>
                    </w:pPr>
                    <w:r>
                      <w:rPr>
                        <w:spacing w:val="-3"/>
                        <w:sz w:val="19"/>
                      </w:rPr>
                      <w:t>0,7</w:t>
                    </w:r>
                  </w:p>
                  <w:p>
                    <w:pPr>
                      <w:spacing w:before="146"/>
                      <w:ind w:left="0" w:right="0" w:firstLine="0"/>
                      <w:jc w:val="center"/>
                      <w:rPr>
                        <w:sz w:val="19"/>
                      </w:rPr>
                    </w:pPr>
                    <w:r>
                      <w:rPr>
                        <w:spacing w:val="-3"/>
                        <w:sz w:val="19"/>
                      </w:rPr>
                      <w:t>0,6</w:t>
                    </w:r>
                  </w:p>
                  <w:p>
                    <w:pPr>
                      <w:spacing w:before="132"/>
                      <w:ind w:left="0" w:right="0" w:firstLine="0"/>
                      <w:jc w:val="center"/>
                      <w:rPr>
                        <w:sz w:val="19"/>
                      </w:rPr>
                    </w:pPr>
                    <w:r>
                      <w:rPr>
                        <w:spacing w:val="-3"/>
                        <w:sz w:val="19"/>
                      </w:rPr>
                      <w:t>0,5</w:t>
                    </w:r>
                  </w:p>
                  <w:p>
                    <w:pPr>
                      <w:spacing w:before="133"/>
                      <w:ind w:left="0" w:right="0" w:firstLine="0"/>
                      <w:jc w:val="center"/>
                      <w:rPr>
                        <w:sz w:val="19"/>
                      </w:rPr>
                    </w:pPr>
                    <w:r>
                      <w:rPr>
                        <w:spacing w:val="-3"/>
                        <w:sz w:val="19"/>
                      </w:rPr>
                      <w:t>0,4</w:t>
                    </w:r>
                  </w:p>
                  <w:p>
                    <w:pPr>
                      <w:spacing w:before="132"/>
                      <w:ind w:left="0" w:right="0" w:firstLine="0"/>
                      <w:jc w:val="center"/>
                      <w:rPr>
                        <w:sz w:val="19"/>
                      </w:rPr>
                    </w:pPr>
                    <w:r>
                      <w:rPr>
                        <w:spacing w:val="-3"/>
                        <w:sz w:val="19"/>
                      </w:rPr>
                      <w:t>0,3</w:t>
                    </w:r>
                  </w:p>
                  <w:p>
                    <w:pPr>
                      <w:spacing w:before="133"/>
                      <w:ind w:left="0" w:right="0" w:firstLine="0"/>
                      <w:jc w:val="center"/>
                      <w:rPr>
                        <w:sz w:val="19"/>
                      </w:rPr>
                    </w:pPr>
                    <w:r>
                      <w:rPr>
                        <w:spacing w:val="-3"/>
                        <w:sz w:val="19"/>
                      </w:rPr>
                      <w:t>0,2</w:t>
                    </w:r>
                  </w:p>
                  <w:p>
                    <w:pPr>
                      <w:spacing w:before="132"/>
                      <w:ind w:left="0" w:right="0" w:firstLine="0"/>
                      <w:jc w:val="center"/>
                      <w:rPr>
                        <w:sz w:val="19"/>
                      </w:rPr>
                    </w:pPr>
                    <w:r>
                      <w:rPr>
                        <w:spacing w:val="-3"/>
                        <w:sz w:val="19"/>
                      </w:rPr>
                      <w:t>0,1</w:t>
                    </w:r>
                  </w:p>
                  <w:p>
                    <w:pPr>
                      <w:spacing w:line="215" w:lineRule="exact" w:before="146"/>
                      <w:ind w:left="155" w:right="0" w:firstLine="0"/>
                      <w:jc w:val="center"/>
                      <w:rPr>
                        <w:sz w:val="19"/>
                      </w:rPr>
                    </w:pPr>
                    <w:r>
                      <w:rPr>
                        <w:w w:val="102"/>
                        <w:sz w:val="19"/>
                      </w:rPr>
                      <w:t>0</w:t>
                    </w:r>
                  </w:p>
                </w:txbxContent>
              </v:textbox>
              <w10:wrap type="none"/>
            </v:shape>
            <v:shape style="position:absolute;left:5702;top:1292;width:1164;height:274" type="#_x0000_t202" filled="false" stroked="false">
              <v:textbox inset="0,0,0,0">
                <w:txbxContent>
                  <w:p>
                    <w:pPr>
                      <w:spacing w:line="273" w:lineRule="exact" w:before="0"/>
                      <w:ind w:left="0" w:right="0" w:firstLine="0"/>
                      <w:jc w:val="left"/>
                      <w:rPr>
                        <w:sz w:val="27"/>
                      </w:rPr>
                    </w:pPr>
                    <w:r>
                      <w:rPr>
                        <w:sz w:val="27"/>
                      </w:rPr>
                      <w:t>0,603915</w:t>
                    </w:r>
                  </w:p>
                </w:txbxContent>
              </v:textbox>
              <w10:wrap type="none"/>
            </v:shape>
            <v:shape style="position:absolute;left:7753;top:2099;width:1164;height:274" type="#_x0000_t202" filled="false" stroked="false">
              <v:textbox inset="0,0,0,0">
                <w:txbxContent>
                  <w:p>
                    <w:pPr>
                      <w:spacing w:line="273" w:lineRule="exact" w:before="0"/>
                      <w:ind w:left="0" w:right="0" w:firstLine="0"/>
                      <w:jc w:val="left"/>
                      <w:rPr>
                        <w:sz w:val="27"/>
                      </w:rPr>
                    </w:pPr>
                    <w:r>
                      <w:rPr>
                        <w:sz w:val="27"/>
                      </w:rPr>
                      <w:t>0,376685</w:t>
                    </w:r>
                  </w:p>
                </w:txbxContent>
              </v:textbox>
              <w10:wrap type="none"/>
            </v:shape>
            <v:shape style="position:absolute;left:3455;top:4036;width:4848;height:195" type="#_x0000_t202" filled="false" stroked="false">
              <v:textbox inset="0,0,0,0">
                <w:txbxContent>
                  <w:p>
                    <w:pPr>
                      <w:tabs>
                        <w:tab w:pos="2194" w:val="left" w:leader="none"/>
                        <w:tab w:pos="4220" w:val="left" w:leader="none"/>
                      </w:tabs>
                      <w:spacing w:line="195" w:lineRule="exact" w:before="0"/>
                      <w:ind w:left="0" w:right="0" w:firstLine="0"/>
                      <w:jc w:val="left"/>
                      <w:rPr>
                        <w:sz w:val="19"/>
                      </w:rPr>
                    </w:pPr>
                    <w:r>
                      <w:rPr>
                        <w:w w:val="105"/>
                        <w:sz w:val="19"/>
                      </w:rPr>
                      <w:t>Occidente</w:t>
                      <w:tab/>
                      <w:t>Centro</w:t>
                      <w:tab/>
                    </w:r>
                    <w:r>
                      <w:rPr>
                        <w:spacing w:val="-2"/>
                        <w:sz w:val="19"/>
                      </w:rPr>
                      <w:t>Oriente</w:t>
                    </w:r>
                  </w:p>
                </w:txbxContent>
              </v:textbox>
              <w10:wrap type="none"/>
            </v:shape>
            <w10:wrap type="topAndBottom"/>
          </v:group>
        </w:pict>
      </w:r>
    </w:p>
    <w:p>
      <w:pPr>
        <w:pStyle w:val="BodyText"/>
        <w:rPr>
          <w:b/>
        </w:rPr>
      </w:pPr>
    </w:p>
    <w:p>
      <w:pPr>
        <w:pStyle w:val="BodyText"/>
        <w:rPr>
          <w:b/>
        </w:rPr>
      </w:pPr>
    </w:p>
    <w:p>
      <w:pPr>
        <w:pStyle w:val="BodyText"/>
        <w:spacing w:before="3"/>
        <w:rPr>
          <w:b/>
          <w:sz w:val="23"/>
        </w:rPr>
      </w:pPr>
    </w:p>
    <w:p>
      <w:pPr>
        <w:pStyle w:val="BodyText"/>
        <w:spacing w:line="477" w:lineRule="auto" w:before="1"/>
        <w:ind w:left="102" w:right="109" w:firstLine="707"/>
        <w:jc w:val="both"/>
      </w:pPr>
      <w:r>
        <w:rPr/>
        <w:t>Calculando la dispersión de los valores de los logros relativos para cada región, a través</w:t>
      </w:r>
      <w:r>
        <w:rPr>
          <w:spacing w:val="-10"/>
        </w:rPr>
        <w:t> </w:t>
      </w:r>
      <w:r>
        <w:rPr/>
        <w:t>del</w:t>
      </w:r>
      <w:r>
        <w:rPr>
          <w:spacing w:val="-11"/>
        </w:rPr>
        <w:t> </w:t>
      </w:r>
      <w:r>
        <w:rPr/>
        <w:t>coeficiente</w:t>
      </w:r>
      <w:r>
        <w:rPr>
          <w:spacing w:val="-10"/>
        </w:rPr>
        <w:t> </w:t>
      </w:r>
      <w:r>
        <w:rPr/>
        <w:t>de</w:t>
      </w:r>
      <w:r>
        <w:rPr>
          <w:spacing w:val="-13"/>
        </w:rPr>
        <w:t> </w:t>
      </w:r>
      <w:r>
        <w:rPr/>
        <w:t>variación</w:t>
      </w:r>
      <w:r>
        <w:rPr>
          <w:position w:val="8"/>
          <w:sz w:val="14"/>
        </w:rPr>
        <w:t>5</w:t>
      </w:r>
      <w:r>
        <w:rPr/>
        <w:t>,</w:t>
      </w:r>
      <w:r>
        <w:rPr>
          <w:spacing w:val="-9"/>
        </w:rPr>
        <w:t> </w:t>
      </w:r>
      <w:r>
        <w:rPr/>
        <w:t>se</w:t>
      </w:r>
      <w:r>
        <w:rPr>
          <w:spacing w:val="-10"/>
        </w:rPr>
        <w:t> </w:t>
      </w:r>
      <w:r>
        <w:rPr/>
        <w:t>pudo</w:t>
      </w:r>
      <w:r>
        <w:rPr>
          <w:spacing w:val="-10"/>
        </w:rPr>
        <w:t> </w:t>
      </w:r>
      <w:r>
        <w:rPr/>
        <w:t>constatar</w:t>
      </w:r>
      <w:r>
        <w:rPr>
          <w:spacing w:val="-11"/>
        </w:rPr>
        <w:t> </w:t>
      </w:r>
      <w:r>
        <w:rPr/>
        <w:t>que</w:t>
      </w:r>
      <w:r>
        <w:rPr>
          <w:spacing w:val="-10"/>
        </w:rPr>
        <w:t> </w:t>
      </w:r>
      <w:r>
        <w:rPr/>
        <w:t>los</w:t>
      </w:r>
      <w:r>
        <w:rPr>
          <w:spacing w:val="-12"/>
        </w:rPr>
        <w:t> </w:t>
      </w:r>
      <w:r>
        <w:rPr/>
        <w:t>mismos</w:t>
      </w:r>
      <w:r>
        <w:rPr>
          <w:spacing w:val="-10"/>
        </w:rPr>
        <w:t> </w:t>
      </w:r>
      <w:r>
        <w:rPr/>
        <w:t>se</w:t>
      </w:r>
      <w:r>
        <w:rPr>
          <w:spacing w:val="-12"/>
        </w:rPr>
        <w:t> </w:t>
      </w:r>
      <w:r>
        <w:rPr/>
        <w:t>mueven</w:t>
      </w:r>
      <w:r>
        <w:rPr>
          <w:spacing w:val="-10"/>
        </w:rPr>
        <w:t> </w:t>
      </w:r>
      <w:r>
        <w:rPr/>
        <w:t>de</w:t>
      </w:r>
      <w:r>
        <w:rPr>
          <w:spacing w:val="-10"/>
        </w:rPr>
        <w:t> </w:t>
      </w:r>
      <w:r>
        <w:rPr/>
        <w:t>0.627 en la región Central a 1.187 en la Oriental. Esto refleja por un lado la homogeneidad en la obtención de los logros del desarrollo humano en las provincias centrales y por otro el desequilibrio que presenta la región Oriental en la obtención de estos</w:t>
      </w:r>
      <w:r>
        <w:rPr>
          <w:spacing w:val="-21"/>
        </w:rPr>
        <w:t> </w:t>
      </w:r>
      <w:r>
        <w:rPr/>
        <w:t>logros.</w:t>
      </w:r>
    </w:p>
    <w:p>
      <w:pPr>
        <w:pStyle w:val="BodyText"/>
        <w:spacing w:line="480" w:lineRule="auto" w:before="115"/>
        <w:ind w:left="102" w:right="110" w:firstLine="707"/>
        <w:jc w:val="both"/>
      </w:pPr>
      <w:r>
        <w:rPr/>
        <w:t>La</w:t>
      </w:r>
      <w:r>
        <w:rPr>
          <w:spacing w:val="-9"/>
        </w:rPr>
        <w:t> </w:t>
      </w:r>
      <w:r>
        <w:rPr/>
        <w:t>relación</w:t>
      </w:r>
      <w:r>
        <w:rPr>
          <w:spacing w:val="-9"/>
        </w:rPr>
        <w:t> </w:t>
      </w:r>
      <w:r>
        <w:rPr/>
        <w:t>entre</w:t>
      </w:r>
      <w:r>
        <w:rPr>
          <w:spacing w:val="-11"/>
        </w:rPr>
        <w:t> </w:t>
      </w:r>
      <w:r>
        <w:rPr/>
        <w:t>los</w:t>
      </w:r>
      <w:r>
        <w:rPr>
          <w:spacing w:val="-9"/>
        </w:rPr>
        <w:t> </w:t>
      </w:r>
      <w:r>
        <w:rPr/>
        <w:t>valores</w:t>
      </w:r>
      <w:r>
        <w:rPr>
          <w:spacing w:val="-8"/>
        </w:rPr>
        <w:t> </w:t>
      </w:r>
      <w:r>
        <w:rPr/>
        <w:t>del</w:t>
      </w:r>
      <w:r>
        <w:rPr>
          <w:spacing w:val="-12"/>
        </w:rPr>
        <w:t> </w:t>
      </w:r>
      <w:r>
        <w:rPr/>
        <w:t>ITDHE</w:t>
      </w:r>
      <w:r>
        <w:rPr>
          <w:spacing w:val="-9"/>
        </w:rPr>
        <w:t> </w:t>
      </w:r>
      <w:r>
        <w:rPr/>
        <w:t>y</w:t>
      </w:r>
      <w:r>
        <w:rPr>
          <w:spacing w:val="-11"/>
        </w:rPr>
        <w:t> </w:t>
      </w:r>
      <w:r>
        <w:rPr/>
        <w:t>la</w:t>
      </w:r>
      <w:r>
        <w:rPr>
          <w:spacing w:val="-9"/>
        </w:rPr>
        <w:t> </w:t>
      </w:r>
      <w:r>
        <w:rPr/>
        <w:t>homogeneidad</w:t>
      </w:r>
      <w:r>
        <w:rPr>
          <w:spacing w:val="-9"/>
        </w:rPr>
        <w:t> </w:t>
      </w:r>
      <w:r>
        <w:rPr/>
        <w:t>en</w:t>
      </w:r>
      <w:r>
        <w:rPr>
          <w:spacing w:val="-11"/>
        </w:rPr>
        <w:t> </w:t>
      </w:r>
      <w:r>
        <w:rPr/>
        <w:t>los</w:t>
      </w:r>
      <w:r>
        <w:rPr>
          <w:spacing w:val="-6"/>
        </w:rPr>
        <w:t> </w:t>
      </w:r>
      <w:r>
        <w:rPr>
          <w:i/>
        </w:rPr>
        <w:t>Logros</w:t>
      </w:r>
      <w:r>
        <w:rPr>
          <w:i/>
          <w:spacing w:val="-14"/>
        </w:rPr>
        <w:t> </w:t>
      </w:r>
      <w:r>
        <w:rPr>
          <w:i/>
        </w:rPr>
        <w:t>Relativos</w:t>
      </w:r>
      <w:r>
        <w:rPr>
          <w:i/>
          <w:position w:val="9"/>
          <w:sz w:val="14"/>
        </w:rPr>
        <w:t>6 </w:t>
      </w:r>
      <w:r>
        <w:rPr/>
        <w:t>muestra</w:t>
      </w:r>
      <w:r>
        <w:rPr>
          <w:spacing w:val="-5"/>
        </w:rPr>
        <w:t> </w:t>
      </w:r>
      <w:r>
        <w:rPr/>
        <w:t>una</w:t>
      </w:r>
      <w:r>
        <w:rPr>
          <w:spacing w:val="-5"/>
        </w:rPr>
        <w:t> </w:t>
      </w:r>
      <w:r>
        <w:rPr/>
        <w:t>alta</w:t>
      </w:r>
      <w:r>
        <w:rPr>
          <w:spacing w:val="-8"/>
        </w:rPr>
        <w:t> </w:t>
      </w:r>
      <w:r>
        <w:rPr/>
        <w:t>correlación</w:t>
      </w:r>
      <w:r>
        <w:rPr>
          <w:spacing w:val="-6"/>
        </w:rPr>
        <w:t> </w:t>
      </w:r>
      <w:r>
        <w:rPr/>
        <w:t>(</w:t>
      </w:r>
      <w:r>
        <w:rPr>
          <w:b/>
          <w:i/>
        </w:rPr>
        <w:t>r</w:t>
      </w:r>
      <w:r>
        <w:rPr>
          <w:b/>
          <w:i/>
          <w:spacing w:val="-4"/>
        </w:rPr>
        <w:t> </w:t>
      </w:r>
      <w:r>
        <w:rPr/>
        <w:t>=</w:t>
      </w:r>
      <w:r>
        <w:rPr>
          <w:spacing w:val="-7"/>
        </w:rPr>
        <w:t> </w:t>
      </w:r>
      <w:r>
        <w:rPr/>
        <w:t>0.94),</w:t>
      </w:r>
      <w:r>
        <w:rPr>
          <w:spacing w:val="-4"/>
        </w:rPr>
        <w:t> </w:t>
      </w:r>
      <w:r>
        <w:rPr/>
        <w:t>por</w:t>
      </w:r>
      <w:r>
        <w:rPr>
          <w:spacing w:val="-4"/>
        </w:rPr>
        <w:t> </w:t>
      </w:r>
      <w:r>
        <w:rPr/>
        <w:t>lo</w:t>
      </w:r>
      <w:r>
        <w:rPr>
          <w:spacing w:val="-8"/>
        </w:rPr>
        <w:t> </w:t>
      </w:r>
      <w:r>
        <w:rPr/>
        <w:t>que</w:t>
      </w:r>
      <w:r>
        <w:rPr>
          <w:spacing w:val="-8"/>
        </w:rPr>
        <w:t> </w:t>
      </w:r>
      <w:r>
        <w:rPr/>
        <w:t>se</w:t>
      </w:r>
      <w:r>
        <w:rPr>
          <w:spacing w:val="-5"/>
        </w:rPr>
        <w:t> </w:t>
      </w:r>
      <w:r>
        <w:rPr/>
        <w:t>constata</w:t>
      </w:r>
      <w:r>
        <w:rPr>
          <w:spacing w:val="-5"/>
        </w:rPr>
        <w:t> </w:t>
      </w:r>
      <w:r>
        <w:rPr/>
        <w:t>como</w:t>
      </w:r>
      <w:r>
        <w:rPr>
          <w:spacing w:val="-5"/>
        </w:rPr>
        <w:t> </w:t>
      </w:r>
      <w:r>
        <w:rPr/>
        <w:t>el</w:t>
      </w:r>
      <w:r>
        <w:rPr>
          <w:spacing w:val="-6"/>
        </w:rPr>
        <w:t> </w:t>
      </w:r>
      <w:r>
        <w:rPr/>
        <w:t>desarrollo</w:t>
      </w:r>
      <w:r>
        <w:rPr>
          <w:spacing w:val="-5"/>
        </w:rPr>
        <w:t> </w:t>
      </w:r>
      <w:r>
        <w:rPr/>
        <w:t>global</w:t>
      </w:r>
      <w:r>
        <w:rPr>
          <w:spacing w:val="-6"/>
        </w:rPr>
        <w:t> </w:t>
      </w:r>
      <w:r>
        <w:rPr/>
        <w:t>de las regiones se encuentra fuertemente vinculado al equilibrio en la obtención de los componentes parciales del desarrollo. La figura 2 refleja como la región Oriental, por ejemplo,</w:t>
      </w:r>
      <w:r>
        <w:rPr>
          <w:spacing w:val="-7"/>
        </w:rPr>
        <w:t> </w:t>
      </w:r>
      <w:r>
        <w:rPr/>
        <w:t>tiene</w:t>
      </w:r>
      <w:r>
        <w:rPr>
          <w:spacing w:val="-3"/>
        </w:rPr>
        <w:t> </w:t>
      </w:r>
      <w:r>
        <w:rPr/>
        <w:t>un</w:t>
      </w:r>
      <w:r>
        <w:rPr>
          <w:spacing w:val="-6"/>
        </w:rPr>
        <w:t> </w:t>
      </w:r>
      <w:r>
        <w:rPr/>
        <w:t>bajo</w:t>
      </w:r>
      <w:r>
        <w:rPr>
          <w:spacing w:val="-3"/>
        </w:rPr>
        <w:t> </w:t>
      </w:r>
      <w:r>
        <w:rPr/>
        <w:t>valor</w:t>
      </w:r>
      <w:r>
        <w:rPr>
          <w:spacing w:val="-2"/>
        </w:rPr>
        <w:t> </w:t>
      </w:r>
      <w:r>
        <w:rPr/>
        <w:t>del</w:t>
      </w:r>
      <w:r>
        <w:rPr>
          <w:spacing w:val="-6"/>
        </w:rPr>
        <w:t> </w:t>
      </w:r>
      <w:r>
        <w:rPr/>
        <w:t>ITDHE</w:t>
      </w:r>
      <w:r>
        <w:rPr>
          <w:spacing w:val="-3"/>
        </w:rPr>
        <w:t> </w:t>
      </w:r>
      <w:r>
        <w:rPr/>
        <w:t>y</w:t>
      </w:r>
      <w:r>
        <w:rPr>
          <w:spacing w:val="-5"/>
        </w:rPr>
        <w:t> </w:t>
      </w:r>
      <w:r>
        <w:rPr/>
        <w:t>además</w:t>
      </w:r>
      <w:r>
        <w:rPr>
          <w:spacing w:val="-8"/>
        </w:rPr>
        <w:t> </w:t>
      </w:r>
      <w:r>
        <w:rPr/>
        <w:t>una</w:t>
      </w:r>
      <w:r>
        <w:rPr>
          <w:spacing w:val="-3"/>
        </w:rPr>
        <w:t> </w:t>
      </w:r>
      <w:r>
        <w:rPr/>
        <w:t>alta</w:t>
      </w:r>
      <w:r>
        <w:rPr>
          <w:spacing w:val="-5"/>
        </w:rPr>
        <w:t> </w:t>
      </w:r>
      <w:r>
        <w:rPr/>
        <w:t>heterogeneidad</w:t>
      </w:r>
      <w:r>
        <w:rPr>
          <w:spacing w:val="-5"/>
        </w:rPr>
        <w:t> </w:t>
      </w:r>
      <w:r>
        <w:rPr/>
        <w:t>en</w:t>
      </w:r>
      <w:r>
        <w:rPr>
          <w:spacing w:val="-3"/>
        </w:rPr>
        <w:t> </w:t>
      </w:r>
      <w:r>
        <w:rPr/>
        <w:t>cuanto</w:t>
      </w:r>
      <w:r>
        <w:rPr>
          <w:spacing w:val="-3"/>
        </w:rPr>
        <w:t> </w:t>
      </w:r>
      <w:r>
        <w:rPr/>
        <w:t>a</w:t>
      </w:r>
      <w:r>
        <w:rPr>
          <w:spacing w:val="-5"/>
        </w:rPr>
        <w:t> </w:t>
      </w:r>
      <w:r>
        <w:rPr/>
        <w:t>sus logros</w:t>
      </w:r>
      <w:r>
        <w:rPr>
          <w:spacing w:val="-5"/>
        </w:rPr>
        <w:t> </w:t>
      </w:r>
      <w:r>
        <w:rPr/>
        <w:t>parciales.</w:t>
      </w:r>
    </w:p>
    <w:p>
      <w:pPr>
        <w:spacing w:after="0" w:line="480" w:lineRule="auto"/>
        <w:jc w:val="both"/>
        <w:sectPr>
          <w:pgSz w:w="11910" w:h="16840"/>
          <w:pgMar w:header="0" w:footer="768" w:top="1580" w:bottom="960" w:left="1600" w:right="1300"/>
        </w:sectPr>
      </w:pPr>
    </w:p>
    <w:p>
      <w:pPr>
        <w:pStyle w:val="Heading2"/>
        <w:ind w:left="3974" w:right="5281"/>
        <w:jc w:val="center"/>
      </w:pPr>
      <w:r>
        <w:rPr/>
        <w:pict>
          <v:group style="position:absolute;margin-left:122.888664pt;margin-top:38.879173pt;width:363.1pt;height:181.45pt;mso-position-horizontal-relative:page;mso-position-vertical-relative:paragraph;z-index:1792" coordorigin="2458,778" coordsize="7262,3629">
            <v:rect style="position:absolute;left:2463;top:783;width:7250;height:3617" filled="false" stroked="true" strokeweight=".512455pt" strokecolor="#000000"/>
            <v:shape style="position:absolute;left:1104;top:11171;width:9268;height:2963" coordorigin="1104,11171" coordsize="9268,2963" path="m3218,1672l3218,3635m3167,3645l3208,3645m3167,3398l3208,3398m3167,3152l3208,3152m3167,2905l3208,2905m3167,2659l3208,2659m3167,2412l3208,2412m3167,2166l3208,2166m3167,1919l3208,1919m3167,1672l3208,1672m3218,3645l9493,3645m3218,3697l3218,3656m4266,3697l4266,3656m5313,3697l5313,3656m6360,3697l6360,3656m7408,3697l7408,3656m8455,3697l8455,3656m9503,3697l9503,3656e" filled="false" stroked="true" strokeweight=".51256pt" strokecolor="#000000">
              <v:path arrowok="t"/>
            </v:shape>
            <v:shape style="position:absolute;left:7623;top:1919;width:144;height:144" type="#_x0000_t75" stroked="false">
              <v:imagedata r:id="rId16" o:title=""/>
            </v:shape>
            <v:shape style="position:absolute;left:8373;top:2073;width:144;height:144" type="#_x0000_t75" stroked="false">
              <v:imagedata r:id="rId17" o:title=""/>
            </v:shape>
            <v:shape style="position:absolute;left:3136;top:2638;width:144;height:144" type="#_x0000_t75" stroked="false">
              <v:imagedata r:id="rId18" o:title=""/>
            </v:shape>
            <v:rect style="position:absolute;left:2463;top:783;width:7250;height:3617" filled="false" stroked="true" strokeweight=".512455pt" strokecolor="#000000"/>
            <v:shape style="position:absolute;left:3295;top:969;width:5552;height:381" type="#_x0000_t202" filled="false" stroked="false">
              <v:textbox inset="0,0,0,0">
                <w:txbxContent>
                  <w:p>
                    <w:pPr>
                      <w:spacing w:line="167" w:lineRule="exact" w:before="0"/>
                      <w:ind w:left="0" w:right="0" w:firstLine="0"/>
                      <w:jc w:val="center"/>
                      <w:rPr>
                        <w:b/>
                        <w:sz w:val="16"/>
                      </w:rPr>
                    </w:pPr>
                    <w:r>
                      <w:rPr>
                        <w:b/>
                        <w:w w:val="105"/>
                        <w:sz w:val="16"/>
                      </w:rPr>
                      <w:t>Correlación</w:t>
                    </w:r>
                    <w:r>
                      <w:rPr>
                        <w:b/>
                        <w:spacing w:val="-16"/>
                        <w:w w:val="105"/>
                        <w:sz w:val="16"/>
                      </w:rPr>
                      <w:t> </w:t>
                    </w:r>
                    <w:r>
                      <w:rPr>
                        <w:b/>
                        <w:w w:val="105"/>
                        <w:sz w:val="16"/>
                      </w:rPr>
                      <w:t>entre</w:t>
                    </w:r>
                    <w:r>
                      <w:rPr>
                        <w:b/>
                        <w:spacing w:val="-17"/>
                        <w:w w:val="105"/>
                        <w:sz w:val="16"/>
                      </w:rPr>
                      <w:t> </w:t>
                    </w:r>
                    <w:r>
                      <w:rPr>
                        <w:b/>
                        <w:w w:val="105"/>
                        <w:sz w:val="16"/>
                      </w:rPr>
                      <w:t>el</w:t>
                    </w:r>
                    <w:r>
                      <w:rPr>
                        <w:b/>
                        <w:spacing w:val="-21"/>
                        <w:w w:val="105"/>
                        <w:sz w:val="16"/>
                      </w:rPr>
                      <w:t> </w:t>
                    </w:r>
                    <w:r>
                      <w:rPr>
                        <w:b/>
                        <w:w w:val="105"/>
                        <w:sz w:val="16"/>
                      </w:rPr>
                      <w:t>ITDHE</w:t>
                    </w:r>
                    <w:r>
                      <w:rPr>
                        <w:b/>
                        <w:spacing w:val="-16"/>
                        <w:w w:val="105"/>
                        <w:sz w:val="16"/>
                      </w:rPr>
                      <w:t> </w:t>
                    </w:r>
                    <w:r>
                      <w:rPr>
                        <w:b/>
                        <w:w w:val="105"/>
                        <w:sz w:val="16"/>
                      </w:rPr>
                      <w:t>y</w:t>
                    </w:r>
                    <w:r>
                      <w:rPr>
                        <w:b/>
                        <w:spacing w:val="-17"/>
                        <w:w w:val="105"/>
                        <w:sz w:val="16"/>
                      </w:rPr>
                      <w:t> </w:t>
                    </w:r>
                    <w:r>
                      <w:rPr>
                        <w:b/>
                        <w:spacing w:val="-3"/>
                        <w:w w:val="105"/>
                        <w:sz w:val="16"/>
                      </w:rPr>
                      <w:t>la</w:t>
                    </w:r>
                    <w:r>
                      <w:rPr>
                        <w:b/>
                        <w:spacing w:val="-17"/>
                        <w:w w:val="105"/>
                        <w:sz w:val="16"/>
                      </w:rPr>
                      <w:t> </w:t>
                    </w:r>
                    <w:r>
                      <w:rPr>
                        <w:b/>
                        <w:w w:val="105"/>
                        <w:sz w:val="16"/>
                      </w:rPr>
                      <w:t>Homogeneidad</w:t>
                    </w:r>
                    <w:r>
                      <w:rPr>
                        <w:b/>
                        <w:spacing w:val="-16"/>
                        <w:w w:val="105"/>
                        <w:sz w:val="16"/>
                      </w:rPr>
                      <w:t> </w:t>
                    </w:r>
                    <w:r>
                      <w:rPr>
                        <w:b/>
                        <w:w w:val="105"/>
                        <w:sz w:val="16"/>
                      </w:rPr>
                      <w:t>de</w:t>
                    </w:r>
                    <w:r>
                      <w:rPr>
                        <w:b/>
                        <w:spacing w:val="-17"/>
                        <w:w w:val="105"/>
                        <w:sz w:val="16"/>
                      </w:rPr>
                      <w:t> </w:t>
                    </w:r>
                    <w:r>
                      <w:rPr>
                        <w:b/>
                        <w:w w:val="105"/>
                        <w:sz w:val="16"/>
                      </w:rPr>
                      <w:t>sus</w:t>
                    </w:r>
                    <w:r>
                      <w:rPr>
                        <w:b/>
                        <w:spacing w:val="-17"/>
                        <w:w w:val="105"/>
                        <w:sz w:val="16"/>
                      </w:rPr>
                      <w:t> </w:t>
                    </w:r>
                    <w:r>
                      <w:rPr>
                        <w:b/>
                        <w:w w:val="105"/>
                        <w:sz w:val="16"/>
                      </w:rPr>
                      <w:t>Logros</w:t>
                    </w:r>
                    <w:r>
                      <w:rPr>
                        <w:b/>
                        <w:spacing w:val="-17"/>
                        <w:w w:val="105"/>
                        <w:sz w:val="16"/>
                      </w:rPr>
                      <w:t> </w:t>
                    </w:r>
                    <w:r>
                      <w:rPr>
                        <w:b/>
                        <w:w w:val="105"/>
                        <w:sz w:val="16"/>
                      </w:rPr>
                      <w:t>Relativos</w:t>
                    </w:r>
                  </w:p>
                  <w:p>
                    <w:pPr>
                      <w:spacing w:line="181" w:lineRule="exact" w:before="32"/>
                      <w:ind w:left="57" w:right="0" w:firstLine="0"/>
                      <w:jc w:val="center"/>
                      <w:rPr>
                        <w:b/>
                        <w:sz w:val="16"/>
                      </w:rPr>
                    </w:pPr>
                    <w:r>
                      <w:rPr>
                        <w:b/>
                        <w:w w:val="105"/>
                        <w:sz w:val="16"/>
                      </w:rPr>
                      <w:t>(r = 0,94)</w:t>
                    </w:r>
                  </w:p>
                </w:txbxContent>
              </v:textbox>
              <w10:wrap type="none"/>
            </v:shape>
            <v:shape style="position:absolute;left:2884;top:1604;width:209;height:2128" type="#_x0000_t202" filled="false" stroked="false">
              <v:textbox inset="0,0,0,0">
                <w:txbxContent>
                  <w:p>
                    <w:pPr>
                      <w:spacing w:line="157" w:lineRule="exact" w:before="0"/>
                      <w:ind w:left="-1" w:right="0" w:firstLine="0"/>
                      <w:jc w:val="center"/>
                      <w:rPr>
                        <w:sz w:val="15"/>
                      </w:rPr>
                    </w:pPr>
                    <w:r>
                      <w:rPr>
                        <w:spacing w:val="-2"/>
                        <w:sz w:val="15"/>
                      </w:rPr>
                      <w:t>0,8</w:t>
                    </w:r>
                  </w:p>
                  <w:p>
                    <w:pPr>
                      <w:spacing w:before="74"/>
                      <w:ind w:left="0" w:right="0" w:firstLine="0"/>
                      <w:jc w:val="center"/>
                      <w:rPr>
                        <w:sz w:val="15"/>
                      </w:rPr>
                    </w:pPr>
                    <w:r>
                      <w:rPr>
                        <w:sz w:val="15"/>
                      </w:rPr>
                      <w:t>0,7</w:t>
                    </w:r>
                  </w:p>
                  <w:p>
                    <w:pPr>
                      <w:spacing w:before="74"/>
                      <w:ind w:left="0" w:right="0" w:firstLine="0"/>
                      <w:jc w:val="center"/>
                      <w:rPr>
                        <w:sz w:val="15"/>
                      </w:rPr>
                    </w:pPr>
                    <w:r>
                      <w:rPr>
                        <w:sz w:val="15"/>
                      </w:rPr>
                      <w:t>0,6</w:t>
                    </w:r>
                  </w:p>
                  <w:p>
                    <w:pPr>
                      <w:spacing w:before="74"/>
                      <w:ind w:left="0" w:right="0" w:firstLine="0"/>
                      <w:jc w:val="center"/>
                      <w:rPr>
                        <w:sz w:val="15"/>
                      </w:rPr>
                    </w:pPr>
                    <w:r>
                      <w:rPr>
                        <w:sz w:val="15"/>
                      </w:rPr>
                      <w:t>0,5</w:t>
                    </w:r>
                  </w:p>
                  <w:p>
                    <w:pPr>
                      <w:spacing w:before="74"/>
                      <w:ind w:left="0" w:right="0" w:firstLine="0"/>
                      <w:jc w:val="center"/>
                      <w:rPr>
                        <w:sz w:val="15"/>
                      </w:rPr>
                    </w:pPr>
                    <w:r>
                      <w:rPr>
                        <w:sz w:val="15"/>
                      </w:rPr>
                      <w:t>0,4</w:t>
                    </w:r>
                  </w:p>
                  <w:p>
                    <w:pPr>
                      <w:spacing w:before="74"/>
                      <w:ind w:left="0" w:right="0" w:firstLine="0"/>
                      <w:jc w:val="center"/>
                      <w:rPr>
                        <w:sz w:val="15"/>
                      </w:rPr>
                    </w:pPr>
                    <w:r>
                      <w:rPr>
                        <w:sz w:val="15"/>
                      </w:rPr>
                      <w:t>0,3</w:t>
                    </w:r>
                  </w:p>
                  <w:p>
                    <w:pPr>
                      <w:spacing w:before="74"/>
                      <w:ind w:left="0" w:right="0" w:firstLine="0"/>
                      <w:jc w:val="center"/>
                      <w:rPr>
                        <w:sz w:val="15"/>
                      </w:rPr>
                    </w:pPr>
                    <w:r>
                      <w:rPr>
                        <w:sz w:val="15"/>
                      </w:rPr>
                      <w:t>0,2</w:t>
                    </w:r>
                  </w:p>
                  <w:p>
                    <w:pPr>
                      <w:spacing w:before="74"/>
                      <w:ind w:left="0" w:right="0" w:firstLine="0"/>
                      <w:jc w:val="center"/>
                      <w:rPr>
                        <w:sz w:val="15"/>
                      </w:rPr>
                    </w:pPr>
                    <w:r>
                      <w:rPr>
                        <w:sz w:val="15"/>
                      </w:rPr>
                      <w:t>0,1</w:t>
                    </w:r>
                  </w:p>
                  <w:p>
                    <w:pPr>
                      <w:spacing w:line="170" w:lineRule="exact" w:before="74"/>
                      <w:ind w:left="123" w:right="0" w:firstLine="0"/>
                      <w:jc w:val="center"/>
                      <w:rPr>
                        <w:sz w:val="15"/>
                      </w:rPr>
                    </w:pPr>
                    <w:r>
                      <w:rPr>
                        <w:w w:val="102"/>
                        <w:sz w:val="15"/>
                      </w:rPr>
                      <w:t>0</w:t>
                    </w:r>
                  </w:p>
                </w:txbxContent>
              </v:textbox>
              <w10:wrap type="none"/>
            </v:shape>
            <v:shape style="position:absolute;left:7824;top:1933;width:691;height:155" type="#_x0000_t202" filled="false" stroked="false">
              <v:textbox inset="0,0,0,0">
                <w:txbxContent>
                  <w:p>
                    <w:pPr>
                      <w:spacing w:line="154" w:lineRule="exact" w:before="0"/>
                      <w:ind w:left="0" w:right="-5" w:firstLine="0"/>
                      <w:jc w:val="left"/>
                      <w:rPr>
                        <w:sz w:val="15"/>
                      </w:rPr>
                    </w:pPr>
                    <w:r>
                      <w:rPr>
                        <w:sz w:val="15"/>
                      </w:rPr>
                      <w:t>Occidente</w:t>
                    </w:r>
                  </w:p>
                </w:txbxContent>
              </v:textbox>
              <w10:wrap type="none"/>
            </v:shape>
            <v:shape style="position:absolute;left:8573;top:2087;width:455;height:155" type="#_x0000_t202" filled="false" stroked="false">
              <v:textbox inset="0,0,0,0">
                <w:txbxContent>
                  <w:p>
                    <w:pPr>
                      <w:spacing w:line="154" w:lineRule="exact" w:before="0"/>
                      <w:ind w:left="0" w:right="-16" w:firstLine="0"/>
                      <w:jc w:val="left"/>
                      <w:rPr>
                        <w:sz w:val="15"/>
                      </w:rPr>
                    </w:pPr>
                    <w:r>
                      <w:rPr>
                        <w:sz w:val="15"/>
                      </w:rPr>
                      <w:t>Centro</w:t>
                    </w:r>
                  </w:p>
                </w:txbxContent>
              </v:textbox>
              <w10:wrap type="none"/>
            </v:shape>
            <v:shape style="position:absolute;left:3336;top:2652;width:496;height:155" type="#_x0000_t202" filled="false" stroked="false">
              <v:textbox inset="0,0,0,0">
                <w:txbxContent>
                  <w:p>
                    <w:pPr>
                      <w:spacing w:line="154" w:lineRule="exact" w:before="0"/>
                      <w:ind w:left="0" w:right="-16" w:firstLine="0"/>
                      <w:jc w:val="left"/>
                      <w:rPr>
                        <w:sz w:val="15"/>
                      </w:rPr>
                    </w:pPr>
                    <w:r>
                      <w:rPr>
                        <w:sz w:val="15"/>
                      </w:rPr>
                      <w:t>Oriente</w:t>
                    </w:r>
                  </w:p>
                </w:txbxContent>
              </v:textbox>
              <w10:wrap type="none"/>
            </v:shape>
            <v:shape style="position:absolute;left:3172;top:3803;width:6432;height:422" type="#_x0000_t202" filled="false" stroked="false">
              <v:textbox inset="0,0,0,0">
                <w:txbxContent>
                  <w:p>
                    <w:pPr>
                      <w:tabs>
                        <w:tab w:pos="985" w:val="left" w:leader="none"/>
                        <w:tab w:pos="2033" w:val="left" w:leader="none"/>
                        <w:tab w:pos="3080" w:val="left" w:leader="none"/>
                        <w:tab w:pos="4128" w:val="left" w:leader="none"/>
                        <w:tab w:pos="5237" w:val="left" w:leader="none"/>
                        <w:tab w:pos="6222" w:val="left" w:leader="none"/>
                      </w:tabs>
                      <w:spacing w:line="157" w:lineRule="exact" w:before="0"/>
                      <w:ind w:left="-1" w:right="0" w:firstLine="0"/>
                      <w:jc w:val="center"/>
                      <w:rPr>
                        <w:sz w:val="15"/>
                      </w:rPr>
                    </w:pPr>
                    <w:r>
                      <w:rPr>
                        <w:w w:val="105"/>
                        <w:sz w:val="15"/>
                      </w:rPr>
                      <w:t>0</w:t>
                      <w:tab/>
                    </w:r>
                    <w:r>
                      <w:rPr>
                        <w:spacing w:val="-2"/>
                        <w:w w:val="105"/>
                        <w:sz w:val="15"/>
                      </w:rPr>
                      <w:t>0,2</w:t>
                      <w:tab/>
                      <w:t>0,4</w:t>
                      <w:tab/>
                      <w:t>0,6</w:t>
                      <w:tab/>
                      <w:t>0,8</w:t>
                      <w:tab/>
                    </w:r>
                    <w:r>
                      <w:rPr>
                        <w:w w:val="105"/>
                        <w:sz w:val="15"/>
                      </w:rPr>
                      <w:t>1</w:t>
                      <w:tab/>
                    </w:r>
                    <w:r>
                      <w:rPr>
                        <w:spacing w:val="-2"/>
                        <w:sz w:val="15"/>
                      </w:rPr>
                      <w:t>1,2</w:t>
                    </w:r>
                  </w:p>
                  <w:p>
                    <w:pPr>
                      <w:spacing w:line="170" w:lineRule="exact" w:before="94"/>
                      <w:ind w:left="1690" w:right="1743" w:firstLine="0"/>
                      <w:jc w:val="center"/>
                      <w:rPr>
                        <w:b/>
                        <w:sz w:val="15"/>
                      </w:rPr>
                    </w:pPr>
                    <w:r>
                      <w:rPr>
                        <w:b/>
                        <w:w w:val="105"/>
                        <w:sz w:val="15"/>
                      </w:rPr>
                      <w:t>Homogeneidad de los Logros Relativos</w:t>
                    </w:r>
                  </w:p>
                </w:txbxContent>
              </v:textbox>
              <w10:wrap type="none"/>
            </v:shape>
            <w10:wrap type="none"/>
          </v:group>
        </w:pict>
      </w:r>
      <w:r>
        <w:rPr/>
        <w:pict>
          <v:shape style="position:absolute;margin-left:130.804108pt;margin-top:120.424515pt;width:9.75pt;height:25.1pt;mso-position-horizontal-relative:page;mso-position-vertical-relative:paragraph;z-index:1816" type="#_x0000_t202" filled="false" stroked="false">
            <v:textbox inset="0,0,0,0" style="layout-flow:vertical;mso-layout-flow-alt:bottom-to-top">
              <w:txbxContent>
                <w:p>
                  <w:pPr>
                    <w:spacing w:before="4"/>
                    <w:ind w:left="20" w:right="-306" w:firstLine="0"/>
                    <w:jc w:val="left"/>
                    <w:rPr>
                      <w:b/>
                      <w:sz w:val="15"/>
                    </w:rPr>
                  </w:pPr>
                  <w:r>
                    <w:rPr>
                      <w:b/>
                      <w:spacing w:val="-2"/>
                      <w:w w:val="102"/>
                      <w:sz w:val="15"/>
                    </w:rPr>
                    <w:t>IT</w:t>
                  </w:r>
                  <w:r>
                    <w:rPr>
                      <w:b/>
                      <w:spacing w:val="1"/>
                      <w:w w:val="102"/>
                      <w:sz w:val="15"/>
                    </w:rPr>
                    <w:t>DH</w:t>
                  </w:r>
                  <w:r>
                    <w:rPr>
                      <w:b/>
                      <w:w w:val="102"/>
                      <w:sz w:val="15"/>
                    </w:rPr>
                    <w:t>E</w:t>
                  </w:r>
                </w:p>
              </w:txbxContent>
            </v:textbox>
            <w10:wrap type="none"/>
          </v:shape>
        </w:pict>
      </w:r>
      <w:r>
        <w:rPr/>
        <w:t>Figura 2</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3"/>
        <w:rPr>
          <w:b/>
          <w:sz w:val="25"/>
        </w:rPr>
      </w:pPr>
    </w:p>
    <w:p>
      <w:pPr>
        <w:pStyle w:val="BodyText"/>
        <w:spacing w:line="477" w:lineRule="auto"/>
        <w:ind w:left="102" w:right="1775" w:firstLine="707"/>
      </w:pPr>
      <w:r>
        <w:rPr/>
        <w:t>La dinámica regional en el logro de cada una de las dimensiones consideradas dentro del ITDHE puede ser fácilmente observada con el siguiente gráfico.</w:t>
      </w:r>
    </w:p>
    <w:p>
      <w:pPr>
        <w:pStyle w:val="Heading2"/>
        <w:spacing w:before="127"/>
        <w:ind w:left="4053" w:right="5202"/>
        <w:jc w:val="center"/>
      </w:pPr>
      <w:r>
        <w:rPr/>
        <w:t>Figura 3</w:t>
      </w:r>
    </w:p>
    <w:p>
      <w:pPr>
        <w:pStyle w:val="BodyText"/>
        <w:rPr>
          <w:b/>
          <w:sz w:val="20"/>
        </w:rPr>
      </w:pPr>
    </w:p>
    <w:p>
      <w:pPr>
        <w:pStyle w:val="BodyText"/>
        <w:spacing w:before="5"/>
        <w:rPr>
          <w:b/>
          <w:sz w:val="14"/>
        </w:rPr>
      </w:pPr>
      <w:r>
        <w:rPr/>
        <w:pict>
          <v:group style="position:absolute;margin-left:87.827576pt;margin-top:10.273250pt;width:445.6pt;height:265.9pt;mso-position-horizontal-relative:page;mso-position-vertical-relative:paragraph;z-index:1624;mso-wrap-distance-left:0;mso-wrap-distance-right:0" coordorigin="1757,205" coordsize="8912,5318">
            <v:rect style="position:absolute;left:1763;top:212;width:8898;height:5304" filled="false" stroked="true" strokeweight=".638371pt" strokecolor="#000000"/>
            <v:line style="position:absolute" from="5720,1671" to="5720,2339" stroked="true" strokeweight=".614517pt" strokecolor="#000000"/>
            <v:line style="position:absolute" from="5720,2507" to="5720,3227" stroked="true" strokeweight=".614517pt" strokecolor="#000000"/>
            <v:line style="position:absolute" from="5683,2838" to="5744,2838" stroked="true" strokeweight=".646847pt" strokecolor="#000000"/>
            <v:line style="position:absolute" from="5757,2838" to="5695,2838" stroked="true" strokeweight=".646847pt" strokecolor="#000000"/>
            <v:line style="position:absolute" from="5683,2060" to="5744,2060" stroked="true" strokeweight=".646847pt" strokecolor="#000000"/>
            <v:line style="position:absolute" from="5757,2060" to="5695,2060" stroked="true" strokeweight=".646847pt" strokecolor="#000000"/>
            <v:line style="position:absolute" from="5683,1658" to="5744,1658" stroked="true" strokeweight=".646847pt" strokecolor="#000000"/>
            <v:line style="position:absolute" from="5757,1658" to="5695,1658" stroked="true" strokeweight=".646847pt" strokecolor="#000000"/>
            <v:line style="position:absolute" from="5720,3227" to="6668,2034" stroked="true" strokeweight=".627028pt" strokecolor="#000000"/>
            <v:line style="position:absolute" from="5929,2903" to="5966,2942" stroked="true" strokeweight=".629854pt" strokecolor="#000000"/>
            <v:line style="position:absolute" from="5978,2955" to="5941,2916" stroked="true" strokeweight=".629854pt" strokecolor="#000000"/>
            <v:line style="position:absolute" from="6175,2605" to="6212,2644" stroked="true" strokeweight=".629854pt" strokecolor="#000000"/>
            <v:line style="position:absolute" from="6224,2657" to="6188,2618" stroked="true" strokeweight=".629854pt" strokecolor="#000000"/>
            <v:line style="position:absolute" from="6409,2307" to="6446,2345" stroked="true" strokeweight=".629854pt" strokecolor="#000000"/>
            <v:line style="position:absolute" from="6458,2358" to="6421,2319" stroked="true" strokeweight=".629854pt" strokecolor="#000000"/>
            <v:line style="position:absolute" from="6655,1995" to="6692,2034" stroked="true" strokeweight=".630068pt" strokecolor="#000000"/>
            <v:line style="position:absolute" from="6705,2047" to="6668,2008" stroked="true" strokeweight=".629854pt" strokecolor="#000000"/>
            <v:line style="position:absolute" from="5720,3227" to="7172,2955" stroked="true" strokeweight=".645748pt" strokecolor="#000000"/>
            <v:line style="position:absolute" from="6089,3123" to="6089,3188" stroked="true" strokeweight=".614517pt" strokecolor="#000000"/>
            <v:line style="position:absolute" from="6089,3201" to="6089,3136" stroked="true" strokeweight=".614517pt" strokecolor="#000000"/>
            <v:line style="position:absolute" from="6446,3059" to="6446,3123" stroked="true" strokeweight=".614517pt" strokecolor="#000000"/>
            <v:line style="position:absolute" from="6446,3136" to="6446,3072" stroked="true" strokeweight=".614517pt" strokecolor="#000000"/>
            <v:line style="position:absolute" from="6815,2981" to="6815,3046" stroked="true" strokeweight=".614517pt" strokecolor="#000000"/>
            <v:line style="position:absolute" from="6815,3059" to="6815,2994" stroked="true" strokeweight=".614517pt" strokecolor="#000000"/>
            <v:line style="position:absolute" from="7184,2916" to="7184,2981" stroked="true" strokeweight=".614517pt" strokecolor="#000000"/>
            <v:line style="position:absolute" from="7184,2994" to="7184,2929" stroked="true" strokeweight=".614517pt" strokecolor="#000000"/>
            <v:line style="position:absolute" from="5720,3227" to="7000,4018" stroked="true" strokeweight=".637918pt" strokecolor="#000000"/>
            <v:line style="position:absolute" from="6065,3383" to="6027,3448" stroked="true" strokeweight=".622552pt" strokecolor="#000000"/>
            <v:line style="position:absolute" from="6015,3461" to="6052,3396" stroked="true" strokeweight=".622445pt" strokecolor="#000000"/>
            <v:line style="position:absolute" from="6385,3577" to="6347,3642" stroked="true" strokeweight=".622552pt" strokecolor="#000000"/>
            <v:line style="position:absolute" from="6335,3655" to="6372,3590" stroked="true" strokeweight=".622552pt" strokecolor="#000000"/>
            <v:line style="position:absolute" from="6705,3772" to="6668,3837" stroked="true" strokeweight=".622445pt" strokecolor="#000000"/>
            <v:line style="position:absolute" from="6655,3849" to="6692,3785" stroked="true" strokeweight=".622605pt" strokecolor="#000000"/>
            <v:line style="position:absolute" from="7037,3979" to="6988,4044" stroked="true" strokeweight=".626255pt" strokecolor="#000000"/>
            <v:line style="position:absolute" from="6988,4057" to="7037,3992" stroked="true" strokeweight=".626255pt" strokecolor="#000000"/>
            <v:line style="position:absolute" from="5720,3227" to="6224,4692" stroked="true" strokeweight=".617946pt" strokecolor="#000000"/>
            <v:line style="position:absolute" from="5880,3577" to="5819,3603" stroked="true" strokeweight=".641979pt" strokecolor="#000000"/>
            <v:line style="position:absolute" from="5806,3603" to="5868,3577" stroked="true" strokeweight=".641979pt" strokecolor="#000000"/>
            <v:line style="position:absolute" from="6003,3953" to="5941,3979" stroked="true" strokeweight=".641979pt" strokecolor="#000000"/>
            <v:line style="position:absolute" from="5929,3979" to="5991,3953" stroked="true" strokeweight=".641979pt" strokecolor="#000000"/>
            <v:line style="position:absolute" from="6126,4316" to="6065,4342" stroked="true" strokeweight=".641979pt" strokecolor="#000000"/>
            <v:line style="position:absolute" from="6052,4342" to="6114,4316" stroked="true" strokeweight=".642023pt" strokecolor="#000000"/>
            <v:line style="position:absolute" from="6261,4692" to="6200,4718" stroked="true" strokeweight=".641979pt" strokecolor="#000000"/>
            <v:line style="position:absolute" from="6188,4718" to="6249,4692" stroked="true" strokeweight=".641979pt" strokecolor="#000000"/>
            <v:line style="position:absolute" from="5720,3227" to="5215,4692" stroked="true" strokeweight=".617940pt" strokecolor="#000000"/>
            <v:line style="position:absolute" from="5634,3603" to="5572,3577" stroked="true" strokeweight=".641979pt" strokecolor="#000000"/>
            <v:line style="position:absolute" from="5560,3577" to="5621,3603" stroked="true" strokeweight=".641979pt" strokecolor="#000000"/>
            <v:line style="position:absolute" from="5511,3979" to="5449,3953" stroked="true" strokeweight=".642023pt" strokecolor="#000000"/>
            <v:line style="position:absolute" from="5437,3953" to="5498,3979" stroked="true" strokeweight=".642023pt" strokecolor="#000000"/>
            <v:line style="position:absolute" from="5388,4342" to="5326,4316" stroked="true" strokeweight=".641979pt" strokecolor="#000000"/>
            <v:line style="position:absolute" from="5314,4316" to="5375,4342" stroked="true" strokeweight=".641979pt" strokecolor="#000000"/>
            <v:line style="position:absolute" from="5252,4718" to="5191,4692" stroked="true" strokeweight=".641979pt" strokecolor="#000000"/>
            <v:line style="position:absolute" from="5179,4692" to="5240,4718" stroked="true" strokeweight=".641979pt" strokecolor="#000000"/>
            <v:line style="position:absolute" from="5720,3227" to="4440,4018" stroked="true" strokeweight=".637913pt" strokecolor="#000000"/>
            <v:line style="position:absolute" from="5424,3461" to="5375,3396" stroked="true" strokeweight=".626354pt" strokecolor="#000000"/>
            <v:line style="position:absolute" from="5375,3383" to="5424,3448" stroked="true" strokeweight=".626354pt" strokecolor="#000000"/>
            <v:line style="position:absolute" from="5104,3655" to="5055,3590" stroked="true" strokeweight=".626354pt" strokecolor="#000000"/>
            <v:line style="position:absolute" from="5055,3577" to="5104,3642" stroked="true" strokeweight=".626354pt" strokecolor="#000000"/>
            <v:line style="position:absolute" from="4785,3849" to="4735,3785" stroked="true" strokeweight=".626354pt" strokecolor="#000000"/>
            <v:line style="position:absolute" from="4735,3772" to="4785,3837" stroked="true" strokeweight=".626354pt" strokecolor="#000000"/>
            <v:line style="position:absolute" from="4452,4057" to="4403,3992" stroked="true" strokeweight=".626255pt" strokecolor="#000000"/>
            <v:line style="position:absolute" from="4403,3979" to="4452,4044" stroked="true" strokeweight=".626255pt" strokecolor="#000000"/>
            <v:line style="position:absolute" from="5720,3227" to="4268,2955" stroked="true" strokeweight=".645747pt" strokecolor="#000000"/>
            <v:line style="position:absolute" from="5351,3201" to="5351,3136" stroked="true" strokeweight=".614517pt" strokecolor="#000000"/>
            <v:line style="position:absolute" from="5351,3123" to="5351,3188" stroked="true" strokeweight=".614517pt" strokecolor="#000000"/>
            <v:line style="position:absolute" from="4625,3059" to="4625,2994" stroked="true" strokeweight=".614517pt" strokecolor="#000000"/>
            <v:line style="position:absolute" from="4625,2981" to="4625,3046" stroked="true" strokeweight=".614517pt" strokecolor="#000000"/>
            <v:line style="position:absolute" from="4255,2994" to="4255,2929" stroked="true" strokeweight=".614517pt" strokecolor="#000000"/>
            <v:line style="position:absolute" from="4255,2916" to="4255,2981" stroked="true" strokeweight=".614517pt" strokecolor="#000000"/>
            <v:line style="position:absolute" from="5720,3227" to="4772,2034" stroked="true" strokeweight=".627021pt" strokecolor="#000000"/>
            <v:line style="position:absolute" from="5461,2955" to="5498,2916" stroked="true" strokeweight=".629997pt" strokecolor="#000000"/>
            <v:line style="position:absolute" from="5511,2903" to="5474,2942" stroked="true" strokeweight=".629854pt" strokecolor="#000000"/>
            <v:line style="position:absolute" from="5215,2657" to="5252,2618" stroked="true" strokeweight=".629854pt" strokecolor="#000000"/>
            <v:line style="position:absolute" from="5265,2605" to="5228,2644" stroked="true" strokeweight=".629854pt" strokecolor="#000000"/>
            <v:line style="position:absolute" from="4981,2358" to="5018,2319" stroked="true" strokeweight=".629854pt" strokecolor="#000000"/>
            <v:line style="position:absolute" from="5031,2307" to="4994,2345" stroked="true" strokeweight=".629854pt" strokecolor="#000000"/>
            <v:line style="position:absolute" from="4735,2047" to="4772,2008" stroked="true" strokeweight=".629854pt" strokecolor="#000000"/>
            <v:line style="position:absolute" from="4785,1995" to="4748,2034" stroked="true" strokeweight=".629854pt" strokecolor="#000000"/>
            <v:line style="position:absolute" from="5714,1651" to="6674,2015" stroked="true" strokeweight="1.92841pt" strokecolor="#333333"/>
            <v:line style="position:absolute" from="6674,2015" to="7178,2948" stroked="true" strokeweight="1.86545pt" strokecolor="#333333"/>
            <v:line style="position:absolute" from="7178,2948" to="6366,3623" stroked="true" strokeweight="1.900944pt" strokecolor="#333333"/>
            <v:line style="position:absolute" from="6366,3623" to="6218,4699" stroked="true" strokeweight="1.845346pt" strokecolor="#333333"/>
            <v:line style="position:absolute" from="5209,4699" to="6132,4699" stroked="true" strokeweight="1.940542pt" strokecolor="#333333"/>
            <v:line style="position:absolute" from="5209,4699" to="5061,3623" stroked="true" strokeweight="1.845346pt" strokecolor="#333333"/>
            <v:line style="position:absolute" from="5061,3623" to="4249,2948" stroked="true" strokeweight="1.900973pt" strokecolor="#333333"/>
            <v:line style="position:absolute" from="4249,2948" to="5234,2611" stroked="true" strokeweight="1.930383pt" strokecolor="#333333"/>
            <v:line style="position:absolute" from="5234,2611" to="5714,1651" stroked="true" strokeweight="1.862939pt" strokecolor="#333333"/>
            <v:line style="position:absolute" from="5714,2430" to="6501,2235" stroked="true" strokeweight="1.934965pt" strokecolor="#c0c0c0"/>
            <v:line style="position:absolute" from="6501,2235" to="6735,3026" stroked="true" strokeweight="1.851358pt" strokecolor="#c0c0c0"/>
            <v:line style="position:absolute" from="6735,3026" to="6883,3934" stroked="true" strokeweight="1.846045pt" strokecolor="#c0c0c0"/>
            <v:line style="position:absolute" from="6883,3934" to="6218,4699" stroked="true" strokeweight="1.88526pt" strokecolor="#c0c0c0"/>
            <v:line style="position:absolute" from="6218,4699" to="5308,4401" stroked="true" strokeweight="1.931164pt" strokecolor="#c0c0c0"/>
            <v:line style="position:absolute" from="5308,4401" to="4422,4012" stroked="true" strokeweight="1.924841pt" strokecolor="#c0c0c0"/>
            <v:line style="position:absolute" from="4422,4012" to="4975,3078" stroked="true" strokeweight="1.868801pt" strokecolor="#c0c0c0"/>
            <v:line style="position:absolute" from="4975,3078" to="4754,2015" stroked="true" strokeweight="1.847591pt" strokecolor="#c0c0c0"/>
            <v:line style="position:absolute" from="4754,2015" to="5714,2430" stroked="true" strokeweight="1.925247pt" strokecolor="#c0c0c0"/>
            <v:line style="position:absolute" from="5714,2352" to="6194,2611" stroked="true" strokeweight="1.918602pt" strokecolor="#808080"/>
            <v:line style="position:absolute" from="6194,2611" to="6452,3078" stroked="true" strokeweight="1.866319pt" strokecolor="#808080"/>
            <v:line style="position:absolute" from="6452,3078" to="7006,4012" stroked="true" strokeweight="1.868801pt" strokecolor="#808080"/>
            <v:line style="position:absolute" from="7006,4012" to="5972,3960" stroked="true" strokeweight="1.9403pt" strokecolor="#808080"/>
            <v:line style="position:absolute" from="5972,3960" to="5455,3960" stroked="true" strokeweight="1.940542pt" strokecolor="#808080"/>
            <v:line style="position:absolute" from="5455,3960" to="4434,3999" stroked="true" strokeweight="1.940402pt" strokecolor="#808080"/>
            <v:line style="position:absolute" from="4434,3999" to="4766,3039" stroked="true" strokeweight="1.853931pt" strokecolor="#808080"/>
            <v:line style="position:absolute" from="4766,3039" to="4754,2015" stroked="true" strokeweight="1.843564pt" strokecolor="#808080"/>
            <v:line style="position:absolute" from="4754,2015" to="5714,2352" stroked="true" strokeweight="1.929888pt" strokecolor="#808080"/>
            <v:shape style="position:absolute;left:5627;top:1561;width:185;height:194" type="#_x0000_t75" stroked="false">
              <v:imagedata r:id="rId19" o:title=""/>
            </v:shape>
            <v:shape style="position:absolute;left:6593;top:1931;width:173;height:182" coordorigin="6593,1931" coordsize="173,182" path="m6680,1931l6593,2021,6680,2112,6766,2021,6680,1931xe" filled="true" fillcolor="#333333" stroked="false">
              <v:path arrowok="t"/>
              <v:fill type="solid"/>
            </v:shape>
            <v:shape style="position:absolute;left:6593;top:1931;width:173;height:182" coordorigin="6593,1931" coordsize="173,182" path="m6680,1931l6766,2021,6680,2112,6593,2021,6680,1931xe" filled="false" stroked="true" strokeweight=".629869pt" strokecolor="#333333">
              <v:path arrowok="t"/>
            </v:shape>
            <v:shape style="position:absolute;left:7092;top:2858;width:185;height:194" type="#_x0000_t75" stroked="false">
              <v:imagedata r:id="rId20" o:title=""/>
            </v:shape>
            <v:shape style="position:absolute;left:6280;top:3532;width:185;height:194" type="#_x0000_t75" stroked="false">
              <v:imagedata r:id="rId21" o:title=""/>
            </v:shape>
            <v:shape style="position:absolute;left:6138;top:4615;width:173;height:182" coordorigin="6138,4615" coordsize="173,182" path="m6224,4615l6138,4705,6224,4796,6310,4705,6224,4615xe" filled="true" fillcolor="#333333" stroked="false">
              <v:path arrowok="t"/>
              <v:fill type="solid"/>
            </v:shape>
            <v:shape style="position:absolute;left:6138;top:4615;width:173;height:182" coordorigin="6138,4615" coordsize="173,182" path="m6224,4615l6310,4705,6224,4796,6138,4705,6224,4615xe" filled="false" stroked="true" strokeweight=".629816pt" strokecolor="#333333">
              <v:path arrowok="t"/>
            </v:shape>
            <v:shape style="position:absolute;left:5123;top:4609;width:185;height:194" type="#_x0000_t75" stroked="false">
              <v:imagedata r:id="rId22" o:title=""/>
            </v:shape>
            <v:shape style="position:absolute;left:4975;top:3532;width:185;height:194" type="#_x0000_t75" stroked="false">
              <v:imagedata r:id="rId23" o:title=""/>
            </v:shape>
            <v:shape style="position:absolute;left:4163;top:2858;width:185;height:194" type="#_x0000_t75" stroked="false">
              <v:imagedata r:id="rId24" o:title=""/>
            </v:shape>
            <v:shape style="position:absolute;left:5147;top:2521;width:185;height:194" type="#_x0000_t75" stroked="false">
              <v:imagedata r:id="rId25" o:title=""/>
            </v:shape>
            <v:rect style="position:absolute;left:5628;top:2339;width:160;height:169" filled="true" fillcolor="#c0c0c0" stroked="false">
              <v:fill type="solid"/>
            </v:rect>
            <v:rect style="position:absolute;left:6415;top:2144;width:160;height:169" filled="true" fillcolor="#c0c0c0" stroked="false">
              <v:fill type="solid"/>
            </v:rect>
            <v:rect style="position:absolute;left:6649;top:2935;width:160;height:169" filled="true" fillcolor="#c0c0c0" stroked="false">
              <v:fill type="solid"/>
            </v:rect>
            <v:rect style="position:absolute;left:6797;top:3843;width:160;height:169" filled="true" fillcolor="#c0c0c0" stroked="false">
              <v:fill type="solid"/>
            </v:rect>
            <v:rect style="position:absolute;left:6132;top:4608;width:160;height:169" filled="true" fillcolor="#c0c0c0" stroked="false">
              <v:fill type="solid"/>
            </v:rect>
            <v:rect style="position:absolute;left:5222;top:4310;width:160;height:169" filled="true" fillcolor="#c0c0c0" stroked="false">
              <v:fill type="solid"/>
            </v:rect>
            <v:rect style="position:absolute;left:4336;top:3921;width:160;height:169" filled="true" fillcolor="#c0c0c0" stroked="false">
              <v:fill type="solid"/>
            </v:rect>
            <v:rect style="position:absolute;left:4889;top:2987;width:160;height:169" filled="true" fillcolor="#c0c0c0" stroked="false">
              <v:fill type="solid"/>
            </v:rect>
            <v:rect style="position:absolute;left:4668;top:1924;width:160;height:169" filled="true" fillcolor="#c0c0c0" stroked="false">
              <v:fill type="solid"/>
            </v:rect>
            <v:shape style="position:absolute;left:5634;top:2268;width:173;height:182" coordorigin="5634,2268" coordsize="173,182" path="m5720,2268l5634,2449,5806,2449,5720,2268xe" filled="true" fillcolor="#808080" stroked="false">
              <v:path arrowok="t"/>
              <v:fill type="solid"/>
            </v:shape>
            <v:shape style="position:absolute;left:5634;top:2268;width:173;height:182" coordorigin="5634,2268" coordsize="173,182" path="m5720,2268l5806,2449,5634,2449,5720,2268xe" filled="false" stroked="true" strokeweight=".629869pt" strokecolor="#808080">
              <v:path arrowok="t"/>
            </v:shape>
            <v:shape style="position:absolute;left:6108;top:2521;width:185;height:194" type="#_x0000_t75" stroked="false">
              <v:imagedata r:id="rId26" o:title=""/>
            </v:shape>
            <v:shape style="position:absolute;left:6366;top:2988;width:185;height:194" type="#_x0000_t75" stroked="false">
              <v:imagedata r:id="rId27" o:title=""/>
            </v:shape>
            <v:shape style="position:absolute;left:6926;top:3927;width:173;height:182" coordorigin="6926,3927" coordsize="173,182" path="m7012,3927l6926,4109,7098,4109,7012,3927xe" filled="true" fillcolor="#808080" stroked="false">
              <v:path arrowok="t"/>
              <v:fill type="solid"/>
            </v:shape>
            <v:shape style="position:absolute;left:6926;top:3927;width:173;height:182" coordorigin="6926,3927" coordsize="173,182" path="m7012,3927l7098,4109,6926,4109,7012,3927xe" filled="false" stroked="true" strokeweight=".629862pt" strokecolor="#808080">
              <v:path arrowok="t"/>
            </v:shape>
            <v:shape style="position:absolute;left:5886;top:3869;width:185;height:194" type="#_x0000_t75" stroked="false">
              <v:imagedata r:id="rId28" o:title=""/>
            </v:shape>
            <v:shape style="position:absolute;left:5369;top:3869;width:185;height:194" type="#_x0000_t75" stroked="false">
              <v:imagedata r:id="rId29" o:title=""/>
            </v:shape>
            <v:shape style="position:absolute;left:4354;top:3915;width:173;height:182" coordorigin="4354,3915" coordsize="173,182" path="m4440,3915l4354,4096,4526,4096,4440,3915xe" filled="true" fillcolor="#808080" stroked="false">
              <v:path arrowok="t"/>
              <v:fill type="solid"/>
            </v:shape>
            <v:shape style="position:absolute;left:4354;top:3915;width:173;height:182" coordorigin="4354,3915" coordsize="173,182" path="m4440,3915l4526,4096,4354,4096,4440,3915xe" filled="false" stroked="true" strokeweight=".629816pt" strokecolor="#808080">
              <v:path arrowok="t"/>
            </v:shape>
            <v:shape style="position:absolute;left:4680;top:2948;width:185;height:194" type="#_x0000_t75" stroked="false">
              <v:imagedata r:id="rId26" o:title=""/>
            </v:shape>
            <v:shape style="position:absolute;left:4674;top:1931;width:173;height:182" coordorigin="4674,1931" coordsize="173,182" path="m4760,1931l4674,2112,4846,2112,4760,1931xe" filled="true" fillcolor="#808080" stroked="false">
              <v:path arrowok="t"/>
              <v:fill type="solid"/>
            </v:shape>
            <v:shape style="position:absolute;left:4674;top:1931;width:173;height:182" coordorigin="4674,1931" coordsize="173,182" path="m4760,1931l4846,2112,4674,2112,4760,1931xe" filled="false" stroked="true" strokeweight=".629823pt" strokecolor="#808080">
              <v:path arrowok="t"/>
            </v:shape>
            <v:rect style="position:absolute;left:9320;top:2883;width:1293;height:856" filled="false" stroked="true" strokeweight=".636991pt" strokecolor="#000000"/>
            <v:shape style="position:absolute;left:9362;top:2975;width:396;height:116" type="#_x0000_t75" stroked="false">
              <v:imagedata r:id="rId30" o:title=""/>
            </v:shape>
            <v:line style="position:absolute" from="9590,3312" to="9738,3312" stroked="true" strokeweight="1.940542pt" strokecolor="#c0c0c0"/>
            <v:line style="position:absolute" from="9381,3312" to="9504,3312" stroked="true" strokeweight="1.940542pt" strokecolor="#c0c0c0"/>
            <v:line style="position:absolute" from="9547,3259" to="9547,3350" stroked="true" strokeweight="4.301618pt" strokecolor="#c0c0c0"/>
            <v:shape style="position:absolute;left:9362;top:3545;width:396;height:116" type="#_x0000_t75" stroked="false">
              <v:imagedata r:id="rId31" o:title=""/>
            </v:shape>
            <v:rect style="position:absolute;left:1763;top:212;width:8898;height:5304" filled="false" stroked="true" strokeweight=".638371pt" strokecolor="#000000"/>
            <v:shape style="position:absolute;left:9320;top:2883;width:1342;height:856" type="#_x0000_t202" filled="false" stroked="false">
              <v:textbox inset="0,0,0,0">
                <w:txbxContent>
                  <w:p>
                    <w:pPr>
                      <w:spacing w:before="51"/>
                      <w:ind w:left="467" w:right="0" w:firstLine="0"/>
                      <w:jc w:val="left"/>
                      <w:rPr>
                        <w:sz w:val="18"/>
                      </w:rPr>
                    </w:pPr>
                    <w:r>
                      <w:rPr>
                        <w:sz w:val="18"/>
                      </w:rPr>
                      <w:t>Occidente</w:t>
                    </w:r>
                  </w:p>
                  <w:p>
                    <w:pPr>
                      <w:spacing w:line="280" w:lineRule="atLeast" w:before="5"/>
                      <w:ind w:left="467" w:right="294" w:firstLine="0"/>
                      <w:jc w:val="left"/>
                      <w:rPr>
                        <w:sz w:val="18"/>
                      </w:rPr>
                    </w:pPr>
                    <w:r>
                      <w:rPr>
                        <w:sz w:val="18"/>
                      </w:rPr>
                      <w:t>Centro </w:t>
                    </w:r>
                    <w:r>
                      <w:rPr>
                        <w:w w:val="95"/>
                        <w:sz w:val="18"/>
                      </w:rPr>
                      <w:t>Oriente</w:t>
                    </w:r>
                  </w:p>
                </w:txbxContent>
              </v:textbox>
              <w10:wrap type="none"/>
            </v:shape>
            <v:shape style="position:absolute;left:3092;top:415;width:6238;height:558" type="#_x0000_t202" filled="false" stroked="false">
              <v:textbox inset="0,0,0,0">
                <w:txbxContent>
                  <w:p>
                    <w:pPr>
                      <w:spacing w:line="250" w:lineRule="exact" w:before="0"/>
                      <w:ind w:left="0" w:right="0" w:firstLine="0"/>
                      <w:jc w:val="center"/>
                      <w:rPr>
                        <w:b/>
                        <w:sz w:val="24"/>
                      </w:rPr>
                    </w:pPr>
                    <w:r>
                      <w:rPr>
                        <w:b/>
                        <w:spacing w:val="2"/>
                        <w:sz w:val="24"/>
                      </w:rPr>
                      <w:t>Dispersión</w:t>
                    </w:r>
                    <w:r>
                      <w:rPr>
                        <w:b/>
                        <w:spacing w:val="-18"/>
                        <w:sz w:val="24"/>
                      </w:rPr>
                      <w:t> </w:t>
                    </w:r>
                    <w:r>
                      <w:rPr>
                        <w:b/>
                        <w:sz w:val="24"/>
                      </w:rPr>
                      <w:t>de</w:t>
                    </w:r>
                    <w:r>
                      <w:rPr>
                        <w:b/>
                        <w:spacing w:val="-18"/>
                        <w:sz w:val="24"/>
                      </w:rPr>
                      <w:t> </w:t>
                    </w:r>
                    <w:r>
                      <w:rPr>
                        <w:b/>
                        <w:sz w:val="24"/>
                      </w:rPr>
                      <w:t>los</w:t>
                    </w:r>
                    <w:r>
                      <w:rPr>
                        <w:b/>
                        <w:spacing w:val="-18"/>
                        <w:sz w:val="24"/>
                      </w:rPr>
                      <w:t> </w:t>
                    </w:r>
                    <w:r>
                      <w:rPr>
                        <w:b/>
                        <w:spacing w:val="3"/>
                        <w:sz w:val="24"/>
                      </w:rPr>
                      <w:t>Logros</w:t>
                    </w:r>
                    <w:r>
                      <w:rPr>
                        <w:b/>
                        <w:spacing w:val="-18"/>
                        <w:sz w:val="24"/>
                      </w:rPr>
                      <w:t> </w:t>
                    </w:r>
                    <w:r>
                      <w:rPr>
                        <w:b/>
                        <w:sz w:val="24"/>
                      </w:rPr>
                      <w:t>Relativos</w:t>
                    </w:r>
                    <w:r>
                      <w:rPr>
                        <w:b/>
                        <w:spacing w:val="-18"/>
                        <w:sz w:val="24"/>
                      </w:rPr>
                      <w:t> </w:t>
                    </w:r>
                    <w:r>
                      <w:rPr>
                        <w:b/>
                        <w:sz w:val="24"/>
                      </w:rPr>
                      <w:t>de</w:t>
                    </w:r>
                    <w:r>
                      <w:rPr>
                        <w:b/>
                        <w:spacing w:val="-18"/>
                        <w:sz w:val="24"/>
                      </w:rPr>
                      <w:t> </w:t>
                    </w:r>
                    <w:r>
                      <w:rPr>
                        <w:b/>
                        <w:sz w:val="24"/>
                      </w:rPr>
                      <w:t>las</w:t>
                    </w:r>
                    <w:r>
                      <w:rPr>
                        <w:b/>
                        <w:spacing w:val="-18"/>
                        <w:sz w:val="24"/>
                      </w:rPr>
                      <w:t> </w:t>
                    </w:r>
                    <w:r>
                      <w:rPr>
                        <w:b/>
                        <w:sz w:val="24"/>
                      </w:rPr>
                      <w:t>dimensiones</w:t>
                    </w:r>
                  </w:p>
                  <w:p>
                    <w:pPr>
                      <w:spacing w:line="272" w:lineRule="exact" w:before="35"/>
                      <w:ind w:left="3" w:right="0" w:firstLine="0"/>
                      <w:jc w:val="center"/>
                      <w:rPr>
                        <w:b/>
                        <w:sz w:val="24"/>
                      </w:rPr>
                    </w:pPr>
                    <w:r>
                      <w:rPr>
                        <w:b/>
                        <w:sz w:val="24"/>
                      </w:rPr>
                      <w:t>consideradas en el ITDHE 2008</w:t>
                    </w:r>
                  </w:p>
                </w:txbxContent>
              </v:textbox>
              <w10:wrap type="none"/>
            </v:shape>
            <v:shape style="position:absolute;left:4914;top:1396;width:1605;height:356" type="#_x0000_t202" filled="false" stroked="false">
              <v:textbox inset="0,0,0,0">
                <w:txbxContent>
                  <w:p>
                    <w:pPr>
                      <w:spacing w:line="155" w:lineRule="exact" w:before="0"/>
                      <w:ind w:left="0" w:right="0" w:firstLine="0"/>
                      <w:jc w:val="left"/>
                      <w:rPr>
                        <w:sz w:val="15"/>
                      </w:rPr>
                    </w:pPr>
                    <w:r>
                      <w:rPr>
                        <w:sz w:val="15"/>
                      </w:rPr>
                      <w:t>Crecimiento económico</w:t>
                    </w:r>
                  </w:p>
                  <w:p>
                    <w:pPr>
                      <w:spacing w:line="200" w:lineRule="exact" w:before="0"/>
                      <w:ind w:left="0" w:right="300" w:firstLine="0"/>
                      <w:jc w:val="center"/>
                      <w:rPr>
                        <w:sz w:val="18"/>
                      </w:rPr>
                    </w:pPr>
                    <w:r>
                      <w:rPr>
                        <w:w w:val="95"/>
                        <w:sz w:val="18"/>
                      </w:rPr>
                      <w:t>1</w:t>
                    </w:r>
                  </w:p>
                </w:txbxContent>
              </v:textbox>
              <w10:wrap type="none"/>
            </v:shape>
            <v:shape style="position:absolute;left:3449;top:1914;width:1249;height:156" type="#_x0000_t202" filled="false" stroked="false">
              <v:textbox inset="0,0,0,0">
                <w:txbxContent>
                  <w:p>
                    <w:pPr>
                      <w:spacing w:line="156" w:lineRule="exact" w:before="0"/>
                      <w:ind w:left="0" w:right="0" w:firstLine="0"/>
                      <w:jc w:val="left"/>
                      <w:rPr>
                        <w:sz w:val="15"/>
                      </w:rPr>
                    </w:pPr>
                    <w:r>
                      <w:rPr>
                        <w:sz w:val="15"/>
                      </w:rPr>
                      <w:t>Impacto ambiental</w:t>
                    </w:r>
                  </w:p>
                </w:txbxContent>
              </v:textbox>
              <w10:wrap type="none"/>
            </v:shape>
            <v:shape style="position:absolute;left:5369;top:1971;width:243;height:182" type="#_x0000_t202" filled="false" stroked="false">
              <v:textbox inset="0,0,0,0">
                <w:txbxContent>
                  <w:p>
                    <w:pPr>
                      <w:spacing w:line="182" w:lineRule="exact" w:before="0"/>
                      <w:ind w:left="0" w:right="-15" w:firstLine="0"/>
                      <w:jc w:val="left"/>
                      <w:rPr>
                        <w:sz w:val="18"/>
                      </w:rPr>
                    </w:pPr>
                    <w:r>
                      <w:rPr>
                        <w:w w:val="95"/>
                        <w:sz w:val="18"/>
                      </w:rPr>
                      <w:t>0,5</w:t>
                    </w:r>
                  </w:p>
                </w:txbxContent>
              </v:textbox>
              <w10:wrap type="none"/>
            </v:shape>
            <v:shape style="position:absolute;left:6723;top:1914;width:1310;height:156" type="#_x0000_t202" filled="false" stroked="false">
              <v:textbox inset="0,0,0,0">
                <w:txbxContent>
                  <w:p>
                    <w:pPr>
                      <w:spacing w:line="156" w:lineRule="exact" w:before="0"/>
                      <w:ind w:left="0" w:right="0" w:firstLine="0"/>
                      <w:jc w:val="left"/>
                      <w:rPr>
                        <w:sz w:val="15"/>
                      </w:rPr>
                    </w:pPr>
                    <w:r>
                      <w:rPr>
                        <w:sz w:val="15"/>
                      </w:rPr>
                      <w:t>Consumo personal</w:t>
                    </w:r>
                  </w:p>
                </w:txbxContent>
              </v:textbox>
              <w10:wrap type="none"/>
            </v:shape>
            <v:shape style="position:absolute;left:5517;top:2360;width:96;height:182" type="#_x0000_t202" filled="false" stroked="false">
              <v:textbox inset="0,0,0,0">
                <w:txbxContent>
                  <w:p>
                    <w:pPr>
                      <w:spacing w:line="182" w:lineRule="exact" w:before="0"/>
                      <w:ind w:left="0" w:right="0" w:firstLine="0"/>
                      <w:jc w:val="left"/>
                      <w:rPr>
                        <w:sz w:val="18"/>
                      </w:rPr>
                    </w:pPr>
                    <w:r>
                      <w:rPr>
                        <w:w w:val="95"/>
                        <w:sz w:val="18"/>
                      </w:rPr>
                      <w:t>0</w:t>
                    </w:r>
                  </w:p>
                </w:txbxContent>
              </v:textbox>
              <w10:wrap type="none"/>
            </v:shape>
            <v:shape style="position:absolute;left:2797;top:2861;width:1384;height:156" type="#_x0000_t202" filled="false" stroked="false">
              <v:textbox inset="0,0,0,0">
                <w:txbxContent>
                  <w:p>
                    <w:pPr>
                      <w:spacing w:line="156" w:lineRule="exact" w:before="0"/>
                      <w:ind w:left="0" w:right="-12" w:firstLine="0"/>
                      <w:jc w:val="left"/>
                      <w:rPr>
                        <w:sz w:val="15"/>
                      </w:rPr>
                    </w:pPr>
                    <w:r>
                      <w:rPr>
                        <w:sz w:val="15"/>
                      </w:rPr>
                      <w:t>Participación política</w:t>
                    </w:r>
                  </w:p>
                </w:txbxContent>
              </v:textbox>
              <w10:wrap type="none"/>
            </v:shape>
            <v:shape style="position:absolute;left:5308;top:2749;width:305;height:182" type="#_x0000_t202" filled="false" stroked="false">
              <v:textbox inset="0,0,0,0">
                <w:txbxContent>
                  <w:p>
                    <w:pPr>
                      <w:spacing w:line="182" w:lineRule="exact" w:before="0"/>
                      <w:ind w:left="0" w:right="-10" w:firstLine="0"/>
                      <w:jc w:val="left"/>
                      <w:rPr>
                        <w:sz w:val="18"/>
                      </w:rPr>
                    </w:pPr>
                    <w:r>
                      <w:rPr>
                        <w:w w:val="95"/>
                        <w:sz w:val="18"/>
                      </w:rPr>
                      <w:t>-0,5</w:t>
                    </w:r>
                  </w:p>
                </w:txbxContent>
              </v:textbox>
              <w10:wrap type="none"/>
            </v:shape>
            <v:shape style="position:absolute;left:7240;top:2861;width:1273;height:156" type="#_x0000_t202" filled="false" stroked="false">
              <v:textbox inset="0,0,0,0">
                <w:txbxContent>
                  <w:p>
                    <w:pPr>
                      <w:spacing w:line="156" w:lineRule="exact" w:before="0"/>
                      <w:ind w:left="0" w:right="-15" w:firstLine="0"/>
                      <w:jc w:val="left"/>
                      <w:rPr>
                        <w:sz w:val="15"/>
                      </w:rPr>
                    </w:pPr>
                    <w:r>
                      <w:rPr>
                        <w:sz w:val="15"/>
                      </w:rPr>
                      <w:t>Nivel de educación</w:t>
                    </w:r>
                  </w:p>
                </w:txbxContent>
              </v:textbox>
              <w10:wrap type="none"/>
            </v:shape>
            <v:shape style="position:absolute;left:5455;top:3138;width:162;height:182" type="#_x0000_t202" filled="false" stroked="false">
              <v:textbox inset="0,0,0,0">
                <w:txbxContent>
                  <w:p>
                    <w:pPr>
                      <w:spacing w:line="182" w:lineRule="exact" w:before="0"/>
                      <w:ind w:left="0" w:right="-11" w:firstLine="0"/>
                      <w:jc w:val="left"/>
                      <w:rPr>
                        <w:sz w:val="18"/>
                      </w:rPr>
                    </w:pPr>
                    <w:r>
                      <w:rPr>
                        <w:w w:val="95"/>
                        <w:sz w:val="18"/>
                      </w:rPr>
                      <w:t>-1</w:t>
                    </w:r>
                  </w:p>
                </w:txbxContent>
              </v:textbox>
              <w10:wrap type="none"/>
            </v:shape>
            <v:shape style="position:absolute;left:2600;top:3963;width:1752;height:156" type="#_x0000_t202" filled="false" stroked="false">
              <v:textbox inset="0,0,0,0">
                <w:txbxContent>
                  <w:p>
                    <w:pPr>
                      <w:spacing w:line="156" w:lineRule="exact" w:before="0"/>
                      <w:ind w:left="0" w:right="-19" w:firstLine="0"/>
                      <w:jc w:val="left"/>
                      <w:rPr>
                        <w:sz w:val="15"/>
                      </w:rPr>
                    </w:pPr>
                    <w:r>
                      <w:rPr>
                        <w:sz w:val="15"/>
                      </w:rPr>
                      <w:t>Accesibilidad a la vivienda</w:t>
                    </w:r>
                  </w:p>
                </w:txbxContent>
              </v:textbox>
              <w10:wrap type="none"/>
            </v:shape>
            <v:shape style="position:absolute;left:7068;top:3963;width:2169;height:156" type="#_x0000_t202" filled="false" stroked="false">
              <v:textbox inset="0,0,0,0">
                <w:txbxContent>
                  <w:p>
                    <w:pPr>
                      <w:spacing w:line="156" w:lineRule="exact" w:before="0"/>
                      <w:ind w:left="0" w:right="0" w:firstLine="0"/>
                      <w:jc w:val="left"/>
                      <w:rPr>
                        <w:sz w:val="15"/>
                      </w:rPr>
                    </w:pPr>
                    <w:r>
                      <w:rPr>
                        <w:sz w:val="15"/>
                      </w:rPr>
                      <w:t>Estado de salud de la población</w:t>
                    </w:r>
                  </w:p>
                </w:txbxContent>
              </v:textbox>
              <w10:wrap type="none"/>
            </v:shape>
            <v:shape style="position:absolute;left:3843;top:4664;width:1323;height:156" type="#_x0000_t202" filled="false" stroked="false">
              <v:textbox inset="0,0,0,0">
                <w:txbxContent>
                  <w:p>
                    <w:pPr>
                      <w:spacing w:line="156" w:lineRule="exact" w:before="0"/>
                      <w:ind w:left="0" w:right="-10" w:firstLine="0"/>
                      <w:jc w:val="left"/>
                      <w:rPr>
                        <w:sz w:val="15"/>
                      </w:rPr>
                    </w:pPr>
                    <w:r>
                      <w:rPr>
                        <w:sz w:val="15"/>
                      </w:rPr>
                      <w:t>Acceso a la</w:t>
                    </w:r>
                    <w:r>
                      <w:rPr>
                        <w:spacing w:val="-13"/>
                        <w:sz w:val="15"/>
                      </w:rPr>
                      <w:t> </w:t>
                    </w:r>
                    <w:r>
                      <w:rPr>
                        <w:sz w:val="15"/>
                      </w:rPr>
                      <w:t>energía</w:t>
                    </w:r>
                  </w:p>
                </w:txbxContent>
              </v:textbox>
              <w10:wrap type="none"/>
            </v:shape>
            <v:shape style="position:absolute;left:6255;top:4664;width:1818;height:156" type="#_x0000_t202" filled="false" stroked="false">
              <v:textbox inset="0,0,0,0">
                <w:txbxContent>
                  <w:p>
                    <w:pPr>
                      <w:spacing w:line="156" w:lineRule="exact" w:before="0"/>
                      <w:ind w:left="0" w:right="0" w:firstLine="0"/>
                      <w:jc w:val="left"/>
                      <w:rPr>
                        <w:sz w:val="15"/>
                      </w:rPr>
                    </w:pPr>
                    <w:r>
                      <w:rPr>
                        <w:sz w:val="15"/>
                      </w:rPr>
                      <w:t>Acceso a servicios básicos</w:t>
                    </w:r>
                  </w:p>
                </w:txbxContent>
              </v:textbox>
              <w10:wrap type="none"/>
            </v:shape>
            <w10:wrap type="topAndBottom"/>
          </v:group>
        </w:pict>
      </w:r>
    </w:p>
    <w:p>
      <w:pPr>
        <w:spacing w:after="0"/>
        <w:rPr>
          <w:sz w:val="14"/>
        </w:rPr>
        <w:sectPr>
          <w:pgSz w:w="11910" w:h="16840"/>
          <w:pgMar w:header="0" w:footer="768" w:top="1580" w:bottom="960" w:left="1600" w:right="0"/>
        </w:sectPr>
      </w:pPr>
    </w:p>
    <w:p>
      <w:pPr>
        <w:pStyle w:val="BodyText"/>
        <w:spacing w:line="480" w:lineRule="auto" w:before="103"/>
        <w:ind w:left="102" w:right="110" w:firstLine="707"/>
        <w:jc w:val="both"/>
      </w:pPr>
      <w:r>
        <w:rPr/>
        <w:t>A pesar de que la región Occidental cuenta con los máximos valores en seis de las nueve</w:t>
      </w:r>
      <w:r>
        <w:rPr>
          <w:spacing w:val="-4"/>
        </w:rPr>
        <w:t> </w:t>
      </w:r>
      <w:r>
        <w:rPr/>
        <w:t>dimensiones</w:t>
      </w:r>
      <w:r>
        <w:rPr>
          <w:spacing w:val="-4"/>
        </w:rPr>
        <w:t> </w:t>
      </w:r>
      <w:r>
        <w:rPr/>
        <w:t>incluidas</w:t>
      </w:r>
      <w:r>
        <w:rPr>
          <w:spacing w:val="-4"/>
        </w:rPr>
        <w:t> </w:t>
      </w:r>
      <w:r>
        <w:rPr/>
        <w:t>en</w:t>
      </w:r>
      <w:r>
        <w:rPr>
          <w:spacing w:val="-4"/>
        </w:rPr>
        <w:t> </w:t>
      </w:r>
      <w:r>
        <w:rPr/>
        <w:t>el</w:t>
      </w:r>
      <w:r>
        <w:rPr>
          <w:spacing w:val="-5"/>
        </w:rPr>
        <w:t> </w:t>
      </w:r>
      <w:r>
        <w:rPr/>
        <w:t>índice</w:t>
      </w:r>
      <w:r>
        <w:rPr>
          <w:spacing w:val="-4"/>
        </w:rPr>
        <w:t> </w:t>
      </w:r>
      <w:r>
        <w:rPr/>
        <w:t>(ver</w:t>
      </w:r>
      <w:r>
        <w:rPr>
          <w:spacing w:val="-2"/>
        </w:rPr>
        <w:t> </w:t>
      </w:r>
      <w:r>
        <w:rPr>
          <w:i/>
        </w:rPr>
        <w:t>Tabla</w:t>
      </w:r>
      <w:r>
        <w:rPr>
          <w:i/>
          <w:spacing w:val="-4"/>
        </w:rPr>
        <w:t> </w:t>
      </w:r>
      <w:r>
        <w:rPr>
          <w:i/>
        </w:rPr>
        <w:t>4</w:t>
      </w:r>
      <w:r>
        <w:rPr/>
        <w:t>)</w:t>
      </w:r>
      <w:r>
        <w:rPr>
          <w:spacing w:val="-3"/>
        </w:rPr>
        <w:t> </w:t>
      </w:r>
      <w:r>
        <w:rPr/>
        <w:t>,</w:t>
      </w:r>
      <w:r>
        <w:rPr>
          <w:spacing w:val="-5"/>
        </w:rPr>
        <w:t> </w:t>
      </w:r>
      <w:r>
        <w:rPr/>
        <w:t>es</w:t>
      </w:r>
      <w:r>
        <w:rPr>
          <w:spacing w:val="-4"/>
        </w:rPr>
        <w:t> </w:t>
      </w:r>
      <w:r>
        <w:rPr/>
        <w:t>la</w:t>
      </w:r>
      <w:r>
        <w:rPr>
          <w:spacing w:val="-6"/>
        </w:rPr>
        <w:t> </w:t>
      </w:r>
      <w:r>
        <w:rPr/>
        <w:t>región</w:t>
      </w:r>
      <w:r>
        <w:rPr>
          <w:spacing w:val="-4"/>
        </w:rPr>
        <w:t> </w:t>
      </w:r>
      <w:r>
        <w:rPr/>
        <w:t>Central</w:t>
      </w:r>
      <w:r>
        <w:rPr>
          <w:spacing w:val="-5"/>
        </w:rPr>
        <w:t> </w:t>
      </w:r>
      <w:r>
        <w:rPr/>
        <w:t>la</w:t>
      </w:r>
      <w:r>
        <w:rPr>
          <w:spacing w:val="-4"/>
        </w:rPr>
        <w:t> </w:t>
      </w:r>
      <w:r>
        <w:rPr/>
        <w:t>que</w:t>
      </w:r>
      <w:r>
        <w:rPr>
          <w:spacing w:val="-4"/>
        </w:rPr>
        <w:t> </w:t>
      </w:r>
      <w:r>
        <w:rPr/>
        <w:t>presenta una mayor homogeneidad en sus logros parciales tal como se muestra en el</w:t>
      </w:r>
      <w:r>
        <w:rPr>
          <w:spacing w:val="-24"/>
        </w:rPr>
        <w:t> </w:t>
      </w:r>
      <w:r>
        <w:rPr/>
        <w:t>gráfico.</w:t>
      </w:r>
    </w:p>
    <w:p>
      <w:pPr>
        <w:pStyle w:val="Heading2"/>
        <w:spacing w:before="125"/>
        <w:ind w:left="332"/>
      </w:pPr>
      <w:r>
        <w:rPr/>
        <w:t>Tabla 4. Valores máximos y mínimos de cada indicador considerado en el ITDHE.</w:t>
      </w:r>
    </w:p>
    <w:p>
      <w:pPr>
        <w:pStyle w:val="BodyText"/>
        <w:rPr>
          <w:b/>
          <w:sz w:val="20"/>
        </w:rPr>
      </w:pPr>
    </w:p>
    <w:p>
      <w:pPr>
        <w:pStyle w:val="BodyText"/>
        <w:spacing w:before="8"/>
        <w:rPr>
          <w:b/>
          <w:sz w:val="23"/>
        </w:rPr>
      </w:pPr>
    </w:p>
    <w:tbl>
      <w:tblPr>
        <w:tblW w:w="0" w:type="auto"/>
        <w:jc w:val="left"/>
        <w:tblInd w:w="2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61"/>
        <w:gridCol w:w="1801"/>
        <w:gridCol w:w="1800"/>
      </w:tblGrid>
      <w:tr>
        <w:trPr>
          <w:trHeight w:val="370" w:hRule="exact"/>
        </w:trPr>
        <w:tc>
          <w:tcPr>
            <w:tcW w:w="4861" w:type="dxa"/>
          </w:tcPr>
          <w:p>
            <w:pPr>
              <w:pStyle w:val="TableParagraph"/>
              <w:spacing w:before="127"/>
              <w:ind w:left="1842" w:right="1845"/>
              <w:jc w:val="center"/>
              <w:rPr>
                <w:b/>
                <w:sz w:val="20"/>
              </w:rPr>
            </w:pPr>
            <w:r>
              <w:rPr>
                <w:b/>
                <w:sz w:val="20"/>
              </w:rPr>
              <w:t>Indicadores</w:t>
            </w:r>
          </w:p>
        </w:tc>
        <w:tc>
          <w:tcPr>
            <w:tcW w:w="1801" w:type="dxa"/>
          </w:tcPr>
          <w:p>
            <w:pPr>
              <w:pStyle w:val="TableParagraph"/>
              <w:spacing w:before="16"/>
              <w:ind w:left="356" w:right="346"/>
              <w:jc w:val="center"/>
              <w:rPr>
                <w:rFonts w:ascii="Times New Roman"/>
                <w:sz w:val="14"/>
              </w:rPr>
            </w:pPr>
            <w:r>
              <w:rPr>
                <w:rFonts w:ascii="Times New Roman"/>
                <w:i/>
                <w:w w:val="105"/>
                <w:position w:val="6"/>
                <w:sz w:val="24"/>
              </w:rPr>
              <w:t>X </w:t>
            </w:r>
            <w:r>
              <w:rPr>
                <w:rFonts w:ascii="Times New Roman"/>
                <w:w w:val="105"/>
                <w:sz w:val="14"/>
              </w:rPr>
              <w:t>max</w:t>
            </w:r>
          </w:p>
        </w:tc>
        <w:tc>
          <w:tcPr>
            <w:tcW w:w="1800" w:type="dxa"/>
          </w:tcPr>
          <w:p>
            <w:pPr>
              <w:pStyle w:val="TableParagraph"/>
              <w:spacing w:before="36"/>
              <w:ind w:left="72" w:right="66"/>
              <w:jc w:val="center"/>
              <w:rPr>
                <w:rFonts w:ascii="Times New Roman"/>
                <w:sz w:val="14"/>
              </w:rPr>
            </w:pPr>
            <w:r>
              <w:rPr>
                <w:rFonts w:ascii="Times New Roman"/>
                <w:i/>
                <w:w w:val="105"/>
                <w:position w:val="6"/>
                <w:sz w:val="24"/>
              </w:rPr>
              <w:t>X </w:t>
            </w:r>
            <w:r>
              <w:rPr>
                <w:rFonts w:ascii="Times New Roman"/>
                <w:w w:val="105"/>
                <w:sz w:val="14"/>
              </w:rPr>
              <w:t>min</w:t>
            </w:r>
          </w:p>
        </w:tc>
      </w:tr>
      <w:tr>
        <w:trPr>
          <w:trHeight w:val="470" w:hRule="exact"/>
        </w:trPr>
        <w:tc>
          <w:tcPr>
            <w:tcW w:w="4861" w:type="dxa"/>
          </w:tcPr>
          <w:p>
            <w:pPr>
              <w:pStyle w:val="TableParagraph"/>
              <w:spacing w:before="9"/>
              <w:ind w:left="0"/>
              <w:rPr>
                <w:b/>
                <w:sz w:val="19"/>
              </w:rPr>
            </w:pPr>
          </w:p>
          <w:p>
            <w:pPr>
              <w:pStyle w:val="TableParagraph"/>
              <w:ind w:left="64"/>
              <w:rPr>
                <w:sz w:val="20"/>
              </w:rPr>
            </w:pPr>
            <w:r>
              <w:rPr>
                <w:sz w:val="20"/>
              </w:rPr>
              <w:t>Volumen de inversiones per cápita</w:t>
            </w:r>
          </w:p>
        </w:tc>
        <w:tc>
          <w:tcPr>
            <w:tcW w:w="1801" w:type="dxa"/>
          </w:tcPr>
          <w:p>
            <w:pPr>
              <w:pStyle w:val="TableParagraph"/>
              <w:spacing w:line="229" w:lineRule="exact"/>
              <w:ind w:left="356" w:right="357"/>
              <w:jc w:val="center"/>
              <w:rPr>
                <w:sz w:val="20"/>
              </w:rPr>
            </w:pPr>
            <w:r>
              <w:rPr>
                <w:sz w:val="20"/>
              </w:rPr>
              <w:t>607,4507</w:t>
            </w:r>
          </w:p>
          <w:p>
            <w:pPr>
              <w:pStyle w:val="TableParagraph"/>
              <w:spacing w:line="229" w:lineRule="exact"/>
              <w:ind w:left="356" w:right="361"/>
              <w:jc w:val="center"/>
              <w:rPr>
                <w:sz w:val="20"/>
              </w:rPr>
            </w:pPr>
            <w:r>
              <w:rPr>
                <w:sz w:val="20"/>
              </w:rPr>
              <w:t>(Occidente)</w:t>
            </w:r>
          </w:p>
        </w:tc>
        <w:tc>
          <w:tcPr>
            <w:tcW w:w="1800" w:type="dxa"/>
          </w:tcPr>
          <w:p>
            <w:pPr>
              <w:pStyle w:val="TableParagraph"/>
              <w:spacing w:line="229" w:lineRule="exact"/>
              <w:ind w:left="477"/>
              <w:rPr>
                <w:sz w:val="20"/>
              </w:rPr>
            </w:pPr>
            <w:r>
              <w:rPr>
                <w:sz w:val="20"/>
              </w:rPr>
              <w:t>277,3131</w:t>
            </w:r>
          </w:p>
          <w:p>
            <w:pPr>
              <w:pStyle w:val="TableParagraph"/>
              <w:spacing w:line="229" w:lineRule="exact"/>
              <w:ind w:left="527"/>
              <w:rPr>
                <w:sz w:val="20"/>
              </w:rPr>
            </w:pPr>
            <w:r>
              <w:rPr>
                <w:sz w:val="20"/>
              </w:rPr>
              <w:t>(Centro)</w:t>
            </w:r>
          </w:p>
        </w:tc>
      </w:tr>
      <w:tr>
        <w:trPr>
          <w:trHeight w:val="471" w:hRule="exact"/>
        </w:trPr>
        <w:tc>
          <w:tcPr>
            <w:tcW w:w="4861" w:type="dxa"/>
          </w:tcPr>
          <w:p>
            <w:pPr>
              <w:pStyle w:val="TableParagraph"/>
              <w:spacing w:before="9"/>
              <w:ind w:left="0"/>
              <w:rPr>
                <w:b/>
                <w:sz w:val="19"/>
              </w:rPr>
            </w:pPr>
          </w:p>
          <w:p>
            <w:pPr>
              <w:pStyle w:val="TableParagraph"/>
              <w:ind w:left="64"/>
              <w:rPr>
                <w:sz w:val="20"/>
              </w:rPr>
            </w:pPr>
            <w:r>
              <w:rPr>
                <w:sz w:val="20"/>
              </w:rPr>
              <w:t>Valor de la circulación mercantil minorista per cápita</w:t>
            </w:r>
          </w:p>
        </w:tc>
        <w:tc>
          <w:tcPr>
            <w:tcW w:w="1801" w:type="dxa"/>
          </w:tcPr>
          <w:p>
            <w:pPr>
              <w:pStyle w:val="TableParagraph"/>
              <w:spacing w:line="228" w:lineRule="exact"/>
              <w:ind w:left="356" w:right="357"/>
              <w:jc w:val="center"/>
              <w:rPr>
                <w:sz w:val="20"/>
              </w:rPr>
            </w:pPr>
            <w:r>
              <w:rPr>
                <w:sz w:val="20"/>
              </w:rPr>
              <w:t>2728,057</w:t>
            </w:r>
          </w:p>
          <w:p>
            <w:pPr>
              <w:pStyle w:val="TableParagraph"/>
              <w:ind w:left="356" w:right="361"/>
              <w:jc w:val="center"/>
              <w:rPr>
                <w:sz w:val="20"/>
              </w:rPr>
            </w:pPr>
            <w:r>
              <w:rPr>
                <w:sz w:val="20"/>
              </w:rPr>
              <w:t>(Occidente)</w:t>
            </w:r>
          </w:p>
        </w:tc>
        <w:tc>
          <w:tcPr>
            <w:tcW w:w="1800" w:type="dxa"/>
          </w:tcPr>
          <w:p>
            <w:pPr>
              <w:pStyle w:val="TableParagraph"/>
              <w:spacing w:line="228" w:lineRule="exact"/>
              <w:ind w:left="477"/>
              <w:rPr>
                <w:sz w:val="20"/>
              </w:rPr>
            </w:pPr>
            <w:r>
              <w:rPr>
                <w:sz w:val="20"/>
              </w:rPr>
              <w:t>1805,583</w:t>
            </w:r>
          </w:p>
          <w:p>
            <w:pPr>
              <w:pStyle w:val="TableParagraph"/>
              <w:ind w:left="499"/>
              <w:rPr>
                <w:sz w:val="20"/>
              </w:rPr>
            </w:pPr>
            <w:r>
              <w:rPr>
                <w:sz w:val="20"/>
              </w:rPr>
              <w:t>(Oriente)</w:t>
            </w:r>
          </w:p>
        </w:tc>
      </w:tr>
      <w:tr>
        <w:trPr>
          <w:trHeight w:val="470" w:hRule="exact"/>
        </w:trPr>
        <w:tc>
          <w:tcPr>
            <w:tcW w:w="4861" w:type="dxa"/>
          </w:tcPr>
          <w:p>
            <w:pPr>
              <w:pStyle w:val="TableParagraph"/>
              <w:spacing w:before="9"/>
              <w:ind w:left="0"/>
              <w:rPr>
                <w:b/>
                <w:sz w:val="19"/>
              </w:rPr>
            </w:pPr>
          </w:p>
          <w:p>
            <w:pPr>
              <w:pStyle w:val="TableParagraph"/>
              <w:ind w:left="64"/>
              <w:rPr>
                <w:sz w:val="20"/>
              </w:rPr>
            </w:pPr>
            <w:r>
              <w:rPr>
                <w:sz w:val="20"/>
              </w:rPr>
              <w:t>Tasa de escolarización de 6 a 14 años</w:t>
            </w:r>
          </w:p>
        </w:tc>
        <w:tc>
          <w:tcPr>
            <w:tcW w:w="1801" w:type="dxa"/>
          </w:tcPr>
          <w:p>
            <w:pPr>
              <w:pStyle w:val="TableParagraph"/>
              <w:spacing w:line="227" w:lineRule="exact"/>
              <w:ind w:left="356" w:right="357"/>
              <w:jc w:val="center"/>
              <w:rPr>
                <w:sz w:val="20"/>
              </w:rPr>
            </w:pPr>
            <w:r>
              <w:rPr>
                <w:sz w:val="20"/>
              </w:rPr>
              <w:t>96,9</w:t>
            </w:r>
          </w:p>
          <w:p>
            <w:pPr>
              <w:pStyle w:val="TableParagraph"/>
              <w:ind w:left="356" w:right="361"/>
              <w:jc w:val="center"/>
              <w:rPr>
                <w:sz w:val="20"/>
              </w:rPr>
            </w:pPr>
            <w:r>
              <w:rPr>
                <w:sz w:val="20"/>
              </w:rPr>
              <w:t>(Occidente)</w:t>
            </w:r>
          </w:p>
        </w:tc>
        <w:tc>
          <w:tcPr>
            <w:tcW w:w="1800" w:type="dxa"/>
          </w:tcPr>
          <w:p>
            <w:pPr>
              <w:pStyle w:val="TableParagraph"/>
              <w:spacing w:line="227" w:lineRule="exact"/>
              <w:ind w:left="72" w:right="75"/>
              <w:jc w:val="center"/>
              <w:rPr>
                <w:sz w:val="20"/>
              </w:rPr>
            </w:pPr>
            <w:r>
              <w:rPr>
                <w:sz w:val="20"/>
              </w:rPr>
              <w:t>96,22</w:t>
            </w:r>
          </w:p>
          <w:p>
            <w:pPr>
              <w:pStyle w:val="TableParagraph"/>
              <w:ind w:left="72" w:right="76"/>
              <w:jc w:val="center"/>
              <w:rPr>
                <w:sz w:val="20"/>
              </w:rPr>
            </w:pPr>
            <w:r>
              <w:rPr>
                <w:sz w:val="20"/>
              </w:rPr>
              <w:t>(Oriente)</w:t>
            </w:r>
          </w:p>
        </w:tc>
      </w:tr>
      <w:tr>
        <w:trPr>
          <w:trHeight w:val="470" w:hRule="exact"/>
        </w:trPr>
        <w:tc>
          <w:tcPr>
            <w:tcW w:w="4861" w:type="dxa"/>
          </w:tcPr>
          <w:p>
            <w:pPr>
              <w:pStyle w:val="TableParagraph"/>
              <w:spacing w:before="9"/>
              <w:ind w:left="0"/>
              <w:rPr>
                <w:b/>
                <w:sz w:val="19"/>
              </w:rPr>
            </w:pPr>
          </w:p>
          <w:p>
            <w:pPr>
              <w:pStyle w:val="TableParagraph"/>
              <w:ind w:left="64"/>
              <w:rPr>
                <w:sz w:val="20"/>
              </w:rPr>
            </w:pPr>
            <w:r>
              <w:rPr>
                <w:sz w:val="20"/>
              </w:rPr>
              <w:t>Esperanza de vida al nacer (ambos sexos)</w:t>
            </w:r>
          </w:p>
        </w:tc>
        <w:tc>
          <w:tcPr>
            <w:tcW w:w="1801" w:type="dxa"/>
          </w:tcPr>
          <w:p>
            <w:pPr>
              <w:pStyle w:val="TableParagraph"/>
              <w:spacing w:line="227" w:lineRule="exact"/>
              <w:ind w:left="356" w:right="357"/>
              <w:jc w:val="center"/>
              <w:rPr>
                <w:sz w:val="20"/>
              </w:rPr>
            </w:pPr>
            <w:r>
              <w:rPr>
                <w:sz w:val="20"/>
              </w:rPr>
              <w:t>78,7</w:t>
            </w:r>
          </w:p>
          <w:p>
            <w:pPr>
              <w:pStyle w:val="TableParagraph"/>
              <w:ind w:left="356" w:right="360"/>
              <w:jc w:val="center"/>
              <w:rPr>
                <w:sz w:val="20"/>
              </w:rPr>
            </w:pPr>
            <w:r>
              <w:rPr>
                <w:sz w:val="20"/>
              </w:rPr>
              <w:t>(Oriente)</w:t>
            </w:r>
          </w:p>
        </w:tc>
        <w:tc>
          <w:tcPr>
            <w:tcW w:w="1800" w:type="dxa"/>
          </w:tcPr>
          <w:p>
            <w:pPr>
              <w:pStyle w:val="TableParagraph"/>
              <w:spacing w:line="227" w:lineRule="exact"/>
              <w:ind w:left="72" w:right="74"/>
              <w:jc w:val="center"/>
              <w:rPr>
                <w:sz w:val="20"/>
              </w:rPr>
            </w:pPr>
            <w:r>
              <w:rPr>
                <w:sz w:val="20"/>
              </w:rPr>
              <w:t>77,3</w:t>
            </w:r>
          </w:p>
          <w:p>
            <w:pPr>
              <w:pStyle w:val="TableParagraph"/>
              <w:ind w:left="72" w:right="76"/>
              <w:jc w:val="center"/>
              <w:rPr>
                <w:sz w:val="20"/>
              </w:rPr>
            </w:pPr>
            <w:r>
              <w:rPr>
                <w:sz w:val="20"/>
              </w:rPr>
              <w:t>(Occidente)</w:t>
            </w:r>
          </w:p>
        </w:tc>
      </w:tr>
      <w:tr>
        <w:trPr>
          <w:trHeight w:val="468" w:hRule="exact"/>
        </w:trPr>
        <w:tc>
          <w:tcPr>
            <w:tcW w:w="4861" w:type="dxa"/>
          </w:tcPr>
          <w:p>
            <w:pPr>
              <w:pStyle w:val="TableParagraph"/>
              <w:spacing w:before="9"/>
              <w:ind w:left="0"/>
              <w:rPr>
                <w:b/>
                <w:sz w:val="19"/>
              </w:rPr>
            </w:pPr>
          </w:p>
          <w:p>
            <w:pPr>
              <w:pStyle w:val="TableParagraph"/>
              <w:ind w:left="64"/>
              <w:rPr>
                <w:sz w:val="20"/>
              </w:rPr>
            </w:pPr>
            <w:r>
              <w:rPr>
                <w:sz w:val="20"/>
              </w:rPr>
              <w:t>Porcentaje de población con acceso a agua potable</w:t>
            </w:r>
          </w:p>
        </w:tc>
        <w:tc>
          <w:tcPr>
            <w:tcW w:w="1801" w:type="dxa"/>
          </w:tcPr>
          <w:p>
            <w:pPr>
              <w:pStyle w:val="TableParagraph"/>
              <w:spacing w:line="227" w:lineRule="exact"/>
              <w:ind w:left="356" w:right="358"/>
              <w:jc w:val="center"/>
              <w:rPr>
                <w:sz w:val="20"/>
              </w:rPr>
            </w:pPr>
            <w:r>
              <w:rPr>
                <w:sz w:val="20"/>
              </w:rPr>
              <w:t>98,64</w:t>
            </w:r>
          </w:p>
          <w:p>
            <w:pPr>
              <w:pStyle w:val="TableParagraph"/>
              <w:ind w:left="356" w:right="361"/>
              <w:jc w:val="center"/>
              <w:rPr>
                <w:sz w:val="20"/>
              </w:rPr>
            </w:pPr>
            <w:r>
              <w:rPr>
                <w:sz w:val="20"/>
              </w:rPr>
              <w:t>(Occidente)</w:t>
            </w:r>
          </w:p>
        </w:tc>
        <w:tc>
          <w:tcPr>
            <w:tcW w:w="1800" w:type="dxa"/>
          </w:tcPr>
          <w:p>
            <w:pPr>
              <w:pStyle w:val="TableParagraph"/>
              <w:spacing w:line="227" w:lineRule="exact"/>
              <w:ind w:left="72" w:right="75"/>
              <w:jc w:val="center"/>
              <w:rPr>
                <w:sz w:val="20"/>
              </w:rPr>
            </w:pPr>
            <w:r>
              <w:rPr>
                <w:sz w:val="20"/>
              </w:rPr>
              <w:t>92,02</w:t>
            </w:r>
          </w:p>
          <w:p>
            <w:pPr>
              <w:pStyle w:val="TableParagraph"/>
              <w:ind w:left="72" w:right="76"/>
              <w:jc w:val="center"/>
              <w:rPr>
                <w:sz w:val="20"/>
              </w:rPr>
            </w:pPr>
            <w:r>
              <w:rPr>
                <w:sz w:val="20"/>
              </w:rPr>
              <w:t>(Oriente)</w:t>
            </w:r>
          </w:p>
        </w:tc>
      </w:tr>
      <w:tr>
        <w:trPr>
          <w:trHeight w:val="470" w:hRule="exact"/>
        </w:trPr>
        <w:tc>
          <w:tcPr>
            <w:tcW w:w="4861" w:type="dxa"/>
          </w:tcPr>
          <w:p>
            <w:pPr>
              <w:pStyle w:val="TableParagraph"/>
              <w:ind w:left="64"/>
              <w:rPr>
                <w:sz w:val="20"/>
              </w:rPr>
            </w:pPr>
            <w:r>
              <w:rPr>
                <w:sz w:val="20"/>
              </w:rPr>
              <w:t>Consumo energético en el sector residencial per cápita</w:t>
            </w:r>
          </w:p>
        </w:tc>
        <w:tc>
          <w:tcPr>
            <w:tcW w:w="1801" w:type="dxa"/>
          </w:tcPr>
          <w:p>
            <w:pPr>
              <w:pStyle w:val="TableParagraph"/>
              <w:spacing w:line="229" w:lineRule="exact"/>
              <w:ind w:left="356" w:right="359"/>
              <w:jc w:val="center"/>
              <w:rPr>
                <w:sz w:val="20"/>
              </w:rPr>
            </w:pPr>
            <w:r>
              <w:rPr>
                <w:sz w:val="20"/>
              </w:rPr>
              <w:t>0,06597</w:t>
            </w:r>
          </w:p>
          <w:p>
            <w:pPr>
              <w:pStyle w:val="TableParagraph"/>
              <w:spacing w:line="229" w:lineRule="exact"/>
              <w:ind w:left="356" w:right="361"/>
              <w:jc w:val="center"/>
              <w:rPr>
                <w:sz w:val="20"/>
              </w:rPr>
            </w:pPr>
            <w:r>
              <w:rPr>
                <w:sz w:val="20"/>
              </w:rPr>
              <w:t>(Occidente)</w:t>
            </w:r>
          </w:p>
        </w:tc>
        <w:tc>
          <w:tcPr>
            <w:tcW w:w="1800" w:type="dxa"/>
          </w:tcPr>
          <w:p>
            <w:pPr>
              <w:pStyle w:val="TableParagraph"/>
              <w:spacing w:line="229" w:lineRule="exact"/>
              <w:ind w:left="477"/>
              <w:rPr>
                <w:sz w:val="20"/>
              </w:rPr>
            </w:pPr>
            <w:r>
              <w:rPr>
                <w:sz w:val="20"/>
              </w:rPr>
              <w:t>0,058059</w:t>
            </w:r>
          </w:p>
          <w:p>
            <w:pPr>
              <w:pStyle w:val="TableParagraph"/>
              <w:spacing w:line="229" w:lineRule="exact"/>
              <w:ind w:left="499"/>
              <w:rPr>
                <w:sz w:val="20"/>
              </w:rPr>
            </w:pPr>
            <w:r>
              <w:rPr>
                <w:sz w:val="20"/>
              </w:rPr>
              <w:t>(Oriente)</w:t>
            </w:r>
          </w:p>
        </w:tc>
      </w:tr>
      <w:tr>
        <w:trPr>
          <w:trHeight w:val="470" w:hRule="exact"/>
        </w:trPr>
        <w:tc>
          <w:tcPr>
            <w:tcW w:w="4861" w:type="dxa"/>
          </w:tcPr>
          <w:p>
            <w:pPr>
              <w:pStyle w:val="TableParagraph"/>
              <w:spacing w:before="9"/>
              <w:ind w:left="0"/>
              <w:rPr>
                <w:b/>
                <w:sz w:val="19"/>
              </w:rPr>
            </w:pPr>
          </w:p>
          <w:p>
            <w:pPr>
              <w:pStyle w:val="TableParagraph"/>
              <w:ind w:left="64"/>
              <w:rPr>
                <w:sz w:val="20"/>
              </w:rPr>
            </w:pPr>
            <w:r>
              <w:rPr>
                <w:sz w:val="20"/>
              </w:rPr>
              <w:t>Accesibilidad a la vivienda</w:t>
            </w:r>
          </w:p>
        </w:tc>
        <w:tc>
          <w:tcPr>
            <w:tcW w:w="1801" w:type="dxa"/>
          </w:tcPr>
          <w:p>
            <w:pPr>
              <w:pStyle w:val="TableParagraph"/>
              <w:spacing w:line="227" w:lineRule="exact"/>
              <w:ind w:left="356" w:right="358"/>
              <w:jc w:val="center"/>
              <w:rPr>
                <w:sz w:val="20"/>
              </w:rPr>
            </w:pPr>
            <w:r>
              <w:rPr>
                <w:sz w:val="20"/>
              </w:rPr>
              <w:t>70,02</w:t>
            </w:r>
          </w:p>
          <w:p>
            <w:pPr>
              <w:pStyle w:val="TableParagraph"/>
              <w:ind w:left="356" w:right="358"/>
              <w:jc w:val="center"/>
              <w:rPr>
                <w:sz w:val="20"/>
              </w:rPr>
            </w:pPr>
            <w:r>
              <w:rPr>
                <w:sz w:val="20"/>
              </w:rPr>
              <w:t>(Centro)</w:t>
            </w:r>
          </w:p>
        </w:tc>
        <w:tc>
          <w:tcPr>
            <w:tcW w:w="1800" w:type="dxa"/>
          </w:tcPr>
          <w:p>
            <w:pPr>
              <w:pStyle w:val="TableParagraph"/>
              <w:spacing w:line="227" w:lineRule="exact"/>
              <w:ind w:left="72" w:right="75"/>
              <w:jc w:val="center"/>
              <w:rPr>
                <w:sz w:val="20"/>
              </w:rPr>
            </w:pPr>
            <w:r>
              <w:rPr>
                <w:sz w:val="20"/>
              </w:rPr>
              <w:t>66,58</w:t>
            </w:r>
          </w:p>
          <w:p>
            <w:pPr>
              <w:pStyle w:val="TableParagraph"/>
              <w:ind w:left="72" w:right="76"/>
              <w:jc w:val="center"/>
              <w:rPr>
                <w:sz w:val="20"/>
              </w:rPr>
            </w:pPr>
            <w:r>
              <w:rPr>
                <w:sz w:val="20"/>
              </w:rPr>
              <w:t>(Occidente)</w:t>
            </w:r>
          </w:p>
        </w:tc>
      </w:tr>
      <w:tr>
        <w:trPr>
          <w:trHeight w:val="470" w:hRule="exact"/>
        </w:trPr>
        <w:tc>
          <w:tcPr>
            <w:tcW w:w="4861" w:type="dxa"/>
          </w:tcPr>
          <w:p>
            <w:pPr>
              <w:pStyle w:val="TableParagraph"/>
              <w:spacing w:before="9"/>
              <w:ind w:left="0"/>
              <w:rPr>
                <w:b/>
                <w:sz w:val="19"/>
              </w:rPr>
            </w:pPr>
          </w:p>
          <w:p>
            <w:pPr>
              <w:pStyle w:val="TableParagraph"/>
              <w:ind w:left="64"/>
              <w:rPr>
                <w:sz w:val="20"/>
              </w:rPr>
            </w:pPr>
            <w:r>
              <w:rPr>
                <w:sz w:val="20"/>
              </w:rPr>
              <w:t>Porcentaje de votantes en las últimas elecciones</w:t>
            </w:r>
          </w:p>
        </w:tc>
        <w:tc>
          <w:tcPr>
            <w:tcW w:w="1801" w:type="dxa"/>
          </w:tcPr>
          <w:p>
            <w:pPr>
              <w:pStyle w:val="TableParagraph"/>
              <w:spacing w:line="227" w:lineRule="exact"/>
              <w:ind w:left="356" w:right="358"/>
              <w:jc w:val="center"/>
              <w:rPr>
                <w:sz w:val="20"/>
              </w:rPr>
            </w:pPr>
            <w:r>
              <w:rPr>
                <w:sz w:val="20"/>
              </w:rPr>
              <w:t>97,68</w:t>
            </w:r>
          </w:p>
          <w:p>
            <w:pPr>
              <w:pStyle w:val="TableParagraph"/>
              <w:ind w:left="356" w:right="361"/>
              <w:jc w:val="center"/>
              <w:rPr>
                <w:sz w:val="20"/>
              </w:rPr>
            </w:pPr>
            <w:r>
              <w:rPr>
                <w:sz w:val="20"/>
              </w:rPr>
              <w:t>(Occidente)</w:t>
            </w:r>
          </w:p>
        </w:tc>
        <w:tc>
          <w:tcPr>
            <w:tcW w:w="1800" w:type="dxa"/>
          </w:tcPr>
          <w:p>
            <w:pPr>
              <w:pStyle w:val="TableParagraph"/>
              <w:spacing w:line="227" w:lineRule="exact"/>
              <w:ind w:left="72" w:right="75"/>
              <w:jc w:val="center"/>
              <w:rPr>
                <w:sz w:val="20"/>
              </w:rPr>
            </w:pPr>
            <w:r>
              <w:rPr>
                <w:sz w:val="20"/>
              </w:rPr>
              <w:t>97</w:t>
            </w:r>
          </w:p>
          <w:p>
            <w:pPr>
              <w:pStyle w:val="TableParagraph"/>
              <w:ind w:left="72" w:right="73"/>
              <w:jc w:val="center"/>
              <w:rPr>
                <w:sz w:val="20"/>
              </w:rPr>
            </w:pPr>
            <w:r>
              <w:rPr>
                <w:sz w:val="20"/>
              </w:rPr>
              <w:t>(Centro)</w:t>
            </w:r>
          </w:p>
        </w:tc>
      </w:tr>
      <w:tr>
        <w:trPr>
          <w:trHeight w:val="471" w:hRule="exact"/>
        </w:trPr>
        <w:tc>
          <w:tcPr>
            <w:tcW w:w="4861" w:type="dxa"/>
          </w:tcPr>
          <w:p>
            <w:pPr>
              <w:pStyle w:val="TableParagraph"/>
              <w:spacing w:before="9"/>
              <w:ind w:left="0"/>
              <w:rPr>
                <w:b/>
                <w:sz w:val="19"/>
              </w:rPr>
            </w:pPr>
          </w:p>
          <w:p>
            <w:pPr>
              <w:pStyle w:val="TableParagraph"/>
              <w:ind w:left="64"/>
              <w:rPr>
                <w:sz w:val="13"/>
              </w:rPr>
            </w:pPr>
            <w:r>
              <w:rPr>
                <w:sz w:val="20"/>
              </w:rPr>
              <w:t>Carga contaminante por Km</w:t>
            </w:r>
            <w:r>
              <w:rPr>
                <w:position w:val="6"/>
                <w:sz w:val="13"/>
              </w:rPr>
              <w:t>2</w:t>
            </w:r>
          </w:p>
        </w:tc>
        <w:tc>
          <w:tcPr>
            <w:tcW w:w="1801" w:type="dxa"/>
          </w:tcPr>
          <w:p>
            <w:pPr>
              <w:pStyle w:val="TableParagraph"/>
              <w:spacing w:line="225" w:lineRule="exact"/>
              <w:ind w:left="356" w:right="357"/>
              <w:jc w:val="center"/>
              <w:rPr>
                <w:i/>
                <w:sz w:val="20"/>
              </w:rPr>
            </w:pPr>
            <w:r>
              <w:rPr>
                <w:i/>
                <w:sz w:val="20"/>
              </w:rPr>
              <w:t>1,982995</w:t>
            </w:r>
          </w:p>
          <w:p>
            <w:pPr>
              <w:pStyle w:val="TableParagraph"/>
              <w:spacing w:before="1"/>
              <w:ind w:left="356" w:right="361"/>
              <w:jc w:val="center"/>
              <w:rPr>
                <w:i/>
                <w:sz w:val="20"/>
              </w:rPr>
            </w:pPr>
            <w:r>
              <w:rPr>
                <w:i/>
                <w:sz w:val="20"/>
              </w:rPr>
              <w:t>(Occidente)</w:t>
            </w:r>
          </w:p>
        </w:tc>
        <w:tc>
          <w:tcPr>
            <w:tcW w:w="1800" w:type="dxa"/>
          </w:tcPr>
          <w:p>
            <w:pPr>
              <w:pStyle w:val="TableParagraph"/>
              <w:spacing w:line="225" w:lineRule="exact"/>
              <w:ind w:left="0"/>
              <w:jc w:val="center"/>
              <w:rPr>
                <w:i/>
                <w:sz w:val="20"/>
              </w:rPr>
            </w:pPr>
            <w:r>
              <w:rPr>
                <w:i/>
                <w:w w:val="99"/>
                <w:sz w:val="20"/>
              </w:rPr>
              <w:t>1</w:t>
            </w:r>
          </w:p>
          <w:p>
            <w:pPr>
              <w:pStyle w:val="TableParagraph"/>
              <w:spacing w:before="1"/>
              <w:ind w:left="72" w:right="77"/>
              <w:jc w:val="center"/>
              <w:rPr>
                <w:i/>
                <w:sz w:val="20"/>
              </w:rPr>
            </w:pPr>
            <w:r>
              <w:rPr>
                <w:i/>
                <w:sz w:val="20"/>
              </w:rPr>
              <w:t>(Centro y Oriente)</w:t>
            </w:r>
          </w:p>
        </w:tc>
      </w:tr>
    </w:tbl>
    <w:p>
      <w:pPr>
        <w:pStyle w:val="BodyText"/>
        <w:rPr>
          <w:b/>
        </w:rPr>
      </w:pPr>
    </w:p>
    <w:p>
      <w:pPr>
        <w:pStyle w:val="BodyText"/>
        <w:rPr>
          <w:b/>
        </w:rPr>
      </w:pPr>
    </w:p>
    <w:p>
      <w:pPr>
        <w:pStyle w:val="BodyText"/>
        <w:spacing w:before="1"/>
        <w:rPr>
          <w:b/>
          <w:sz w:val="26"/>
        </w:rPr>
      </w:pPr>
    </w:p>
    <w:p>
      <w:pPr>
        <w:pStyle w:val="BodyText"/>
        <w:spacing w:line="480" w:lineRule="auto"/>
        <w:ind w:left="102" w:right="110" w:firstLine="707"/>
        <w:jc w:val="both"/>
      </w:pPr>
      <w:r>
        <w:rPr/>
        <w:t>Los</w:t>
      </w:r>
      <w:r>
        <w:rPr>
          <w:spacing w:val="-6"/>
        </w:rPr>
        <w:t> </w:t>
      </w:r>
      <w:r>
        <w:rPr/>
        <w:t>resultados</w:t>
      </w:r>
      <w:r>
        <w:rPr>
          <w:spacing w:val="-9"/>
        </w:rPr>
        <w:t> </w:t>
      </w:r>
      <w:r>
        <w:rPr/>
        <w:t>obtenidos</w:t>
      </w:r>
      <w:r>
        <w:rPr>
          <w:spacing w:val="-8"/>
        </w:rPr>
        <w:t> </w:t>
      </w:r>
      <w:r>
        <w:rPr/>
        <w:t>demuestran</w:t>
      </w:r>
      <w:r>
        <w:rPr>
          <w:spacing w:val="-9"/>
        </w:rPr>
        <w:t> </w:t>
      </w:r>
      <w:r>
        <w:rPr/>
        <w:t>como</w:t>
      </w:r>
      <w:r>
        <w:rPr>
          <w:spacing w:val="-8"/>
        </w:rPr>
        <w:t> </w:t>
      </w:r>
      <w:r>
        <w:rPr/>
        <w:t>los</w:t>
      </w:r>
      <w:r>
        <w:rPr>
          <w:spacing w:val="-9"/>
        </w:rPr>
        <w:t> </w:t>
      </w:r>
      <w:r>
        <w:rPr/>
        <w:t>desequilibrios</w:t>
      </w:r>
      <w:r>
        <w:rPr>
          <w:spacing w:val="-8"/>
        </w:rPr>
        <w:t> </w:t>
      </w:r>
      <w:r>
        <w:rPr/>
        <w:t>regionales</w:t>
      </w:r>
      <w:r>
        <w:rPr>
          <w:spacing w:val="-6"/>
        </w:rPr>
        <w:t> </w:t>
      </w:r>
      <w:r>
        <w:rPr/>
        <w:t>en</w:t>
      </w:r>
      <w:r>
        <w:rPr>
          <w:spacing w:val="-6"/>
        </w:rPr>
        <w:t> </w:t>
      </w:r>
      <w:r>
        <w:rPr/>
        <w:t>Cuba</w:t>
      </w:r>
      <w:r>
        <w:rPr>
          <w:spacing w:val="-6"/>
        </w:rPr>
        <w:t> </w:t>
      </w:r>
      <w:r>
        <w:rPr/>
        <w:t>no han dejado de ser una realidad, a pesar de la implementación de políticas de desarrollo sustentable expresadas, por ejemplo, en la Estrategia Ambiental</w:t>
      </w:r>
      <w:r>
        <w:rPr>
          <w:spacing w:val="-16"/>
        </w:rPr>
        <w:t> </w:t>
      </w:r>
      <w:r>
        <w:rPr/>
        <w:t>Nacional.</w:t>
      </w:r>
    </w:p>
    <w:p>
      <w:pPr>
        <w:pStyle w:val="BodyText"/>
        <w:spacing w:line="480" w:lineRule="auto" w:before="127"/>
        <w:ind w:left="102" w:right="108" w:firstLine="707"/>
        <w:jc w:val="both"/>
      </w:pPr>
      <w:r>
        <w:rPr/>
        <w:t>Con el fin de comprender mejor los resultados observados a nivel regional es necesario estudiar la dinámica provincial en cada una de las dimensiones consideradas en esta metodología. Los ITDHE provinciales observados son representados gráficamente en la Figura 4.</w:t>
      </w:r>
    </w:p>
    <w:p>
      <w:pPr>
        <w:spacing w:after="0" w:line="480" w:lineRule="auto"/>
        <w:jc w:val="both"/>
        <w:sectPr>
          <w:pgSz w:w="11910" w:h="16840"/>
          <w:pgMar w:header="0" w:footer="768" w:top="1580" w:bottom="960" w:left="1600" w:right="1140"/>
        </w:sectPr>
      </w:pPr>
    </w:p>
    <w:p>
      <w:pPr>
        <w:pStyle w:val="Heading2"/>
        <w:ind w:left="4132" w:right="4141"/>
        <w:jc w:val="center"/>
      </w:pPr>
      <w:r>
        <w:rPr/>
        <w:t>Figura 4</w:t>
      </w:r>
    </w:p>
    <w:p>
      <w:pPr>
        <w:pStyle w:val="BodyText"/>
        <w:rPr>
          <w:b/>
          <w:sz w:val="20"/>
        </w:rPr>
      </w:pPr>
    </w:p>
    <w:p>
      <w:pPr>
        <w:pStyle w:val="BodyText"/>
        <w:spacing w:before="11"/>
        <w:rPr>
          <w:b/>
          <w:sz w:val="12"/>
        </w:rPr>
      </w:pPr>
      <w:r>
        <w:rPr/>
        <w:pict>
          <v:group style="position:absolute;margin-left:87.110542pt;margin-top:9.411931pt;width:418.65pt;height:271.650pt;mso-position-horizontal-relative:page;mso-position-vertical-relative:paragraph;z-index:2080;mso-wrap-distance-left:0;mso-wrap-distance-right:0" coordorigin="1742,188" coordsize="8373,5433">
            <v:rect style="position:absolute;left:1747;top:193;width:8364;height:5423" filled="false" stroked="true" strokeweight=".448535pt" strokecolor="#000000"/>
            <v:shape style="position:absolute;left:2987;top:4895;width:2292;height:116" type="#_x0000_t75" stroked="false">
              <v:imagedata r:id="rId32" o:title=""/>
            </v:shape>
            <v:rect style="position:absolute;left:2989;top:4903;width:2294;height:117" filled="false" stroked="true" strokeweight=".447461pt" strokecolor="#000000"/>
            <v:shape style="position:absolute;left:2987;top:4618;width:2328;height:107" type="#_x0000_t75" stroked="false">
              <v:imagedata r:id="rId33" o:title=""/>
            </v:shape>
            <v:rect style="position:absolute;left:2989;top:4625;width:2330;height:108" filled="false" stroked="true" strokeweight=".447459pt" strokecolor="#000000"/>
            <v:shape style="position:absolute;left:2987;top:4332;width:2734;height:116" type="#_x0000_t75" stroked="false">
              <v:imagedata r:id="rId34" o:title=""/>
            </v:shape>
            <v:rect style="position:absolute;left:2989;top:4339;width:2736;height:116" filled="false" stroked="true" strokeweight=".447458pt" strokecolor="#000000"/>
            <v:shape style="position:absolute;left:2987;top:4054;width:3510;height:107" type="#_x0000_t75" stroked="false">
              <v:imagedata r:id="rId35" o:title=""/>
            </v:shape>
            <v:rect style="position:absolute;left:2989;top:4061;width:3513;height:108" filled="false" stroked="true" strokeweight=".447455pt" strokecolor="#000000"/>
            <v:shape style="position:absolute;left:2987;top:3768;width:3537;height:116" type="#_x0000_t75" stroked="false">
              <v:imagedata r:id="rId36" o:title=""/>
            </v:shape>
            <v:rect style="position:absolute;left:2989;top:3774;width:3540;height:116" filled="false" stroked="true" strokeweight=".447456pt" strokecolor="#000000"/>
            <v:shape style="position:absolute;left:2987;top:3491;width:3843;height:107" type="#_x0000_t75" stroked="false">
              <v:imagedata r:id="rId37" o:title=""/>
            </v:shape>
            <v:rect style="position:absolute;left:2989;top:3496;width:3847;height:108" filled="false" stroked="true" strokeweight=".447455pt" strokecolor="#000000"/>
            <v:shape style="position:absolute;left:2987;top:3204;width:3979;height:116" type="#_x0000_t75" stroked="false">
              <v:imagedata r:id="rId38" o:title=""/>
            </v:shape>
            <v:rect style="position:absolute;left:2989;top:3209;width:3983;height:116" filled="false" stroked="true" strokeweight=".447455pt" strokecolor="#000000"/>
            <v:shape style="position:absolute;left:2987;top:2927;width:4358;height:107" type="#_x0000_t75" stroked="false">
              <v:imagedata r:id="rId39" o:title=""/>
            </v:shape>
            <v:rect style="position:absolute;left:2989;top:2931;width:4362;height:108" filled="false" stroked="true" strokeweight=".447454pt" strokecolor="#000000"/>
            <v:shape style="position:absolute;left:2987;top:2640;width:4466;height:116" type="#_x0000_t75" stroked="false">
              <v:imagedata r:id="rId40" o:title=""/>
            </v:shape>
            <v:rect style="position:absolute;left:2989;top:2645;width:4471;height:116" filled="false" stroked="true" strokeweight=".447454pt" strokecolor="#000000"/>
            <v:shape style="position:absolute;left:2987;top:2363;width:4502;height:107" type="#_x0000_t75" stroked="false">
              <v:imagedata r:id="rId41" o:title=""/>
            </v:shape>
            <v:rect style="position:absolute;left:2989;top:2366;width:4507;height:108" filled="false" stroked="true" strokeweight=".447454pt" strokecolor="#000000"/>
            <v:shape style="position:absolute;left:2987;top:2077;width:4881;height:116" type="#_x0000_t75" stroked="false">
              <v:imagedata r:id="rId42" o:title=""/>
            </v:shape>
            <v:rect style="position:absolute;left:2989;top:2080;width:4886;height:116" filled="false" stroked="true" strokeweight=".447454pt" strokecolor="#000000"/>
            <v:shape style="position:absolute;left:2987;top:1799;width:5161;height:107" type="#_x0000_t75" stroked="false">
              <v:imagedata r:id="rId43" o:title=""/>
            </v:shape>
            <v:rect style="position:absolute;left:2989;top:1802;width:5166;height:108" filled="false" stroked="true" strokeweight=".447453pt" strokecolor="#000000"/>
            <v:shape style="position:absolute;left:2987;top:1513;width:5206;height:116" type="#_x0000_t75" stroked="false">
              <v:imagedata r:id="rId44" o:title=""/>
            </v:shape>
            <v:rect style="position:absolute;left:2989;top:1515;width:5211;height:117" filled="false" stroked="true" strokeweight=".447454pt" strokecolor="#000000"/>
            <v:shape style="position:absolute;left:2987;top:1235;width:5603;height:107" type="#_x0000_t75" stroked="false">
              <v:imagedata r:id="rId45" o:title=""/>
            </v:shape>
            <v:rect style="position:absolute;left:2989;top:1237;width:5609;height:108" filled="false" stroked="true" strokeweight=".447453pt" strokecolor="#000000"/>
            <v:shape style="position:absolute;left:2987;top:949;width:6180;height:116" type="#_x0000_t75" stroked="false">
              <v:imagedata r:id="rId46" o:title=""/>
            </v:shape>
            <v:rect style="position:absolute;left:2989;top:950;width:6187;height:117" filled="false" stroked="true" strokeweight=".447453pt" strokecolor="#000000"/>
            <v:line style="position:absolute" from="2989,5100" to="9745,5100" stroked="true" strokeweight=".447452pt" strokecolor="#000000"/>
            <v:line style="position:absolute" from="2989,5154" to="2989,5109" stroked="true" strokeweight=".45111pt" strokecolor="#000000"/>
            <v:line style="position:absolute" from="3838,5154" to="3838,5109" stroked="true" strokeweight=".45111pt" strokecolor="#000000"/>
            <v:line style="position:absolute" from="4678,5154" to="4678,5109" stroked="true" strokeweight=".45111pt" strokecolor="#000000"/>
            <v:line style="position:absolute" from="5527,5154" to="5527,5109" stroked="true" strokeweight=".45111pt" strokecolor="#000000"/>
            <v:line style="position:absolute" from="6376,5154" to="6376,5109" stroked="true" strokeweight=".45111pt" strokecolor="#000000"/>
            <v:line style="position:absolute" from="7216,5154" to="7216,5109" stroked="true" strokeweight=".45111pt" strokecolor="#000000"/>
            <v:line style="position:absolute" from="8065,5154" to="8065,5109" stroked="true" strokeweight=".45111pt" strokecolor="#000000"/>
            <v:line style="position:absolute" from="8905,5154" to="8905,5109" stroked="true" strokeweight=".45111pt" strokecolor="#000000"/>
            <v:line style="position:absolute" from="9754,5154" to="9754,5109" stroked="true" strokeweight=".45111pt" strokecolor="#000000"/>
            <v:line style="position:absolute" from="2989,861" to="2989,5091" stroked="true" strokeweight=".45111pt" strokecolor="#000000"/>
            <v:line style="position:absolute" from="2952,5100" to="2980,5100" stroked="true" strokeweight=".447452pt" strokecolor="#000000"/>
            <v:line style="position:absolute" from="2952,4813" to="2980,4813" stroked="true" strokeweight=".447452pt" strokecolor="#000000"/>
            <v:line style="position:absolute" from="2952,4536" to="2980,4536" stroked="true" strokeweight=".447452pt" strokecolor="#000000"/>
            <v:line style="position:absolute" from="2952,4249" to="2980,4249" stroked="true" strokeweight=".447452pt" strokecolor="#000000"/>
            <v:line style="position:absolute" from="2952,3971" to="2980,3971" stroked="true" strokeweight=".447452pt" strokecolor="#000000"/>
            <v:line style="position:absolute" from="2952,3684" to="2980,3684" stroked="true" strokeweight=".447452pt" strokecolor="#000000"/>
            <v:line style="position:absolute" from="2952,3406" to="2980,3406" stroked="true" strokeweight=".447452pt" strokecolor="#000000"/>
            <v:line style="position:absolute" from="2952,3119" to="2980,3119" stroked="true" strokeweight=".447452pt" strokecolor="#000000"/>
            <v:line style="position:absolute" from="2952,2842" to="2980,2842" stroked="true" strokeweight=".447452pt" strokecolor="#000000"/>
            <v:line style="position:absolute" from="2952,2555" to="2980,2555" stroked="true" strokeweight=".447452pt" strokecolor="#000000"/>
            <v:line style="position:absolute" from="2952,2277" to="2980,2277" stroked="true" strokeweight=".447452pt" strokecolor="#000000"/>
            <v:line style="position:absolute" from="2952,1990" to="2980,1990" stroked="true" strokeweight=".447452pt" strokecolor="#000000"/>
            <v:line style="position:absolute" from="2952,1712" to="2980,1712" stroked="true" strokeweight=".447452pt" strokecolor="#000000"/>
            <v:line style="position:absolute" from="2952,1425" to="2980,1425" stroked="true" strokeweight=".447452pt" strokecolor="#000000"/>
            <v:line style="position:absolute" from="2952,1147" to="2980,1147" stroked="true" strokeweight=".447452pt" strokecolor="#000000"/>
            <v:line style="position:absolute" from="2952,861" to="2980,861" stroked="true" strokeweight=".447452pt" strokecolor="#000000"/>
            <v:rect style="position:absolute;left:1747;top:193;width:8364;height:5423" filled="false" stroked="true" strokeweight=".448535pt" strokecolor="#000000"/>
            <v:shape style="position:absolute;left:4556;top:395;width:2747;height:216" type="#_x0000_t202" filled="false" stroked="false">
              <v:textbox inset="0,0,0,0">
                <w:txbxContent>
                  <w:p>
                    <w:pPr>
                      <w:spacing w:line="215" w:lineRule="exact" w:before="0"/>
                      <w:ind w:left="0" w:right="-10" w:firstLine="0"/>
                      <w:jc w:val="left"/>
                      <w:rPr>
                        <w:b/>
                        <w:sz w:val="21"/>
                      </w:rPr>
                    </w:pPr>
                    <w:r>
                      <w:rPr>
                        <w:b/>
                        <w:w w:val="105"/>
                        <w:sz w:val="21"/>
                      </w:rPr>
                      <w:t>ITDHE por provincias</w:t>
                    </w:r>
                    <w:r>
                      <w:rPr>
                        <w:b/>
                        <w:spacing w:val="-45"/>
                        <w:w w:val="105"/>
                        <w:sz w:val="21"/>
                      </w:rPr>
                      <w:t> </w:t>
                    </w:r>
                    <w:r>
                      <w:rPr>
                        <w:b/>
                        <w:spacing w:val="-3"/>
                        <w:w w:val="105"/>
                        <w:sz w:val="21"/>
                      </w:rPr>
                      <w:t>2008</w:t>
                    </w:r>
                  </w:p>
                </w:txbxContent>
              </v:textbox>
              <w10:wrap type="none"/>
            </v:shape>
            <v:shape style="position:absolute;left:1774;top:950;width:1392;height:4503" type="#_x0000_t202" filled="false" stroked="false">
              <v:textbox inset="0,0,0,0">
                <w:txbxContent>
                  <w:p>
                    <w:pPr>
                      <w:spacing w:line="118" w:lineRule="exact" w:before="0"/>
                      <w:ind w:left="0" w:right="269" w:firstLine="0"/>
                      <w:jc w:val="right"/>
                      <w:rPr>
                        <w:sz w:val="11"/>
                      </w:rPr>
                    </w:pPr>
                    <w:r>
                      <w:rPr>
                        <w:w w:val="105"/>
                        <w:sz w:val="11"/>
                      </w:rPr>
                      <w:t>Isla de la Juventud</w:t>
                    </w:r>
                  </w:p>
                  <w:p>
                    <w:pPr>
                      <w:spacing w:line="240" w:lineRule="auto" w:before="1"/>
                      <w:rPr>
                        <w:b/>
                        <w:sz w:val="13"/>
                      </w:rPr>
                    </w:pPr>
                  </w:p>
                  <w:p>
                    <w:pPr>
                      <w:spacing w:line="544" w:lineRule="auto" w:before="0"/>
                      <w:ind w:left="688" w:right="268" w:hanging="190"/>
                      <w:jc w:val="right"/>
                      <w:rPr>
                        <w:sz w:val="11"/>
                      </w:rPr>
                    </w:pPr>
                    <w:r>
                      <w:rPr>
                        <w:w w:val="105"/>
                        <w:sz w:val="11"/>
                      </w:rPr>
                      <w:t>Cienfuegos Holguín</w:t>
                    </w:r>
                  </w:p>
                  <w:p>
                    <w:pPr>
                      <w:spacing w:line="544" w:lineRule="auto" w:before="0"/>
                      <w:ind w:left="0" w:right="268" w:firstLine="379"/>
                      <w:jc w:val="right"/>
                      <w:rPr>
                        <w:sz w:val="11"/>
                      </w:rPr>
                    </w:pPr>
                    <w:r>
                      <w:rPr>
                        <w:w w:val="105"/>
                        <w:sz w:val="11"/>
                      </w:rPr>
                      <w:t>Ciego de Avila</w:t>
                    </w:r>
                    <w:r>
                      <w:rPr>
                        <w:w w:val="106"/>
                        <w:sz w:val="11"/>
                      </w:rPr>
                      <w:t> </w:t>
                    </w:r>
                    <w:r>
                      <w:rPr>
                        <w:w w:val="105"/>
                        <w:sz w:val="11"/>
                      </w:rPr>
                      <w:t>Ciudad de La Habana</w:t>
                    </w:r>
                  </w:p>
                  <w:p>
                    <w:pPr>
                      <w:spacing w:line="537" w:lineRule="auto" w:before="0"/>
                      <w:ind w:left="352" w:right="268" w:firstLine="252"/>
                      <w:jc w:val="right"/>
                      <w:rPr>
                        <w:sz w:val="11"/>
                      </w:rPr>
                    </w:pPr>
                    <w:r>
                      <w:rPr>
                        <w:w w:val="105"/>
                        <w:sz w:val="11"/>
                      </w:rPr>
                      <w:t>Matanzas Villa Clara</w:t>
                    </w:r>
                    <w:r>
                      <w:rPr>
                        <w:w w:val="106"/>
                        <w:sz w:val="11"/>
                      </w:rPr>
                      <w:t> </w:t>
                    </w:r>
                    <w:r>
                      <w:rPr>
                        <w:w w:val="105"/>
                        <w:sz w:val="11"/>
                      </w:rPr>
                      <w:t>Sancti Spiritus</w:t>
                    </w:r>
                    <w:r>
                      <w:rPr>
                        <w:w w:val="106"/>
                        <w:sz w:val="11"/>
                      </w:rPr>
                      <w:t> </w:t>
                    </w:r>
                    <w:r>
                      <w:rPr>
                        <w:w w:val="105"/>
                        <w:sz w:val="11"/>
                      </w:rPr>
                      <w:t>Camagüey</w:t>
                    </w:r>
                  </w:p>
                  <w:p>
                    <w:pPr>
                      <w:spacing w:line="532" w:lineRule="auto" w:before="8"/>
                      <w:ind w:left="410" w:right="268" w:firstLine="108"/>
                      <w:jc w:val="right"/>
                      <w:rPr>
                        <w:sz w:val="11"/>
                      </w:rPr>
                    </w:pPr>
                    <w:r>
                      <w:rPr>
                        <w:w w:val="105"/>
                        <w:sz w:val="11"/>
                      </w:rPr>
                      <w:t>La Habana</w:t>
                    </w:r>
                    <w:r>
                      <w:rPr>
                        <w:w w:val="106"/>
                        <w:sz w:val="11"/>
                      </w:rPr>
                      <w:t> </w:t>
                    </w:r>
                    <w:r>
                      <w:rPr>
                        <w:w w:val="105"/>
                        <w:sz w:val="11"/>
                      </w:rPr>
                      <w:t>Pinar del Río</w:t>
                    </w:r>
                    <w:r>
                      <w:rPr>
                        <w:w w:val="106"/>
                        <w:sz w:val="11"/>
                      </w:rPr>
                      <w:t> </w:t>
                    </w:r>
                    <w:r>
                      <w:rPr>
                        <w:w w:val="105"/>
                        <w:sz w:val="11"/>
                      </w:rPr>
                      <w:t>Las Tunas</w:t>
                    </w:r>
                    <w:r>
                      <w:rPr>
                        <w:w w:val="106"/>
                        <w:sz w:val="11"/>
                      </w:rPr>
                      <w:t> </w:t>
                    </w:r>
                    <w:r>
                      <w:rPr>
                        <w:w w:val="105"/>
                        <w:sz w:val="11"/>
                      </w:rPr>
                      <w:t>Guantánamo</w:t>
                    </w:r>
                  </w:p>
                  <w:p>
                    <w:pPr>
                      <w:spacing w:before="10"/>
                      <w:ind w:left="0" w:right="269" w:firstLine="0"/>
                      <w:jc w:val="right"/>
                      <w:rPr>
                        <w:sz w:val="11"/>
                      </w:rPr>
                    </w:pPr>
                    <w:r>
                      <w:rPr>
                        <w:w w:val="105"/>
                        <w:sz w:val="11"/>
                      </w:rPr>
                      <w:t>Santiago de Cuba</w:t>
                    </w:r>
                  </w:p>
                  <w:p>
                    <w:pPr>
                      <w:spacing w:line="240" w:lineRule="auto" w:before="1"/>
                      <w:rPr>
                        <w:b/>
                        <w:sz w:val="13"/>
                      </w:rPr>
                    </w:pPr>
                  </w:p>
                  <w:p>
                    <w:pPr>
                      <w:spacing w:before="0"/>
                      <w:ind w:left="0" w:right="268" w:firstLine="0"/>
                      <w:jc w:val="right"/>
                      <w:rPr>
                        <w:sz w:val="11"/>
                      </w:rPr>
                    </w:pPr>
                    <w:r>
                      <w:rPr>
                        <w:w w:val="105"/>
                        <w:sz w:val="11"/>
                      </w:rPr>
                      <w:t>Granma</w:t>
                    </w:r>
                  </w:p>
                  <w:p>
                    <w:pPr>
                      <w:spacing w:line="240" w:lineRule="auto" w:before="0"/>
                      <w:rPr>
                        <w:b/>
                        <w:sz w:val="12"/>
                      </w:rPr>
                    </w:pPr>
                  </w:p>
                  <w:p>
                    <w:pPr>
                      <w:spacing w:line="203" w:lineRule="exact" w:before="91"/>
                      <w:ind w:left="0" w:right="0" w:firstLine="0"/>
                      <w:jc w:val="right"/>
                      <w:rPr>
                        <w:sz w:val="18"/>
                      </w:rPr>
                    </w:pPr>
                    <w:r>
                      <w:rPr>
                        <w:sz w:val="18"/>
                      </w:rPr>
                      <w:t>0,72</w:t>
                    </w:r>
                  </w:p>
                </w:txbxContent>
              </v:textbox>
              <w10:wrap type="none"/>
            </v:shape>
            <v:shape style="position:absolute;left:3662;top:5273;width:353;height:180" type="#_x0000_t202" filled="false" stroked="false">
              <v:textbox inset="0,0,0,0">
                <w:txbxContent>
                  <w:p>
                    <w:pPr>
                      <w:spacing w:line="179" w:lineRule="exact" w:before="0"/>
                      <w:ind w:left="0" w:right="-18" w:firstLine="0"/>
                      <w:jc w:val="left"/>
                      <w:rPr>
                        <w:sz w:val="18"/>
                      </w:rPr>
                    </w:pPr>
                    <w:r>
                      <w:rPr>
                        <w:sz w:val="18"/>
                      </w:rPr>
                      <w:t>0,74</w:t>
                    </w:r>
                  </w:p>
                </w:txbxContent>
              </v:textbox>
              <w10:wrap type="none"/>
            </v:shape>
            <v:shape style="position:absolute;left:4501;top:5273;width:353;height:180" type="#_x0000_t202" filled="false" stroked="false">
              <v:textbox inset="0,0,0,0">
                <w:txbxContent>
                  <w:p>
                    <w:pPr>
                      <w:spacing w:line="179" w:lineRule="exact" w:before="0"/>
                      <w:ind w:left="0" w:right="-18" w:firstLine="0"/>
                      <w:jc w:val="left"/>
                      <w:rPr>
                        <w:sz w:val="18"/>
                      </w:rPr>
                    </w:pPr>
                    <w:r>
                      <w:rPr>
                        <w:sz w:val="18"/>
                      </w:rPr>
                      <w:t>0,76</w:t>
                    </w:r>
                  </w:p>
                </w:txbxContent>
              </v:textbox>
              <w10:wrap type="none"/>
            </v:shape>
            <v:shape style="position:absolute;left:5351;top:5273;width:353;height:180" type="#_x0000_t202" filled="false" stroked="false">
              <v:textbox inset="0,0,0,0">
                <w:txbxContent>
                  <w:p>
                    <w:pPr>
                      <w:spacing w:line="179" w:lineRule="exact" w:before="0"/>
                      <w:ind w:left="0" w:right="-18" w:firstLine="0"/>
                      <w:jc w:val="left"/>
                      <w:rPr>
                        <w:sz w:val="18"/>
                      </w:rPr>
                    </w:pPr>
                    <w:r>
                      <w:rPr>
                        <w:sz w:val="18"/>
                      </w:rPr>
                      <w:t>0,78</w:t>
                    </w:r>
                  </w:p>
                </w:txbxContent>
              </v:textbox>
              <w10:wrap type="none"/>
            </v:shape>
            <v:shape style="position:absolute;left:6245;top:5273;width:254;height:180" type="#_x0000_t202" filled="false" stroked="false">
              <v:textbox inset="0,0,0,0">
                <w:txbxContent>
                  <w:p>
                    <w:pPr>
                      <w:spacing w:line="179" w:lineRule="exact" w:before="0"/>
                      <w:ind w:left="0" w:right="-17" w:firstLine="0"/>
                      <w:jc w:val="left"/>
                      <w:rPr>
                        <w:sz w:val="18"/>
                      </w:rPr>
                    </w:pPr>
                    <w:r>
                      <w:rPr>
                        <w:sz w:val="18"/>
                      </w:rPr>
                      <w:t>0,8</w:t>
                    </w:r>
                  </w:p>
                </w:txbxContent>
              </v:textbox>
              <w10:wrap type="none"/>
            </v:shape>
            <v:shape style="position:absolute;left:7039;top:5273;width:353;height:180" type="#_x0000_t202" filled="false" stroked="false">
              <v:textbox inset="0,0,0,0">
                <w:txbxContent>
                  <w:p>
                    <w:pPr>
                      <w:spacing w:line="179" w:lineRule="exact" w:before="0"/>
                      <w:ind w:left="0" w:right="-18" w:firstLine="0"/>
                      <w:jc w:val="left"/>
                      <w:rPr>
                        <w:sz w:val="18"/>
                      </w:rPr>
                    </w:pPr>
                    <w:r>
                      <w:rPr>
                        <w:sz w:val="18"/>
                      </w:rPr>
                      <w:t>0,82</w:t>
                    </w:r>
                  </w:p>
                </w:txbxContent>
              </v:textbox>
              <w10:wrap type="none"/>
            </v:shape>
            <v:shape style="position:absolute;left:7888;top:5273;width:353;height:180" type="#_x0000_t202" filled="false" stroked="false">
              <v:textbox inset="0,0,0,0">
                <w:txbxContent>
                  <w:p>
                    <w:pPr>
                      <w:spacing w:line="179" w:lineRule="exact" w:before="0"/>
                      <w:ind w:left="0" w:right="-18" w:firstLine="0"/>
                      <w:jc w:val="left"/>
                      <w:rPr>
                        <w:sz w:val="18"/>
                      </w:rPr>
                    </w:pPr>
                    <w:r>
                      <w:rPr>
                        <w:sz w:val="18"/>
                      </w:rPr>
                      <w:t>0,84</w:t>
                    </w:r>
                  </w:p>
                </w:txbxContent>
              </v:textbox>
              <w10:wrap type="none"/>
            </v:shape>
            <v:shape style="position:absolute;left:8728;top:5273;width:353;height:180" type="#_x0000_t202" filled="false" stroked="false">
              <v:textbox inset="0,0,0,0">
                <w:txbxContent>
                  <w:p>
                    <w:pPr>
                      <w:spacing w:line="179" w:lineRule="exact" w:before="0"/>
                      <w:ind w:left="0" w:right="-18" w:firstLine="0"/>
                      <w:jc w:val="left"/>
                      <w:rPr>
                        <w:sz w:val="18"/>
                      </w:rPr>
                    </w:pPr>
                    <w:r>
                      <w:rPr>
                        <w:sz w:val="18"/>
                      </w:rPr>
                      <w:t>0,86</w:t>
                    </w:r>
                  </w:p>
                </w:txbxContent>
              </v:textbox>
              <w10:wrap type="none"/>
            </v:shape>
            <v:shape style="position:absolute;left:9577;top:5273;width:353;height:180" type="#_x0000_t202" filled="false" stroked="false">
              <v:textbox inset="0,0,0,0">
                <w:txbxContent>
                  <w:p>
                    <w:pPr>
                      <w:spacing w:line="179" w:lineRule="exact" w:before="0"/>
                      <w:ind w:left="0" w:right="-18" w:firstLine="0"/>
                      <w:jc w:val="left"/>
                      <w:rPr>
                        <w:sz w:val="18"/>
                      </w:rPr>
                    </w:pPr>
                    <w:r>
                      <w:rPr>
                        <w:sz w:val="18"/>
                      </w:rPr>
                      <w:t>0,88</w:t>
                    </w:r>
                  </w:p>
                </w:txbxContent>
              </v:textbox>
              <w10:wrap type="none"/>
            </v:shape>
            <w10:wrap type="topAndBottom"/>
          </v:group>
        </w:pict>
      </w:r>
    </w:p>
    <w:p>
      <w:pPr>
        <w:pStyle w:val="BodyText"/>
        <w:rPr>
          <w:b/>
        </w:rPr>
      </w:pPr>
    </w:p>
    <w:p>
      <w:pPr>
        <w:pStyle w:val="BodyText"/>
        <w:spacing w:line="480" w:lineRule="auto" w:before="136"/>
        <w:ind w:left="102" w:right="112" w:firstLine="707"/>
        <w:jc w:val="both"/>
      </w:pPr>
      <w:r>
        <w:rPr/>
        <w:t>La Isla de la Juventud y Ciudad de la Habana son dentro de la región Occidental las localidades con valores más altos del índice (1ra y 5ta posición, respectivamente); Cienfuegos y Ciego de Ávila son las provincias que más inciden en los logros de la región Central (2da y 4ta posición); por su parte Holguín es la única provincia oriental con valores elevados dentro del ITDHE (3ra posición). Resulta significativo como las provincias orientales,</w:t>
      </w:r>
      <w:r>
        <w:rPr>
          <w:spacing w:val="-4"/>
        </w:rPr>
        <w:t> </w:t>
      </w:r>
      <w:r>
        <w:rPr/>
        <w:t>con</w:t>
      </w:r>
      <w:r>
        <w:rPr>
          <w:spacing w:val="-3"/>
        </w:rPr>
        <w:t> </w:t>
      </w:r>
      <w:r>
        <w:rPr/>
        <w:t>excepción</w:t>
      </w:r>
      <w:r>
        <w:rPr>
          <w:spacing w:val="-3"/>
        </w:rPr>
        <w:t> </w:t>
      </w:r>
      <w:r>
        <w:rPr/>
        <w:t>de</w:t>
      </w:r>
      <w:r>
        <w:rPr>
          <w:spacing w:val="-3"/>
        </w:rPr>
        <w:t> </w:t>
      </w:r>
      <w:r>
        <w:rPr/>
        <w:t>Holguín,</w:t>
      </w:r>
      <w:r>
        <w:rPr>
          <w:spacing w:val="-2"/>
        </w:rPr>
        <w:t> </w:t>
      </w:r>
      <w:r>
        <w:rPr/>
        <w:t>presentan</w:t>
      </w:r>
      <w:r>
        <w:rPr>
          <w:spacing w:val="-8"/>
        </w:rPr>
        <w:t> </w:t>
      </w:r>
      <w:r>
        <w:rPr/>
        <w:t>todas</w:t>
      </w:r>
      <w:r>
        <w:rPr>
          <w:spacing w:val="-3"/>
        </w:rPr>
        <w:t> </w:t>
      </w:r>
      <w:r>
        <w:rPr/>
        <w:t>los</w:t>
      </w:r>
      <w:r>
        <w:rPr>
          <w:spacing w:val="-5"/>
        </w:rPr>
        <w:t> </w:t>
      </w:r>
      <w:r>
        <w:rPr/>
        <w:t>valores</w:t>
      </w:r>
      <w:r>
        <w:rPr>
          <w:spacing w:val="-3"/>
        </w:rPr>
        <w:t> </w:t>
      </w:r>
      <w:r>
        <w:rPr/>
        <w:t>más</w:t>
      </w:r>
      <w:r>
        <w:rPr>
          <w:spacing w:val="-5"/>
        </w:rPr>
        <w:t> </w:t>
      </w:r>
      <w:r>
        <w:rPr/>
        <w:t>bajos</w:t>
      </w:r>
      <w:r>
        <w:rPr>
          <w:spacing w:val="-3"/>
        </w:rPr>
        <w:t> </w:t>
      </w:r>
      <w:r>
        <w:rPr/>
        <w:t>de</w:t>
      </w:r>
      <w:r>
        <w:rPr>
          <w:spacing w:val="-6"/>
        </w:rPr>
        <w:t> </w:t>
      </w:r>
      <w:r>
        <w:rPr/>
        <w:t>este</w:t>
      </w:r>
      <w:r>
        <w:rPr>
          <w:spacing w:val="-3"/>
        </w:rPr>
        <w:t> </w:t>
      </w:r>
      <w:r>
        <w:rPr/>
        <w:t>índice, lo cual corrobora la situación desfavorecida de esta región con respecto al</w:t>
      </w:r>
      <w:r>
        <w:rPr>
          <w:spacing w:val="-17"/>
        </w:rPr>
        <w:t> </w:t>
      </w:r>
      <w:r>
        <w:rPr/>
        <w:t>resto.</w:t>
      </w:r>
    </w:p>
    <w:p>
      <w:pPr>
        <w:pStyle w:val="BodyText"/>
        <w:spacing w:line="480" w:lineRule="auto" w:before="128"/>
        <w:ind w:left="102" w:right="110" w:firstLine="707"/>
        <w:jc w:val="both"/>
      </w:pPr>
      <w:r>
        <w:rPr/>
        <w:t>En el análisis de los logros por dimensión, se aprecia como Ciudad de la Habana concentra el mayor volumen de inversión per cápita, siendo este uno de los indicadores</w:t>
      </w:r>
      <w:r>
        <w:rPr>
          <w:spacing w:val="-35"/>
        </w:rPr>
        <w:t> </w:t>
      </w:r>
      <w:r>
        <w:rPr/>
        <w:t>con mayor</w:t>
      </w:r>
      <w:r>
        <w:rPr>
          <w:spacing w:val="-2"/>
        </w:rPr>
        <w:t> </w:t>
      </w:r>
      <w:r>
        <w:rPr/>
        <w:t>heterogeneidad</w:t>
      </w:r>
      <w:r>
        <w:rPr>
          <w:spacing w:val="-3"/>
        </w:rPr>
        <w:t> </w:t>
      </w:r>
      <w:r>
        <w:rPr/>
        <w:t>entre</w:t>
      </w:r>
      <w:r>
        <w:rPr>
          <w:spacing w:val="-3"/>
        </w:rPr>
        <w:t> </w:t>
      </w:r>
      <w:r>
        <w:rPr/>
        <w:t>las</w:t>
      </w:r>
      <w:r>
        <w:rPr>
          <w:spacing w:val="-3"/>
        </w:rPr>
        <w:t> </w:t>
      </w:r>
      <w:r>
        <w:rPr/>
        <w:t>provincias.</w:t>
      </w:r>
      <w:r>
        <w:rPr>
          <w:spacing w:val="-2"/>
        </w:rPr>
        <w:t> </w:t>
      </w:r>
      <w:r>
        <w:rPr/>
        <w:t>La</w:t>
      </w:r>
      <w:r>
        <w:rPr>
          <w:spacing w:val="-3"/>
        </w:rPr>
        <w:t> </w:t>
      </w:r>
      <w:r>
        <w:rPr/>
        <w:t>diferencia</w:t>
      </w:r>
      <w:r>
        <w:rPr>
          <w:spacing w:val="-3"/>
        </w:rPr>
        <w:t> </w:t>
      </w:r>
      <w:r>
        <w:rPr/>
        <w:t>entre</w:t>
      </w:r>
      <w:r>
        <w:rPr>
          <w:spacing w:val="-5"/>
        </w:rPr>
        <w:t> </w:t>
      </w:r>
      <w:r>
        <w:rPr/>
        <w:t>la</w:t>
      </w:r>
      <w:r>
        <w:rPr>
          <w:spacing w:val="-3"/>
        </w:rPr>
        <w:t> </w:t>
      </w:r>
      <w:r>
        <w:rPr/>
        <w:t>capital</w:t>
      </w:r>
      <w:r>
        <w:rPr>
          <w:spacing w:val="-4"/>
        </w:rPr>
        <w:t> </w:t>
      </w:r>
      <w:r>
        <w:rPr/>
        <w:t>del</w:t>
      </w:r>
      <w:r>
        <w:rPr>
          <w:spacing w:val="-4"/>
        </w:rPr>
        <w:t> </w:t>
      </w:r>
      <w:r>
        <w:rPr/>
        <w:t>país</w:t>
      </w:r>
      <w:r>
        <w:rPr>
          <w:spacing w:val="-3"/>
        </w:rPr>
        <w:t> </w:t>
      </w:r>
      <w:r>
        <w:rPr/>
        <w:t>y</w:t>
      </w:r>
      <w:r>
        <w:rPr>
          <w:spacing w:val="-5"/>
        </w:rPr>
        <w:t> </w:t>
      </w:r>
      <w:r>
        <w:rPr/>
        <w:t>Pinar</w:t>
      </w:r>
      <w:r>
        <w:rPr>
          <w:spacing w:val="-2"/>
        </w:rPr>
        <w:t> </w:t>
      </w:r>
      <w:r>
        <w:rPr/>
        <w:t>del Río (la provincia con el valor más bajo) es de 761,82 pesos, de esta manera resulta que dentro de la misma región Occidental coexisten las provincias con mayor y menor volumen de inversión per</w:t>
      </w:r>
      <w:r>
        <w:rPr>
          <w:spacing w:val="-3"/>
        </w:rPr>
        <w:t> </w:t>
      </w:r>
      <w:r>
        <w:rPr/>
        <w:t>cápita.</w:t>
      </w:r>
    </w:p>
    <w:p>
      <w:pPr>
        <w:spacing w:after="0" w:line="480" w:lineRule="auto"/>
        <w:jc w:val="both"/>
        <w:sectPr>
          <w:pgSz w:w="11910" w:h="16840"/>
          <w:pgMar w:header="0" w:footer="768" w:top="1580" w:bottom="960" w:left="1600" w:right="1140"/>
        </w:sectPr>
      </w:pPr>
    </w:p>
    <w:p>
      <w:pPr>
        <w:pStyle w:val="BodyText"/>
        <w:spacing w:line="480" w:lineRule="auto" w:before="103"/>
        <w:ind w:left="102" w:right="108" w:firstLine="707"/>
        <w:jc w:val="both"/>
      </w:pPr>
      <w:r>
        <w:rPr/>
        <w:t>Otro de los indicadores que presenta una gran diferencia entre las localidades del país es la circulación mercantil minorista. En este caso las provincias orientales tienen los valores más deprimidos, Santiago de Cuba es la provincia con el mínimo valor (1671.64 pesos menos que el valor más alto). Las provincias centrales están ubicadas en una posición favorable, luego de Ciudad de la Habana que se encuentra en el segundo lugar detrás de la Isla de la Juventud.</w:t>
      </w:r>
    </w:p>
    <w:p>
      <w:pPr>
        <w:pStyle w:val="BodyText"/>
        <w:spacing w:line="480" w:lineRule="auto" w:before="127"/>
        <w:ind w:left="102" w:right="111" w:firstLine="707"/>
        <w:jc w:val="both"/>
      </w:pPr>
      <w:r>
        <w:rPr/>
        <w:t>La tasa de escolarización de 6 a 14 años presenta en cambio muy poca dispersión entre</w:t>
      </w:r>
      <w:r>
        <w:rPr>
          <w:spacing w:val="-11"/>
        </w:rPr>
        <w:t> </w:t>
      </w:r>
      <w:r>
        <w:rPr/>
        <w:t>las</w:t>
      </w:r>
      <w:r>
        <w:rPr>
          <w:spacing w:val="-13"/>
        </w:rPr>
        <w:t> </w:t>
      </w:r>
      <w:r>
        <w:rPr/>
        <w:t>provincias</w:t>
      </w:r>
      <w:r>
        <w:rPr>
          <w:spacing w:val="-11"/>
        </w:rPr>
        <w:t> </w:t>
      </w:r>
      <w:r>
        <w:rPr/>
        <w:t>(de</w:t>
      </w:r>
      <w:r>
        <w:rPr>
          <w:spacing w:val="-11"/>
        </w:rPr>
        <w:t> </w:t>
      </w:r>
      <w:r>
        <w:rPr/>
        <w:t>95</w:t>
      </w:r>
      <w:r>
        <w:rPr>
          <w:spacing w:val="-11"/>
        </w:rPr>
        <w:t> </w:t>
      </w:r>
      <w:r>
        <w:rPr/>
        <w:t>a</w:t>
      </w:r>
      <w:r>
        <w:rPr>
          <w:spacing w:val="-11"/>
        </w:rPr>
        <w:t> </w:t>
      </w:r>
      <w:r>
        <w:rPr/>
        <w:t>98.7%),</w:t>
      </w:r>
      <w:r>
        <w:rPr>
          <w:spacing w:val="-10"/>
        </w:rPr>
        <w:t> </w:t>
      </w:r>
      <w:r>
        <w:rPr/>
        <w:t>lo</w:t>
      </w:r>
      <w:r>
        <w:rPr>
          <w:spacing w:val="-11"/>
        </w:rPr>
        <w:t> </w:t>
      </w:r>
      <w:r>
        <w:rPr/>
        <w:t>cual</w:t>
      </w:r>
      <w:r>
        <w:rPr>
          <w:spacing w:val="-12"/>
        </w:rPr>
        <w:t> </w:t>
      </w:r>
      <w:r>
        <w:rPr/>
        <w:t>es</w:t>
      </w:r>
      <w:r>
        <w:rPr>
          <w:spacing w:val="-12"/>
        </w:rPr>
        <w:t> </w:t>
      </w:r>
      <w:r>
        <w:rPr/>
        <w:t>resultado</w:t>
      </w:r>
      <w:r>
        <w:rPr>
          <w:spacing w:val="-11"/>
        </w:rPr>
        <w:t> </w:t>
      </w:r>
      <w:r>
        <w:rPr/>
        <w:t>del</w:t>
      </w:r>
      <w:r>
        <w:rPr>
          <w:spacing w:val="-12"/>
        </w:rPr>
        <w:t> </w:t>
      </w:r>
      <w:r>
        <w:rPr/>
        <w:t>programa</w:t>
      </w:r>
      <w:r>
        <w:rPr>
          <w:spacing w:val="-13"/>
        </w:rPr>
        <w:t> </w:t>
      </w:r>
      <w:r>
        <w:rPr/>
        <w:t>educacional</w:t>
      </w:r>
      <w:r>
        <w:rPr>
          <w:spacing w:val="-12"/>
        </w:rPr>
        <w:t> </w:t>
      </w:r>
      <w:r>
        <w:rPr/>
        <w:t>cubano basado en el principio de acceso gratuito a la educación, como derecho humano fundamental. Vuelven a ser las provincias orientales, no obstante, las que se concentran en las últimas posiciones. La escolarización en estos grupos de edades corresponde con las enseñanzas primaria y media básica, esta última particularmente presenta una dinámica compleja, pues está relacionada a la política de continuidad de estudios. No obstante,</w:t>
      </w:r>
      <w:r>
        <w:rPr>
          <w:spacing w:val="-6"/>
        </w:rPr>
        <w:t> </w:t>
      </w:r>
      <w:r>
        <w:rPr/>
        <w:t>es</w:t>
      </w:r>
      <w:r>
        <w:rPr>
          <w:spacing w:val="-8"/>
        </w:rPr>
        <w:t> </w:t>
      </w:r>
      <w:r>
        <w:rPr/>
        <w:t>algo</w:t>
      </w:r>
      <w:r>
        <w:rPr>
          <w:spacing w:val="-8"/>
        </w:rPr>
        <w:t> </w:t>
      </w:r>
      <w:r>
        <w:rPr/>
        <w:t>a</w:t>
      </w:r>
      <w:r>
        <w:rPr>
          <w:spacing w:val="-8"/>
        </w:rPr>
        <w:t> </w:t>
      </w:r>
      <w:r>
        <w:rPr/>
        <w:t>lo</w:t>
      </w:r>
      <w:r>
        <w:rPr>
          <w:spacing w:val="-8"/>
        </w:rPr>
        <w:t> </w:t>
      </w:r>
      <w:r>
        <w:rPr/>
        <w:t>que</w:t>
      </w:r>
      <w:r>
        <w:rPr>
          <w:spacing w:val="-5"/>
        </w:rPr>
        <w:t> </w:t>
      </w:r>
      <w:r>
        <w:rPr/>
        <w:t>se</w:t>
      </w:r>
      <w:r>
        <w:rPr>
          <w:spacing w:val="-8"/>
        </w:rPr>
        <w:t> </w:t>
      </w:r>
      <w:r>
        <w:rPr/>
        <w:t>le</w:t>
      </w:r>
      <w:r>
        <w:rPr>
          <w:spacing w:val="-6"/>
        </w:rPr>
        <w:t> </w:t>
      </w:r>
      <w:r>
        <w:rPr/>
        <w:t>presta</w:t>
      </w:r>
      <w:r>
        <w:rPr>
          <w:spacing w:val="-8"/>
        </w:rPr>
        <w:t> </w:t>
      </w:r>
      <w:r>
        <w:rPr/>
        <w:t>especial</w:t>
      </w:r>
      <w:r>
        <w:rPr>
          <w:spacing w:val="-9"/>
        </w:rPr>
        <w:t> </w:t>
      </w:r>
      <w:r>
        <w:rPr/>
        <w:t>atención</w:t>
      </w:r>
      <w:r>
        <w:rPr>
          <w:spacing w:val="-6"/>
        </w:rPr>
        <w:t> </w:t>
      </w:r>
      <w:r>
        <w:rPr/>
        <w:t>en</w:t>
      </w:r>
      <w:r>
        <w:rPr>
          <w:spacing w:val="-8"/>
        </w:rPr>
        <w:t> </w:t>
      </w:r>
      <w:r>
        <w:rPr/>
        <w:t>el</w:t>
      </w:r>
      <w:r>
        <w:rPr>
          <w:spacing w:val="-6"/>
        </w:rPr>
        <w:t> </w:t>
      </w:r>
      <w:r>
        <w:rPr/>
        <w:t>país,</w:t>
      </w:r>
      <w:r>
        <w:rPr>
          <w:spacing w:val="-4"/>
        </w:rPr>
        <w:t> </w:t>
      </w:r>
      <w:r>
        <w:rPr/>
        <w:t>tratando</w:t>
      </w:r>
      <w:r>
        <w:rPr>
          <w:spacing w:val="-5"/>
        </w:rPr>
        <w:t> </w:t>
      </w:r>
      <w:r>
        <w:rPr/>
        <w:t>de</w:t>
      </w:r>
      <w:r>
        <w:rPr>
          <w:spacing w:val="-10"/>
        </w:rPr>
        <w:t> </w:t>
      </w:r>
      <w:r>
        <w:rPr/>
        <w:t>que</w:t>
      </w:r>
      <w:r>
        <w:rPr>
          <w:spacing w:val="-8"/>
        </w:rPr>
        <w:t> </w:t>
      </w:r>
      <w:r>
        <w:rPr/>
        <w:t>la</w:t>
      </w:r>
      <w:r>
        <w:rPr>
          <w:spacing w:val="-10"/>
        </w:rPr>
        <w:t> </w:t>
      </w:r>
      <w:r>
        <w:rPr/>
        <w:t>gran mayoría de los estudiantes que terminan la enseñanza primaria continúen hacia los estudios</w:t>
      </w:r>
      <w:r>
        <w:rPr>
          <w:spacing w:val="-1"/>
        </w:rPr>
        <w:t> </w:t>
      </w:r>
      <w:r>
        <w:rPr/>
        <w:t>secundarios.</w:t>
      </w:r>
    </w:p>
    <w:p>
      <w:pPr>
        <w:pStyle w:val="BodyText"/>
        <w:spacing w:line="480" w:lineRule="auto" w:before="127"/>
        <w:ind w:left="102" w:right="113" w:firstLine="707"/>
        <w:jc w:val="both"/>
      </w:pPr>
      <w:r>
        <w:rPr/>
        <w:t>La esperanza de vida al nacer para ambos sexos se comporta también con poca dispersión, resultado de los logros en el sistema de salud de la población. Es en este indicador donde la región Oriental presenta el valor máximo, las provincias Las Tunas y Holguín ostentan los valores más altos (79 años). Se debe destacar como para este indicador los valores de las provincias occidentales oscilan entre 76 y 77 años, mientras que las localidades centrales llegan hasta los 78 años como esperanza de vida.</w:t>
      </w:r>
    </w:p>
    <w:p>
      <w:pPr>
        <w:pStyle w:val="BodyText"/>
        <w:spacing w:line="480" w:lineRule="auto" w:before="127"/>
        <w:ind w:left="102" w:right="113" w:firstLine="707"/>
        <w:jc w:val="both"/>
      </w:pPr>
      <w:r>
        <w:rPr/>
        <w:t>Respecto al porcentaje de la población con acceso al agua potable, las provincias con</w:t>
      </w:r>
      <w:r>
        <w:rPr>
          <w:spacing w:val="-8"/>
        </w:rPr>
        <w:t> </w:t>
      </w:r>
      <w:r>
        <w:rPr/>
        <w:t>100%</w:t>
      </w:r>
      <w:r>
        <w:rPr>
          <w:spacing w:val="-7"/>
        </w:rPr>
        <w:t> </w:t>
      </w:r>
      <w:r>
        <w:rPr/>
        <w:t>son:</w:t>
      </w:r>
      <w:r>
        <w:rPr>
          <w:spacing w:val="-7"/>
        </w:rPr>
        <w:t> </w:t>
      </w:r>
      <w:r>
        <w:rPr/>
        <w:t>Ciudad</w:t>
      </w:r>
      <w:r>
        <w:rPr>
          <w:spacing w:val="-8"/>
        </w:rPr>
        <w:t> </w:t>
      </w:r>
      <w:r>
        <w:rPr/>
        <w:t>de</w:t>
      </w:r>
      <w:r>
        <w:rPr>
          <w:spacing w:val="-8"/>
        </w:rPr>
        <w:t> </w:t>
      </w:r>
      <w:r>
        <w:rPr/>
        <w:t>la</w:t>
      </w:r>
      <w:r>
        <w:rPr>
          <w:spacing w:val="-8"/>
        </w:rPr>
        <w:t> </w:t>
      </w:r>
      <w:r>
        <w:rPr/>
        <w:t>Habana</w:t>
      </w:r>
      <w:r>
        <w:rPr>
          <w:spacing w:val="-8"/>
        </w:rPr>
        <w:t> </w:t>
      </w:r>
      <w:r>
        <w:rPr/>
        <w:t>y</w:t>
      </w:r>
      <w:r>
        <w:rPr>
          <w:spacing w:val="-7"/>
        </w:rPr>
        <w:t> </w:t>
      </w:r>
      <w:r>
        <w:rPr/>
        <w:t>Matanzas</w:t>
      </w:r>
      <w:r>
        <w:rPr>
          <w:spacing w:val="-5"/>
        </w:rPr>
        <w:t> </w:t>
      </w:r>
      <w:r>
        <w:rPr/>
        <w:t>por</w:t>
      </w:r>
      <w:r>
        <w:rPr>
          <w:spacing w:val="-7"/>
        </w:rPr>
        <w:t> </w:t>
      </w:r>
      <w:r>
        <w:rPr/>
        <w:t>la</w:t>
      </w:r>
      <w:r>
        <w:rPr>
          <w:spacing w:val="-8"/>
        </w:rPr>
        <w:t> </w:t>
      </w:r>
      <w:r>
        <w:rPr/>
        <w:t>región</w:t>
      </w:r>
      <w:r>
        <w:rPr>
          <w:spacing w:val="-8"/>
        </w:rPr>
        <w:t> </w:t>
      </w:r>
      <w:r>
        <w:rPr/>
        <w:t>Occidental</w:t>
      </w:r>
      <w:r>
        <w:rPr>
          <w:spacing w:val="-10"/>
        </w:rPr>
        <w:t> </w:t>
      </w:r>
      <w:r>
        <w:rPr/>
        <w:t>y</w:t>
      </w:r>
      <w:r>
        <w:rPr>
          <w:spacing w:val="-10"/>
        </w:rPr>
        <w:t> </w:t>
      </w:r>
      <w:r>
        <w:rPr/>
        <w:t>Cienfuegos</w:t>
      </w:r>
      <w:r>
        <w:rPr>
          <w:spacing w:val="-10"/>
        </w:rPr>
        <w:t> </w:t>
      </w:r>
      <w:r>
        <w:rPr/>
        <w:t>por el centro del país. A nivel nacional, el 96.4% de la población tiene acceso a este servicio, sin embargo las provincias: Santiago de Cuba (84%), Granma (88%), Las Tunas</w:t>
      </w:r>
      <w:r>
        <w:rPr>
          <w:spacing w:val="17"/>
        </w:rPr>
        <w:t> </w:t>
      </w:r>
      <w:r>
        <w:rPr/>
        <w:t>(94.4%),</w:t>
      </w:r>
    </w:p>
    <w:p>
      <w:pPr>
        <w:spacing w:after="0" w:line="480" w:lineRule="auto"/>
        <w:jc w:val="both"/>
        <w:sectPr>
          <w:pgSz w:w="11910" w:h="16840"/>
          <w:pgMar w:header="0" w:footer="768" w:top="1580" w:bottom="960" w:left="1600" w:right="1300"/>
        </w:sectPr>
      </w:pPr>
    </w:p>
    <w:p>
      <w:pPr>
        <w:pStyle w:val="BodyText"/>
        <w:spacing w:line="480" w:lineRule="auto" w:before="103"/>
        <w:ind w:left="102" w:right="114"/>
        <w:jc w:val="both"/>
      </w:pPr>
      <w:r>
        <w:rPr/>
        <w:t>Guantánamo</w:t>
      </w:r>
      <w:r>
        <w:rPr>
          <w:spacing w:val="-19"/>
        </w:rPr>
        <w:t> </w:t>
      </w:r>
      <w:r>
        <w:rPr/>
        <w:t>(94.8%)</w:t>
      </w:r>
      <w:r>
        <w:rPr>
          <w:spacing w:val="-15"/>
        </w:rPr>
        <w:t> </w:t>
      </w:r>
      <w:r>
        <w:rPr/>
        <w:t>y</w:t>
      </w:r>
      <w:r>
        <w:rPr>
          <w:spacing w:val="-18"/>
        </w:rPr>
        <w:t> </w:t>
      </w:r>
      <w:r>
        <w:rPr/>
        <w:t>Pinar</w:t>
      </w:r>
      <w:r>
        <w:rPr>
          <w:spacing w:val="-15"/>
        </w:rPr>
        <w:t> </w:t>
      </w:r>
      <w:r>
        <w:rPr/>
        <w:t>del</w:t>
      </w:r>
      <w:r>
        <w:rPr>
          <w:spacing w:val="-17"/>
        </w:rPr>
        <w:t> </w:t>
      </w:r>
      <w:r>
        <w:rPr>
          <w:spacing w:val="-2"/>
        </w:rPr>
        <w:t>Río</w:t>
      </w:r>
      <w:r>
        <w:rPr>
          <w:spacing w:val="-16"/>
        </w:rPr>
        <w:t> </w:t>
      </w:r>
      <w:r>
        <w:rPr/>
        <w:t>(95.6%)</w:t>
      </w:r>
      <w:r>
        <w:rPr>
          <w:spacing w:val="-17"/>
        </w:rPr>
        <w:t> </w:t>
      </w:r>
      <w:r>
        <w:rPr/>
        <w:t>presentan</w:t>
      </w:r>
      <w:r>
        <w:rPr>
          <w:spacing w:val="-16"/>
        </w:rPr>
        <w:t> </w:t>
      </w:r>
      <w:r>
        <w:rPr/>
        <w:t>porcentajes</w:t>
      </w:r>
      <w:r>
        <w:rPr>
          <w:spacing w:val="-19"/>
        </w:rPr>
        <w:t> </w:t>
      </w:r>
      <w:r>
        <w:rPr/>
        <w:t>por</w:t>
      </w:r>
      <w:r>
        <w:rPr>
          <w:spacing w:val="-17"/>
        </w:rPr>
        <w:t> </w:t>
      </w:r>
      <w:r>
        <w:rPr/>
        <w:t>debajo</w:t>
      </w:r>
      <w:r>
        <w:rPr>
          <w:spacing w:val="-16"/>
        </w:rPr>
        <w:t> </w:t>
      </w:r>
      <w:r>
        <w:rPr/>
        <w:t>de</w:t>
      </w:r>
      <w:r>
        <w:rPr>
          <w:spacing w:val="-19"/>
        </w:rPr>
        <w:t> </w:t>
      </w:r>
      <w:r>
        <w:rPr/>
        <w:t>la</w:t>
      </w:r>
      <w:r>
        <w:rPr>
          <w:spacing w:val="-18"/>
        </w:rPr>
        <w:t> </w:t>
      </w:r>
      <w:r>
        <w:rPr/>
        <w:t>media cubana. Oriente vuelve a estar en condiciones desfavorables y se repite el fenómeno de disparidad dentro de la región Occidental con Pinar del</w:t>
      </w:r>
      <w:r>
        <w:rPr>
          <w:spacing w:val="-15"/>
        </w:rPr>
        <w:t> </w:t>
      </w:r>
      <w:r>
        <w:rPr/>
        <w:t>Río.</w:t>
      </w:r>
    </w:p>
    <w:p>
      <w:pPr>
        <w:pStyle w:val="BodyText"/>
        <w:spacing w:line="480" w:lineRule="auto" w:before="127"/>
        <w:ind w:left="102" w:right="113" w:firstLine="707"/>
        <w:jc w:val="both"/>
      </w:pPr>
      <w:r>
        <w:rPr/>
        <w:t>Los valores máximo y mínimo en el indicador del consumo energético en el sector residencial, luego de estandarizar la magnitud en función del tamaño de las poblaciones, corresponden a Ciudad de la Habana y a Granma respectivamente. No existe una gran diferencia entre las provincias del país referente a este indicador, además que en los últimos</w:t>
      </w:r>
      <w:r>
        <w:rPr>
          <w:spacing w:val="-13"/>
        </w:rPr>
        <w:t> </w:t>
      </w:r>
      <w:r>
        <w:rPr/>
        <w:t>años</w:t>
      </w:r>
      <w:r>
        <w:rPr>
          <w:spacing w:val="-15"/>
        </w:rPr>
        <w:t> </w:t>
      </w:r>
      <w:r>
        <w:rPr/>
        <w:t>se</w:t>
      </w:r>
      <w:r>
        <w:rPr>
          <w:spacing w:val="-15"/>
        </w:rPr>
        <w:t> </w:t>
      </w:r>
      <w:r>
        <w:rPr/>
        <w:t>han</w:t>
      </w:r>
      <w:r>
        <w:rPr>
          <w:spacing w:val="-13"/>
        </w:rPr>
        <w:t> </w:t>
      </w:r>
      <w:r>
        <w:rPr/>
        <w:t>incrementado</w:t>
      </w:r>
      <w:r>
        <w:rPr>
          <w:spacing w:val="-15"/>
        </w:rPr>
        <w:t> </w:t>
      </w:r>
      <w:r>
        <w:rPr/>
        <w:t>las</w:t>
      </w:r>
      <w:r>
        <w:rPr>
          <w:spacing w:val="-15"/>
        </w:rPr>
        <w:t> </w:t>
      </w:r>
      <w:r>
        <w:rPr/>
        <w:t>inversiones</w:t>
      </w:r>
      <w:r>
        <w:rPr>
          <w:spacing w:val="-15"/>
        </w:rPr>
        <w:t> </w:t>
      </w:r>
      <w:r>
        <w:rPr/>
        <w:t>en</w:t>
      </w:r>
      <w:r>
        <w:rPr>
          <w:spacing w:val="-14"/>
        </w:rPr>
        <w:t> </w:t>
      </w:r>
      <w:r>
        <w:rPr/>
        <w:t>este</w:t>
      </w:r>
      <w:r>
        <w:rPr>
          <w:spacing w:val="-15"/>
        </w:rPr>
        <w:t> </w:t>
      </w:r>
      <w:r>
        <w:rPr/>
        <w:t>sector</w:t>
      </w:r>
      <w:r>
        <w:rPr>
          <w:spacing w:val="-14"/>
        </w:rPr>
        <w:t> </w:t>
      </w:r>
      <w:r>
        <w:rPr/>
        <w:t>en</w:t>
      </w:r>
      <w:r>
        <w:rPr>
          <w:spacing w:val="-15"/>
        </w:rPr>
        <w:t> </w:t>
      </w:r>
      <w:r>
        <w:rPr/>
        <w:t>la</w:t>
      </w:r>
      <w:r>
        <w:rPr>
          <w:spacing w:val="-13"/>
        </w:rPr>
        <w:t> </w:t>
      </w:r>
      <w:r>
        <w:rPr/>
        <w:t>búsqueda</w:t>
      </w:r>
      <w:r>
        <w:rPr>
          <w:spacing w:val="-13"/>
        </w:rPr>
        <w:t> </w:t>
      </w:r>
      <w:r>
        <w:rPr/>
        <w:t>de</w:t>
      </w:r>
      <w:r>
        <w:rPr>
          <w:spacing w:val="-18"/>
        </w:rPr>
        <w:t> </w:t>
      </w:r>
      <w:r>
        <w:rPr/>
        <w:t>fuentes alternativas en la generación de energía y así posibilitar que el servicio llegue a todas las localidades.</w:t>
      </w:r>
    </w:p>
    <w:p>
      <w:pPr>
        <w:pStyle w:val="BodyText"/>
        <w:spacing w:line="480" w:lineRule="auto" w:before="127"/>
        <w:ind w:left="102" w:right="114" w:firstLine="707"/>
        <w:jc w:val="both"/>
      </w:pPr>
      <w:r>
        <w:rPr/>
        <w:t>La escasez de viviendas en el fondo habitacional cubano es uno de los problemas más acuciantes de el país. Esta situación se ha visto empeorada en los últimos años por el paso de varios huracanes por el territorio nacional. El porcentaje de los hogares nucleares refleja precisamente los problemas habitacionales que presenta cada provincia. Los valores extremos en este indicador corresponden a Holguín (72.2%) y Ciudad de la Habana (62.2%), no habiendo una alta disparidad entre los territorios. La característica observada es que en todas las localidades se reproduce en mayor o menor medida el patrón nacional, donde la presencia de hogares con una estructura extensa o compleja tiene un peso considerable.</w:t>
      </w:r>
    </w:p>
    <w:p>
      <w:pPr>
        <w:pStyle w:val="BodyText"/>
        <w:spacing w:line="480" w:lineRule="auto" w:before="127"/>
        <w:ind w:left="102" w:right="113" w:firstLine="707"/>
        <w:jc w:val="both"/>
      </w:pPr>
      <w:r>
        <w:rPr/>
        <w:t>El</w:t>
      </w:r>
      <w:r>
        <w:rPr>
          <w:spacing w:val="-16"/>
        </w:rPr>
        <w:t> </w:t>
      </w:r>
      <w:r>
        <w:rPr/>
        <w:t>porcentaje</w:t>
      </w:r>
      <w:r>
        <w:rPr>
          <w:spacing w:val="-18"/>
        </w:rPr>
        <w:t> </w:t>
      </w:r>
      <w:r>
        <w:rPr/>
        <w:t>de</w:t>
      </w:r>
      <w:r>
        <w:rPr>
          <w:spacing w:val="-15"/>
        </w:rPr>
        <w:t> </w:t>
      </w:r>
      <w:r>
        <w:rPr/>
        <w:t>votantes</w:t>
      </w:r>
      <w:r>
        <w:rPr>
          <w:spacing w:val="-17"/>
        </w:rPr>
        <w:t> </w:t>
      </w:r>
      <w:r>
        <w:rPr/>
        <w:t>en</w:t>
      </w:r>
      <w:r>
        <w:rPr>
          <w:spacing w:val="-15"/>
        </w:rPr>
        <w:t> </w:t>
      </w:r>
      <w:r>
        <w:rPr/>
        <w:t>las</w:t>
      </w:r>
      <w:r>
        <w:rPr>
          <w:spacing w:val="-18"/>
        </w:rPr>
        <w:t> </w:t>
      </w:r>
      <w:r>
        <w:rPr/>
        <w:t>elecciones</w:t>
      </w:r>
      <w:r>
        <w:rPr>
          <w:spacing w:val="-15"/>
        </w:rPr>
        <w:t> </w:t>
      </w:r>
      <w:r>
        <w:rPr/>
        <w:t>a</w:t>
      </w:r>
      <w:r>
        <w:rPr>
          <w:spacing w:val="-18"/>
        </w:rPr>
        <w:t> </w:t>
      </w:r>
      <w:r>
        <w:rPr/>
        <w:t>los</w:t>
      </w:r>
      <w:r>
        <w:rPr>
          <w:spacing w:val="-15"/>
        </w:rPr>
        <w:t> </w:t>
      </w:r>
      <w:r>
        <w:rPr/>
        <w:t>diputados</w:t>
      </w:r>
      <w:r>
        <w:rPr>
          <w:spacing w:val="-15"/>
        </w:rPr>
        <w:t> </w:t>
      </w:r>
      <w:r>
        <w:rPr/>
        <w:t>de</w:t>
      </w:r>
      <w:r>
        <w:rPr>
          <w:spacing w:val="-14"/>
        </w:rPr>
        <w:t> </w:t>
      </w:r>
      <w:r>
        <w:rPr/>
        <w:t>la</w:t>
      </w:r>
      <w:r>
        <w:rPr>
          <w:spacing w:val="-15"/>
        </w:rPr>
        <w:t> </w:t>
      </w:r>
      <w:r>
        <w:rPr/>
        <w:t>Asamblea</w:t>
      </w:r>
      <w:r>
        <w:rPr>
          <w:spacing w:val="-18"/>
        </w:rPr>
        <w:t> </w:t>
      </w:r>
      <w:r>
        <w:rPr/>
        <w:t>Nacional durante el 2007-2008, osciló entre el 99.8% en La Habana y el 95% en Santiago de Cuba y Ciudad de la Habana. A pesar de las diferencias territoriales, los niveles de participación de la población se encuentran en todos los caso bastante</w:t>
      </w:r>
      <w:r>
        <w:rPr>
          <w:spacing w:val="-13"/>
        </w:rPr>
        <w:t> </w:t>
      </w:r>
      <w:r>
        <w:rPr/>
        <w:t>altos.</w:t>
      </w:r>
    </w:p>
    <w:p>
      <w:pPr>
        <w:pStyle w:val="BodyText"/>
        <w:spacing w:line="477" w:lineRule="auto" w:before="127"/>
        <w:ind w:left="102" w:right="112" w:firstLine="707"/>
        <w:jc w:val="both"/>
      </w:pPr>
      <w:r>
        <w:rPr/>
        <w:t>Finalmente el impacto ambiental es otra de las dimensiones que muestra una gran disparidad entre los territorios. Ciudad de la Habana es la provincia que más contamina tomando en consideración su extensión territorial (26.9 ton DBO/km</w:t>
      </w:r>
      <w:r>
        <w:rPr>
          <w:position w:val="8"/>
          <w:sz w:val="14"/>
        </w:rPr>
        <w:t>2</w:t>
      </w:r>
      <w:r>
        <w:rPr/>
        <w:t>), casi 50 veces  más</w:t>
      </w:r>
    </w:p>
    <w:p>
      <w:pPr>
        <w:spacing w:after="0" w:line="477" w:lineRule="auto"/>
        <w:jc w:val="both"/>
        <w:sectPr>
          <w:pgSz w:w="11910" w:h="16840"/>
          <w:pgMar w:header="0" w:footer="768" w:top="1580" w:bottom="960" w:left="1600" w:right="1300"/>
        </w:sectPr>
      </w:pPr>
    </w:p>
    <w:p>
      <w:pPr>
        <w:pStyle w:val="BodyText"/>
        <w:spacing w:line="477" w:lineRule="auto" w:before="103"/>
        <w:ind w:left="102" w:right="270"/>
        <w:jc w:val="both"/>
      </w:pPr>
      <w:r>
        <w:rPr/>
        <w:t>que Camagüey, la provincia con menor contaminación por kilómetros cuadrados. Ciudad de</w:t>
      </w:r>
      <w:r>
        <w:rPr>
          <w:spacing w:val="-8"/>
        </w:rPr>
        <w:t> </w:t>
      </w:r>
      <w:r>
        <w:rPr/>
        <w:t>la</w:t>
      </w:r>
      <w:r>
        <w:rPr>
          <w:spacing w:val="-8"/>
        </w:rPr>
        <w:t> </w:t>
      </w:r>
      <w:r>
        <w:rPr/>
        <w:t>Habana</w:t>
      </w:r>
      <w:r>
        <w:rPr>
          <w:spacing w:val="-8"/>
        </w:rPr>
        <w:t> </w:t>
      </w:r>
      <w:r>
        <w:rPr/>
        <w:t>es</w:t>
      </w:r>
      <w:r>
        <w:rPr>
          <w:spacing w:val="-8"/>
        </w:rPr>
        <w:t> </w:t>
      </w:r>
      <w:r>
        <w:rPr/>
        <w:t>la</w:t>
      </w:r>
      <w:r>
        <w:rPr>
          <w:spacing w:val="-8"/>
        </w:rPr>
        <w:t> </w:t>
      </w:r>
      <w:r>
        <w:rPr/>
        <w:t>provincia</w:t>
      </w:r>
      <w:r>
        <w:rPr>
          <w:spacing w:val="-8"/>
        </w:rPr>
        <w:t> </w:t>
      </w:r>
      <w:r>
        <w:rPr/>
        <w:t>que</w:t>
      </w:r>
      <w:r>
        <w:rPr>
          <w:spacing w:val="-10"/>
        </w:rPr>
        <w:t> </w:t>
      </w:r>
      <w:r>
        <w:rPr/>
        <w:t>más</w:t>
      </w:r>
      <w:r>
        <w:rPr>
          <w:spacing w:val="-7"/>
        </w:rPr>
        <w:t> </w:t>
      </w:r>
      <w:r>
        <w:rPr/>
        <w:t>se</w:t>
      </w:r>
      <w:r>
        <w:rPr>
          <w:spacing w:val="-10"/>
        </w:rPr>
        <w:t> </w:t>
      </w:r>
      <w:r>
        <w:rPr/>
        <w:t>aleja</w:t>
      </w:r>
      <w:r>
        <w:rPr>
          <w:spacing w:val="-8"/>
        </w:rPr>
        <w:t> </w:t>
      </w:r>
      <w:r>
        <w:rPr/>
        <w:t>del</w:t>
      </w:r>
      <w:r>
        <w:rPr>
          <w:spacing w:val="-11"/>
        </w:rPr>
        <w:t> </w:t>
      </w:r>
      <w:r>
        <w:rPr/>
        <w:t>nivel</w:t>
      </w:r>
      <w:r>
        <w:rPr>
          <w:spacing w:val="-9"/>
        </w:rPr>
        <w:t> </w:t>
      </w:r>
      <w:r>
        <w:rPr/>
        <w:t>nacional</w:t>
      </w:r>
      <w:r>
        <w:rPr>
          <w:spacing w:val="-9"/>
        </w:rPr>
        <w:t> </w:t>
      </w:r>
      <w:r>
        <w:rPr/>
        <w:t>estándar,</w:t>
      </w:r>
      <w:r>
        <w:rPr>
          <w:spacing w:val="-9"/>
        </w:rPr>
        <w:t> </w:t>
      </w:r>
      <w:r>
        <w:rPr/>
        <w:t>pues</w:t>
      </w:r>
      <w:r>
        <w:rPr>
          <w:spacing w:val="-8"/>
        </w:rPr>
        <w:t> </w:t>
      </w:r>
      <w:r>
        <w:rPr/>
        <w:t>el</w:t>
      </w:r>
      <w:r>
        <w:rPr>
          <w:spacing w:val="-9"/>
        </w:rPr>
        <w:t> </w:t>
      </w:r>
      <w:r>
        <w:rPr/>
        <w:t>resto</w:t>
      </w:r>
      <w:r>
        <w:rPr>
          <w:spacing w:val="-8"/>
        </w:rPr>
        <w:t> </w:t>
      </w:r>
      <w:r>
        <w:rPr/>
        <w:t>del territorio nacional se mueve entre valores de 0.57 a 2.8 ton DBO/km</w:t>
      </w:r>
      <w:r>
        <w:rPr>
          <w:position w:val="8"/>
          <w:sz w:val="14"/>
        </w:rPr>
        <w:t>2</w:t>
      </w:r>
      <w:r>
        <w:rPr/>
        <w:t>. Es por esto que a nivel regional, el occidente del país presenta tan deprimido este indicador en comparación con las otras dos</w:t>
      </w:r>
      <w:r>
        <w:rPr>
          <w:spacing w:val="-10"/>
        </w:rPr>
        <w:t> </w:t>
      </w:r>
      <w:r>
        <w:rPr/>
        <w:t>regiones.</w:t>
      </w:r>
    </w:p>
    <w:p>
      <w:pPr>
        <w:pStyle w:val="BodyText"/>
        <w:spacing w:line="477" w:lineRule="auto" w:before="130"/>
        <w:ind w:left="102" w:right="112" w:firstLine="707"/>
        <w:jc w:val="both"/>
      </w:pPr>
      <w:r>
        <w:rPr/>
        <w:t>Con el objetivo de analizar la evolución de las regiones cubanas y no restringir el estudio a un solo año, se utilizó el ITDHE utilizado en la </w:t>
      </w:r>
      <w:r>
        <w:rPr>
          <w:i/>
        </w:rPr>
        <w:t>Investigación sobre desarrollo </w:t>
      </w:r>
      <w:r>
        <w:rPr>
          <w:i/>
        </w:rPr>
        <w:t>humano y equidad en Cuba 1999</w:t>
      </w:r>
      <w:r>
        <w:rPr/>
        <w:t>, incorporándole la dimensión ambiental</w:t>
      </w:r>
      <w:r>
        <w:rPr>
          <w:position w:val="8"/>
          <w:sz w:val="14"/>
        </w:rPr>
        <w:t>7 </w:t>
      </w:r>
      <w:r>
        <w:rPr/>
        <w:t>y recalculando cada indicador de forma agregada. De esta manera, se pudo contar con un referente aproximativo</w:t>
      </w:r>
      <w:r>
        <w:rPr>
          <w:position w:val="8"/>
          <w:sz w:val="14"/>
        </w:rPr>
        <w:t>8  </w:t>
      </w:r>
      <w:r>
        <w:rPr/>
        <w:t>para estudiar las desigualdades territoriales en Cuba.</w:t>
      </w:r>
    </w:p>
    <w:p>
      <w:pPr>
        <w:pStyle w:val="BodyText"/>
        <w:spacing w:line="480" w:lineRule="auto" w:before="122"/>
        <w:ind w:left="102" w:right="111" w:firstLine="707"/>
        <w:jc w:val="both"/>
      </w:pPr>
      <w:r>
        <w:rPr/>
        <w:t>En</w:t>
      </w:r>
      <w:r>
        <w:rPr>
          <w:spacing w:val="-10"/>
        </w:rPr>
        <w:t> </w:t>
      </w:r>
      <w:r>
        <w:rPr/>
        <w:t>la</w:t>
      </w:r>
      <w:r>
        <w:rPr>
          <w:spacing w:val="-12"/>
        </w:rPr>
        <w:t> </w:t>
      </w:r>
      <w:r>
        <w:rPr/>
        <w:t>figura</w:t>
      </w:r>
      <w:r>
        <w:rPr>
          <w:spacing w:val="-12"/>
        </w:rPr>
        <w:t> </w:t>
      </w:r>
      <w:r>
        <w:rPr/>
        <w:t>5</w:t>
      </w:r>
      <w:r>
        <w:rPr>
          <w:spacing w:val="-12"/>
        </w:rPr>
        <w:t> </w:t>
      </w:r>
      <w:r>
        <w:rPr/>
        <w:t>se</w:t>
      </w:r>
      <w:r>
        <w:rPr>
          <w:spacing w:val="-12"/>
        </w:rPr>
        <w:t> </w:t>
      </w:r>
      <w:r>
        <w:rPr/>
        <w:t>muestra</w:t>
      </w:r>
      <w:r>
        <w:rPr>
          <w:spacing w:val="-12"/>
        </w:rPr>
        <w:t> </w:t>
      </w:r>
      <w:r>
        <w:rPr/>
        <w:t>como</w:t>
      </w:r>
      <w:r>
        <w:rPr>
          <w:spacing w:val="-10"/>
        </w:rPr>
        <w:t> </w:t>
      </w:r>
      <w:r>
        <w:rPr/>
        <w:t>la</w:t>
      </w:r>
      <w:r>
        <w:rPr>
          <w:spacing w:val="-13"/>
        </w:rPr>
        <w:t> </w:t>
      </w:r>
      <w:r>
        <w:rPr/>
        <w:t>región</w:t>
      </w:r>
      <w:r>
        <w:rPr>
          <w:spacing w:val="-13"/>
        </w:rPr>
        <w:t> </w:t>
      </w:r>
      <w:r>
        <w:rPr/>
        <w:t>Oriental</w:t>
      </w:r>
      <w:r>
        <w:rPr>
          <w:spacing w:val="-11"/>
        </w:rPr>
        <w:t> </w:t>
      </w:r>
      <w:r>
        <w:rPr/>
        <w:t>tanto</w:t>
      </w:r>
      <w:r>
        <w:rPr>
          <w:spacing w:val="-10"/>
        </w:rPr>
        <w:t> </w:t>
      </w:r>
      <w:r>
        <w:rPr/>
        <w:t>en</w:t>
      </w:r>
      <w:r>
        <w:rPr>
          <w:spacing w:val="-13"/>
        </w:rPr>
        <w:t> </w:t>
      </w:r>
      <w:r>
        <w:rPr/>
        <w:t>el</w:t>
      </w:r>
      <w:r>
        <w:rPr>
          <w:spacing w:val="-11"/>
        </w:rPr>
        <w:t> </w:t>
      </w:r>
      <w:r>
        <w:rPr/>
        <w:t>índice</w:t>
      </w:r>
      <w:r>
        <w:rPr>
          <w:spacing w:val="-10"/>
        </w:rPr>
        <w:t> </w:t>
      </w:r>
      <w:r>
        <w:rPr/>
        <w:t>para</w:t>
      </w:r>
      <w:r>
        <w:rPr>
          <w:spacing w:val="-10"/>
        </w:rPr>
        <w:t> </w:t>
      </w:r>
      <w:r>
        <w:rPr/>
        <w:t>el</w:t>
      </w:r>
      <w:r>
        <w:rPr>
          <w:spacing w:val="-14"/>
        </w:rPr>
        <w:t> </w:t>
      </w:r>
      <w:r>
        <w:rPr/>
        <w:t>2000</w:t>
      </w:r>
      <w:r>
        <w:rPr>
          <w:spacing w:val="-10"/>
        </w:rPr>
        <w:t> </w:t>
      </w:r>
      <w:r>
        <w:rPr/>
        <w:t>como en el nuestro para el 2008, mantiene su situación desfavorable respecto al resto de las regiones. Sin embargo, se aprecia una disminución leve en las desigualdades regionales; las regiones Occidental y Central se han casi equiparado, mientras la región Oriental presenta un aumento del 0.05% en comparación con el año</w:t>
      </w:r>
      <w:r>
        <w:rPr>
          <w:spacing w:val="-10"/>
        </w:rPr>
        <w:t> </w:t>
      </w:r>
      <w:r>
        <w:rPr/>
        <w:t>2000.</w:t>
      </w:r>
    </w:p>
    <w:p>
      <w:pPr>
        <w:pStyle w:val="Heading2"/>
        <w:spacing w:before="125"/>
        <w:ind w:left="4132" w:right="4141"/>
        <w:jc w:val="center"/>
      </w:pPr>
      <w:r>
        <w:rPr/>
        <w:t>Figura 5</w:t>
      </w:r>
    </w:p>
    <w:p>
      <w:pPr>
        <w:pStyle w:val="BodyText"/>
        <w:rPr>
          <w:b/>
          <w:sz w:val="20"/>
        </w:rPr>
      </w:pPr>
    </w:p>
    <w:p>
      <w:pPr>
        <w:pStyle w:val="BodyText"/>
        <w:spacing w:before="1"/>
        <w:rPr>
          <w:b/>
          <w:sz w:val="13"/>
        </w:rPr>
      </w:pPr>
      <w:r>
        <w:rPr/>
        <w:pict>
          <v:group style="position:absolute;margin-left:123.102303pt;margin-top:9.485277pt;width:370.85pt;height:215.8pt;mso-position-horizontal-relative:page;mso-position-vertical-relative:paragraph;z-index:2464;mso-wrap-distance-left:0;mso-wrap-distance-right:0" coordorigin="2462,190" coordsize="7417,4316">
            <v:rect style="position:absolute;left:2467;top:195;width:7407;height:4306" filled="false" stroked="true" strokeweight=".479224pt" strokecolor="#000000"/>
            <v:shape style="position:absolute;left:3368;top:541;width:259;height:3364" coordorigin="3368,541" coordsize="259,3364" path="m3627,541l3368,733,3368,3905,3627,3712,3627,541xe" filled="true" fillcolor="#808080" stroked="false">
              <v:path arrowok="t"/>
              <v:fill type="solid"/>
            </v:shape>
            <v:shape style="position:absolute;left:3368;top:3712;width:3890;height:193" coordorigin="3368,3712" coordsize="3890,193" path="m7258,3712l3627,3712,3368,3905,6999,3905,7258,3712xe" filled="true" fillcolor="#ffffff" stroked="false">
              <v:path arrowok="t"/>
              <v:fill type="solid"/>
            </v:shape>
            <v:shape style="position:absolute;left:3373;top:546;width:259;height:3364" coordorigin="3373,546" coordsize="259,3364" path="m3631,546l3373,738,3373,3909,3631,3717,3631,546xe" filled="false" stroked="true" strokeweight=".478469pt" strokecolor="#000000">
              <v:path arrowok="t"/>
            </v:shape>
            <v:shape style="position:absolute;left:3373;top:3717;width:3890;height:193" coordorigin="3373,3717" coordsize="3890,193" path="m3373,3909l7004,3909,7263,3717,3631,3717,3373,3909e" filled="false" stroked="true" strokeweight=".479479pt" strokecolor="#ffffff">
              <v:path arrowok="t"/>
            </v:shape>
            <v:shape style="position:absolute;left:3448;top:3239;width:3531;height:77" type="#_x0000_t75" stroked="false">
              <v:imagedata r:id="rId47" o:title=""/>
            </v:shape>
            <v:shape style="position:absolute;left:3449;top:3246;width:3536;height:78" coordorigin="3449,3246" coordsize="3536,78" path="m3449,3323l6879,3323,6985,3246,3555,3246,3449,3323xe" filled="false" stroked="true" strokeweight=".479481pt" strokecolor="#000000">
              <v:path arrowok="t"/>
            </v:shape>
            <v:shape style="position:absolute;left:3448;top:3316;width:3426;height:297" type="#_x0000_t75" stroked="false">
              <v:imagedata r:id="rId48" o:title=""/>
            </v:shape>
            <v:rect style="position:absolute;left:3449;top:3323;width:3430;height:298" filled="false" stroked="true" strokeweight=".479474pt" strokecolor="#000000"/>
            <v:shape style="position:absolute;left:6874;top:3239;width:105;height:374" type="#_x0000_t75" stroked="false">
              <v:imagedata r:id="rId49" o:title=""/>
            </v:shape>
            <v:shape style="position:absolute;left:6879;top:3246;width:106;height:375" coordorigin="6879,3246" coordsize="106,375" path="m6985,3544l6879,3621,6879,3323,6985,3246,6985,3544xe" filled="false" stroked="true" strokeweight=".478537pt" strokecolor="#000000">
              <v:path arrowok="t"/>
            </v:shape>
            <v:shape style="position:absolute;left:3448;top:2933;width:3129;height:86" type="#_x0000_t75" stroked="false">
              <v:imagedata r:id="rId50" o:title=""/>
            </v:shape>
            <v:shape style="position:absolute;left:3449;top:2939;width:3134;height:87" coordorigin="3449,2939" coordsize="3134,87" path="m3449,3025l6477,3025,6582,2939,3555,2939,3449,3025xe" filled="false" stroked="true" strokeweight=".479481pt" strokecolor="#000000">
              <v:path arrowok="t"/>
            </v:shape>
            <v:shape style="position:absolute;left:3448;top:3019;width:3024;height:297" type="#_x0000_t75" stroked="false">
              <v:imagedata r:id="rId51" o:title=""/>
            </v:shape>
            <v:rect style="position:absolute;left:3449;top:3025;width:3028;height:298" filled="false" stroked="true" strokeweight=".479472pt" strokecolor="#000000"/>
            <v:shape style="position:absolute;left:6472;top:2933;width:105;height:384" type="#_x0000_t75" stroked="false">
              <v:imagedata r:id="rId52" o:title=""/>
            </v:shape>
            <v:shape style="position:absolute;left:6477;top:2939;width:106;height:385" coordorigin="6477,2939" coordsize="106,385" path="m6582,3246l6477,3323,6477,3025,6582,2939,6582,3246xe" filled="false" stroked="true" strokeweight=".478534pt" strokecolor="#000000">
              <v:path arrowok="t"/>
            </v:shape>
            <v:shape style="position:absolute;left:3448;top:2185;width:2545;height:77" type="#_x0000_t75" stroked="false">
              <v:imagedata r:id="rId53" o:title=""/>
            </v:shape>
            <v:shape style="position:absolute;left:3449;top:2189;width:2549;height:77" coordorigin="3449,2189" coordsize="2549,77" path="m3449,2266l5893,2266,5998,2189,3555,2189,3449,2266xe" filled="false" stroked="true" strokeweight=".479481pt" strokecolor="#000000">
              <v:path arrowok="t"/>
            </v:shape>
            <v:shape style="position:absolute;left:3448;top:2261;width:2440;height:297" type="#_x0000_t75" stroked="false">
              <v:imagedata r:id="rId54" o:title=""/>
            </v:shape>
            <v:rect style="position:absolute;left:3449;top:2266;width:2443;height:298" filled="false" stroked="true" strokeweight=".479467pt" strokecolor="#000000"/>
            <v:shape style="position:absolute;left:5888;top:2185;width:105;height:374" type="#_x0000_t75" stroked="false">
              <v:imagedata r:id="rId55" o:title=""/>
            </v:shape>
            <v:shape style="position:absolute;left:5893;top:2189;width:106;height:375" coordorigin="5893,2189" coordsize="106,375" path="m5998,2487l5893,2564,5893,2266,5998,2189,5998,2487xe" filled="false" stroked="true" strokeweight=".478537pt" strokecolor="#000000">
              <v:path arrowok="t"/>
            </v:shape>
            <v:shape style="position:absolute;left:3448;top:1887;width:2842;height:77" type="#_x0000_t75" stroked="false">
              <v:imagedata r:id="rId56" o:title=""/>
            </v:shape>
            <v:shape style="position:absolute;left:3449;top:1891;width:2846;height:77" coordorigin="3449,1891" coordsize="2846,77" path="m3449,1968l6189,1968,6295,1891,3555,1891,3449,1968xe" filled="false" stroked="true" strokeweight=".479481pt" strokecolor="#000000">
              <v:path arrowok="t"/>
            </v:shape>
            <v:shape style="position:absolute;left:3448;top:1964;width:2737;height:297" type="#_x0000_t75" stroked="false">
              <v:imagedata r:id="rId57" o:title=""/>
            </v:shape>
            <v:rect style="position:absolute;left:3449;top:1968;width:2740;height:298" filled="false" stroked="true" strokeweight=".47947pt" strokecolor="#000000"/>
            <v:shape style="position:absolute;left:6185;top:1887;width:105;height:374" type="#_x0000_t75" stroked="false">
              <v:imagedata r:id="rId58" o:title=""/>
            </v:shape>
            <v:shape style="position:absolute;left:6189;top:1891;width:106;height:375" coordorigin="6189,1891" coordsize="106,375" path="m6295,2189l6189,2266,6189,1968,6295,1891,6295,2189xe" filled="false" stroked="true" strokeweight=".478537pt" strokecolor="#000000">
              <v:path arrowok="t"/>
            </v:shape>
            <v:shape style="position:absolute;left:3448;top:1130;width:1617;height:77" type="#_x0000_t75" stroked="false">
              <v:imagedata r:id="rId59" o:title=""/>
            </v:shape>
            <v:shape style="position:absolute;left:3449;top:1132;width:1620;height:77" coordorigin="3449,1132" coordsize="1620,77" path="m3449,1209l4963,1209,5069,1132,3555,1132,3449,1209xe" filled="false" stroked="true" strokeweight=".479479pt" strokecolor="#000000">
              <v:path arrowok="t"/>
            </v:shape>
            <v:shape style="position:absolute;left:3448;top:1206;width:1512;height:307" type="#_x0000_t75" stroked="false">
              <v:imagedata r:id="rId60" o:title=""/>
            </v:shape>
            <v:rect style="position:absolute;left:3449;top:1209;width:1514;height:308" filled="false" stroked="true" strokeweight=".479441pt" strokecolor="#000000"/>
            <v:shape style="position:absolute;left:4960;top:1130;width:105;height:384" type="#_x0000_t75" stroked="false">
              <v:imagedata r:id="rId61" o:title=""/>
            </v:shape>
            <v:shape style="position:absolute;left:4963;top:1132;width:106;height:385" coordorigin="4963,1132" coordsize="106,385" path="m5069,1430l4963,1516,4963,1209,5069,1132,5069,1430xe" filled="false" stroked="true" strokeweight=".478534pt" strokecolor="#000000">
              <v:path arrowok="t"/>
            </v:shape>
            <v:shape style="position:absolute;left:3448;top:832;width:1809;height:77" type="#_x0000_t75" stroked="false">
              <v:imagedata r:id="rId62" o:title=""/>
            </v:shape>
            <v:shape style="position:absolute;left:3449;top:834;width:1811;height:77" coordorigin="3449,834" coordsize="1811,77" path="m3449,911l5164,911,5260,834,3555,834,3449,911xe" filled="false" stroked="true" strokeweight=".47948pt" strokecolor="#000000">
              <v:path arrowok="t"/>
            </v:shape>
            <v:shape style="position:absolute;left:3448;top:909;width:1713;height:297" type="#_x0000_t75" stroked="false">
              <v:imagedata r:id="rId63" o:title=""/>
            </v:shape>
            <v:rect style="position:absolute;left:3449;top:911;width:1715;height:298" filled="false" stroked="true" strokeweight=".479452pt" strokecolor="#000000"/>
            <v:shape style="position:absolute;left:5161;top:832;width:96;height:374" type="#_x0000_t75" stroked="false">
              <v:imagedata r:id="rId64" o:title=""/>
            </v:shape>
            <v:shape style="position:absolute;left:5164;top:834;width:96;height:375" coordorigin="5164,834" coordsize="96,375" path="m5260,1132l5164,1209,5164,911,5260,834,5260,1132xe" filled="false" stroked="true" strokeweight=".478525pt" strokecolor="#000000">
              <v:path arrowok="t"/>
            </v:shape>
            <v:line style="position:absolute" from="3373,3909" to="6994,3909" stroked="true" strokeweight=".479482pt" strokecolor="#000000"/>
            <v:line style="position:absolute" from="3373,3909" to="3373,3957" stroked="true" strokeweight=".478463pt" strokecolor="#000000"/>
            <v:line style="position:absolute" from="4283,3909" to="4283,3957" stroked="true" strokeweight=".478463pt" strokecolor="#000000"/>
            <v:line style="position:absolute" from="5193,3909" to="5193,3957" stroked="true" strokeweight=".478463pt" strokecolor="#000000"/>
            <v:line style="position:absolute" from="6094,3909" to="6094,3957" stroked="true" strokeweight=".478463pt" strokecolor="#000000"/>
            <v:line style="position:absolute" from="7004,3909" to="7004,3957" stroked="true" strokeweight=".478463pt" strokecolor="#000000"/>
            <v:line style="position:absolute" from="3373,3909" to="3373,747" stroked="true" strokeweight=".478463pt" strokecolor="#000000"/>
            <v:line style="position:absolute" from="3373,3909" to="3325,3909" stroked="true" strokeweight=".479482pt" strokecolor="#000000"/>
            <v:line style="position:absolute" from="3373,2852" to="3325,2852" stroked="true" strokeweight=".479482pt" strokecolor="#000000"/>
            <v:line style="position:absolute" from="3373,1795" to="3325,1795" stroked="true" strokeweight=".479482pt" strokecolor="#000000"/>
            <v:line style="position:absolute" from="3373,738" to="3325,738" stroked="true" strokeweight=".479482pt" strokecolor="#000000"/>
            <v:rect style="position:absolute;left:7373;top:1934;width:2462;height:827" filled="false" stroked="true" strokeweight=".479378pt" strokecolor="#000000"/>
            <v:shape style="position:absolute;left:7429;top:2022;width:86;height:86" type="#_x0000_t75" stroked="false">
              <v:imagedata r:id="rId65" o:title=""/>
            </v:shape>
            <v:rect style="position:absolute;left:7430;top:2021;width:86;height:86" filled="false" stroked="true" strokeweight=".478971pt" strokecolor="#000000"/>
            <v:shape style="position:absolute;left:7429;top:2434;width:86;height:86" type="#_x0000_t75" stroked="false">
              <v:imagedata r:id="rId66" o:title=""/>
            </v:shape>
            <v:rect style="position:absolute;left:7430;top:2434;width:86;height:86" filled="false" stroked="true" strokeweight=".478971pt" strokecolor="#000000"/>
            <v:rect style="position:absolute;left:2467;top:195;width:7407;height:4306" filled="false" stroked="true" strokeweight=".479224pt" strokecolor="#000000"/>
            <v:shape style="position:absolute;left:3449;top:911;width:1716;height:298" type="#_x0000_t202" filled="false" stroked="false">
              <v:textbox inset="0,0,0,0">
                <w:txbxContent>
                  <w:p>
                    <w:pPr>
                      <w:spacing w:before="29"/>
                      <w:ind w:left="0" w:right="102" w:firstLine="0"/>
                      <w:jc w:val="right"/>
                      <w:rPr>
                        <w:sz w:val="20"/>
                      </w:rPr>
                    </w:pPr>
                    <w:r>
                      <w:rPr>
                        <w:sz w:val="20"/>
                      </w:rPr>
                      <w:t>0,38</w:t>
                    </w:r>
                  </w:p>
                </w:txbxContent>
              </v:textbox>
              <w10:wrap type="none"/>
            </v:shape>
            <v:shape style="position:absolute;left:3449;top:1209;width:1514;height:308" type="#_x0000_t202" filled="false" stroked="false">
              <v:textbox inset="0,0,0,0">
                <w:txbxContent>
                  <w:p>
                    <w:pPr>
                      <w:spacing w:before="9"/>
                      <w:ind w:left="0" w:right="6" w:firstLine="0"/>
                      <w:jc w:val="right"/>
                      <w:rPr>
                        <w:sz w:val="20"/>
                      </w:rPr>
                    </w:pPr>
                    <w:r>
                      <w:rPr>
                        <w:sz w:val="20"/>
                      </w:rPr>
                      <w:t>0,33</w:t>
                    </w:r>
                  </w:p>
                </w:txbxContent>
              </v:textbox>
              <w10:wrap type="none"/>
            </v:shape>
            <v:shape style="position:absolute;left:3449;top:1968;width:2741;height:298" type="#_x0000_t202" filled="false" stroked="false">
              <v:textbox inset="0,0,0,0">
                <w:txbxContent>
                  <w:p>
                    <w:pPr>
                      <w:spacing w:before="38"/>
                      <w:ind w:left="0" w:right="54" w:firstLine="0"/>
                      <w:jc w:val="right"/>
                      <w:rPr>
                        <w:sz w:val="20"/>
                      </w:rPr>
                    </w:pPr>
                    <w:r>
                      <w:rPr>
                        <w:sz w:val="20"/>
                      </w:rPr>
                      <w:t>0,60</w:t>
                    </w:r>
                  </w:p>
                </w:txbxContent>
              </v:textbox>
              <w10:wrap type="none"/>
            </v:shape>
            <v:shape style="position:absolute;left:3449;top:2266;width:2444;height:298" type="#_x0000_t202" filled="false" stroked="false">
              <v:textbox inset="0,0,0,0">
                <w:txbxContent>
                  <w:p>
                    <w:pPr>
                      <w:spacing w:before="0"/>
                      <w:ind w:left="0" w:right="6" w:firstLine="0"/>
                      <w:jc w:val="right"/>
                      <w:rPr>
                        <w:sz w:val="20"/>
                      </w:rPr>
                    </w:pPr>
                    <w:r>
                      <w:rPr>
                        <w:sz w:val="20"/>
                      </w:rPr>
                      <w:t>0,54</w:t>
                    </w:r>
                  </w:p>
                </w:txbxContent>
              </v:textbox>
              <w10:wrap type="none"/>
            </v:shape>
            <v:shape style="position:absolute;left:3449;top:3025;width:3028;height:298" type="#_x0000_t202" filled="false" stroked="false">
              <v:textbox inset="0,0,0,0">
                <w:txbxContent>
                  <w:p>
                    <w:pPr>
                      <w:spacing w:line="230" w:lineRule="exact" w:before="0"/>
                      <w:ind w:left="0" w:right="17" w:firstLine="0"/>
                      <w:jc w:val="right"/>
                      <w:rPr>
                        <w:sz w:val="20"/>
                      </w:rPr>
                    </w:pPr>
                    <w:r>
                      <w:rPr>
                        <w:sz w:val="20"/>
                      </w:rPr>
                      <w:t>0,67</w:t>
                    </w:r>
                  </w:p>
                </w:txbxContent>
              </v:textbox>
              <w10:wrap type="none"/>
            </v:shape>
            <v:shape style="position:absolute;left:3449;top:3323;width:3431;height:298" type="#_x0000_t202" filled="false" stroked="false">
              <v:textbox inset="0,0,0,0">
                <w:txbxContent>
                  <w:p>
                    <w:pPr>
                      <w:spacing w:line="230" w:lineRule="exact" w:before="0"/>
                      <w:ind w:left="0" w:right="-1" w:firstLine="0"/>
                      <w:jc w:val="right"/>
                      <w:rPr>
                        <w:sz w:val="20"/>
                      </w:rPr>
                    </w:pPr>
                    <w:r>
                      <w:rPr>
                        <w:sz w:val="20"/>
                      </w:rPr>
                      <w:t>0,75</w:t>
                    </w:r>
                  </w:p>
                </w:txbxContent>
              </v:textbox>
              <w10:wrap type="none"/>
            </v:shape>
            <v:shape style="position:absolute;left:7373;top:1934;width:2501;height:827" type="#_x0000_t202" filled="false" stroked="false">
              <v:textbox inset="0,0,0,0">
                <w:txbxContent>
                  <w:p>
                    <w:pPr>
                      <w:spacing w:before="42"/>
                      <w:ind w:left="191" w:right="0" w:firstLine="0"/>
                      <w:jc w:val="left"/>
                      <w:rPr>
                        <w:sz w:val="15"/>
                      </w:rPr>
                    </w:pPr>
                    <w:r>
                      <w:rPr>
                        <w:sz w:val="15"/>
                      </w:rPr>
                      <w:t>ITDHE 2008</w:t>
                    </w:r>
                  </w:p>
                  <w:p>
                    <w:pPr>
                      <w:spacing w:line="240" w:lineRule="auto" w:before="10"/>
                      <w:rPr>
                        <w:b/>
                        <w:sz w:val="20"/>
                      </w:rPr>
                    </w:pPr>
                  </w:p>
                  <w:p>
                    <w:pPr>
                      <w:spacing w:line="254" w:lineRule="auto" w:before="0"/>
                      <w:ind w:left="191" w:right="0" w:firstLine="0"/>
                      <w:jc w:val="left"/>
                      <w:rPr>
                        <w:sz w:val="15"/>
                      </w:rPr>
                    </w:pPr>
                    <w:r>
                      <w:rPr>
                        <w:sz w:val="15"/>
                      </w:rPr>
                      <w:t>ITDHE (CIEM, 2000) + el impacto ambiental</w:t>
                    </w:r>
                  </w:p>
                </w:txbxContent>
              </v:textbox>
              <w10:wrap type="none"/>
            </v:shape>
            <v:shape style="position:absolute;left:2793;top:1195;width:487;height:154" type="#_x0000_t202" filled="false" stroked="false">
              <v:textbox inset="0,0,0,0">
                <w:txbxContent>
                  <w:p>
                    <w:pPr>
                      <w:spacing w:line="154" w:lineRule="exact" w:before="0"/>
                      <w:ind w:left="0" w:right="-4" w:firstLine="0"/>
                      <w:jc w:val="left"/>
                      <w:rPr>
                        <w:sz w:val="15"/>
                      </w:rPr>
                    </w:pPr>
                    <w:r>
                      <w:rPr>
                        <w:spacing w:val="-3"/>
                        <w:sz w:val="15"/>
                      </w:rPr>
                      <w:t>Oriente</w:t>
                    </w:r>
                  </w:p>
                </w:txbxContent>
              </v:textbox>
              <w10:wrap type="none"/>
            </v:shape>
            <v:shape style="position:absolute;left:2831;top:2252;width:449;height:154" type="#_x0000_t202" filled="false" stroked="false">
              <v:textbox inset="0,0,0,0">
                <w:txbxContent>
                  <w:p>
                    <w:pPr>
                      <w:spacing w:line="154" w:lineRule="exact" w:before="0"/>
                      <w:ind w:left="0" w:right="-4" w:firstLine="0"/>
                      <w:jc w:val="left"/>
                      <w:rPr>
                        <w:sz w:val="15"/>
                      </w:rPr>
                    </w:pPr>
                    <w:r>
                      <w:rPr>
                        <w:spacing w:val="-3"/>
                        <w:sz w:val="15"/>
                      </w:rPr>
                      <w:t>Centro</w:t>
                    </w:r>
                  </w:p>
                </w:txbxContent>
              </v:textbox>
              <w10:wrap type="none"/>
            </v:shape>
            <v:shape style="position:absolute;left:2601;top:3309;width:678;height:154" type="#_x0000_t202" filled="false" stroked="false">
              <v:textbox inset="0,0,0,0">
                <w:txbxContent>
                  <w:p>
                    <w:pPr>
                      <w:spacing w:line="154" w:lineRule="exact" w:before="0"/>
                      <w:ind w:left="0" w:right="-18" w:firstLine="0"/>
                      <w:jc w:val="left"/>
                      <w:rPr>
                        <w:sz w:val="15"/>
                      </w:rPr>
                    </w:pPr>
                    <w:r>
                      <w:rPr>
                        <w:sz w:val="15"/>
                      </w:rPr>
                      <w:t>Occidente</w:t>
                    </w:r>
                  </w:p>
                </w:txbxContent>
              </v:textbox>
              <w10:wrap type="none"/>
            </v:shape>
            <v:shape style="position:absolute;left:3330;top:4020;width:86;height:154" type="#_x0000_t202" filled="false" stroked="false">
              <v:textbox inset="0,0,0,0">
                <w:txbxContent>
                  <w:p>
                    <w:pPr>
                      <w:spacing w:line="154" w:lineRule="exact" w:before="0"/>
                      <w:ind w:left="0" w:right="0" w:firstLine="0"/>
                      <w:jc w:val="left"/>
                      <w:rPr>
                        <w:sz w:val="15"/>
                      </w:rPr>
                    </w:pPr>
                    <w:r>
                      <w:rPr>
                        <w:w w:val="102"/>
                        <w:sz w:val="15"/>
                      </w:rPr>
                      <w:t>0</w:t>
                    </w:r>
                  </w:p>
                </w:txbxContent>
              </v:textbox>
              <w10:wrap type="none"/>
            </v:shape>
            <v:shape style="position:absolute;left:4173;top:4020;width:210;height:154" type="#_x0000_t202" filled="false" stroked="false">
              <v:textbox inset="0,0,0,0">
                <w:txbxContent>
                  <w:p>
                    <w:pPr>
                      <w:spacing w:line="154" w:lineRule="exact" w:before="0"/>
                      <w:ind w:left="0" w:right="-19" w:firstLine="0"/>
                      <w:jc w:val="left"/>
                      <w:rPr>
                        <w:sz w:val="15"/>
                      </w:rPr>
                    </w:pPr>
                    <w:r>
                      <w:rPr>
                        <w:sz w:val="15"/>
                      </w:rPr>
                      <w:t>0,2</w:t>
                    </w:r>
                  </w:p>
                </w:txbxContent>
              </v:textbox>
              <w10:wrap type="none"/>
            </v:shape>
            <v:shape style="position:absolute;left:5083;top:4020;width:210;height:154" type="#_x0000_t202" filled="false" stroked="false">
              <v:textbox inset="0,0,0,0">
                <w:txbxContent>
                  <w:p>
                    <w:pPr>
                      <w:spacing w:line="154" w:lineRule="exact" w:before="0"/>
                      <w:ind w:left="0" w:right="-19" w:firstLine="0"/>
                      <w:jc w:val="left"/>
                      <w:rPr>
                        <w:sz w:val="15"/>
                      </w:rPr>
                    </w:pPr>
                    <w:r>
                      <w:rPr>
                        <w:sz w:val="15"/>
                      </w:rPr>
                      <w:t>0,4</w:t>
                    </w:r>
                  </w:p>
                </w:txbxContent>
              </v:textbox>
              <w10:wrap type="none"/>
            </v:shape>
            <v:shape style="position:absolute;left:5983;top:4020;width:210;height:154" type="#_x0000_t202" filled="false" stroked="false">
              <v:textbox inset="0,0,0,0">
                <w:txbxContent>
                  <w:p>
                    <w:pPr>
                      <w:spacing w:line="154" w:lineRule="exact" w:before="0"/>
                      <w:ind w:left="0" w:right="-19" w:firstLine="0"/>
                      <w:jc w:val="left"/>
                      <w:rPr>
                        <w:sz w:val="15"/>
                      </w:rPr>
                    </w:pPr>
                    <w:r>
                      <w:rPr>
                        <w:sz w:val="15"/>
                      </w:rPr>
                      <w:t>0,6</w:t>
                    </w:r>
                  </w:p>
                </w:txbxContent>
              </v:textbox>
              <w10:wrap type="none"/>
            </v:shape>
            <v:shape style="position:absolute;left:6894;top:4020;width:210;height:154" type="#_x0000_t202" filled="false" stroked="false">
              <v:textbox inset="0,0,0,0">
                <w:txbxContent>
                  <w:p>
                    <w:pPr>
                      <w:spacing w:line="154" w:lineRule="exact" w:before="0"/>
                      <w:ind w:left="0" w:right="-19" w:firstLine="0"/>
                      <w:jc w:val="left"/>
                      <w:rPr>
                        <w:sz w:val="15"/>
                      </w:rPr>
                    </w:pPr>
                    <w:r>
                      <w:rPr>
                        <w:sz w:val="15"/>
                      </w:rPr>
                      <w:t>0,8</w:t>
                    </w:r>
                  </w:p>
                </w:txbxContent>
              </v:textbox>
              <w10:wrap type="none"/>
            </v:shape>
            <w10:wrap type="topAndBottom"/>
          </v:group>
        </w:pict>
      </w:r>
    </w:p>
    <w:p>
      <w:pPr>
        <w:spacing w:after="0"/>
        <w:rPr>
          <w:sz w:val="13"/>
        </w:rPr>
        <w:sectPr>
          <w:pgSz w:w="11910" w:h="16840"/>
          <w:pgMar w:header="0" w:footer="768" w:top="1580" w:bottom="960" w:left="1600" w:right="1140"/>
        </w:sectPr>
      </w:pPr>
    </w:p>
    <w:p>
      <w:pPr>
        <w:spacing w:line="480" w:lineRule="auto" w:before="103"/>
        <w:ind w:left="102" w:right="108" w:firstLine="707"/>
        <w:jc w:val="both"/>
        <w:rPr>
          <w:sz w:val="22"/>
        </w:rPr>
      </w:pPr>
      <w:r>
        <w:rPr>
          <w:sz w:val="22"/>
        </w:rPr>
        <w:t>La dispersión de los logros relativos, se mantiene. Las dimensiones: </w:t>
      </w:r>
      <w:r>
        <w:rPr>
          <w:i/>
          <w:sz w:val="22"/>
        </w:rPr>
        <w:t>crecimiento </w:t>
      </w:r>
      <w:r>
        <w:rPr>
          <w:i/>
          <w:sz w:val="22"/>
        </w:rPr>
        <w:t>económico </w:t>
      </w:r>
      <w:r>
        <w:rPr>
          <w:sz w:val="22"/>
        </w:rPr>
        <w:t>(para el CIEM, desarrollo económico), </w:t>
      </w:r>
      <w:r>
        <w:rPr>
          <w:i/>
          <w:sz w:val="22"/>
        </w:rPr>
        <w:t>consumo personal, estado de salud de la </w:t>
      </w:r>
      <w:r>
        <w:rPr>
          <w:i/>
          <w:sz w:val="22"/>
        </w:rPr>
        <w:t>población, acceso a servicios básicos </w:t>
      </w:r>
      <w:r>
        <w:rPr>
          <w:sz w:val="22"/>
        </w:rPr>
        <w:t>y </w:t>
      </w:r>
      <w:r>
        <w:rPr>
          <w:i/>
          <w:sz w:val="22"/>
        </w:rPr>
        <w:t>acceso a la energía</w:t>
      </w:r>
      <w:r>
        <w:rPr>
          <w:sz w:val="22"/>
        </w:rPr>
        <w:t>, mantienen las mismas dinámicas en ambos años. Respecto al nivel de educación se observó una modificación en la región Oriental, que cambió de la primera posición a la última.</w:t>
      </w:r>
    </w:p>
    <w:p>
      <w:pPr>
        <w:pStyle w:val="Heading2"/>
        <w:spacing w:before="125"/>
        <w:ind w:left="4132" w:right="4141"/>
        <w:jc w:val="center"/>
      </w:pPr>
      <w:r>
        <w:rPr/>
        <w:t>Figura 6</w:t>
      </w:r>
    </w:p>
    <w:p>
      <w:pPr>
        <w:pStyle w:val="BodyText"/>
        <w:rPr>
          <w:b/>
          <w:sz w:val="20"/>
        </w:rPr>
      </w:pPr>
    </w:p>
    <w:p>
      <w:pPr>
        <w:pStyle w:val="BodyText"/>
        <w:spacing w:before="9"/>
        <w:rPr>
          <w:b/>
          <w:sz w:val="12"/>
        </w:rPr>
      </w:pPr>
      <w:r>
        <w:rPr/>
        <w:pict>
          <v:group style="position:absolute;margin-left:130.848343pt;margin-top:9.335063pt;width:354.55pt;height:171.95pt;mso-position-horizontal-relative:page;mso-position-vertical-relative:paragraph;z-index:2800;mso-wrap-distance-left:0;mso-wrap-distance-right:0" coordorigin="2617,187" coordsize="7091,3439">
            <v:rect style="position:absolute;left:2622;top:192;width:7080;height:3428" filled="false" stroked="true" strokeweight=".449413pt" strokecolor="#000000"/>
            <v:line style="position:absolute" from="5985,892" to="5985,1417" stroked="true" strokeweight=".49167pt" strokecolor="#000000"/>
            <v:line style="position:absolute" from="5985,1531" to="5985,2082" stroked="true" strokeweight=".49167pt" strokecolor="#000000"/>
            <v:line style="position:absolute" from="5955,1782" to="6004,1782" stroked="true" strokeweight=".439506pt" strokecolor="#000000"/>
            <v:line style="position:absolute" from="6014,1782" to="5965,1782" stroked="true" strokeweight=".439506pt" strokecolor="#000000"/>
            <v:line style="position:absolute" from="5955,1183" to="6004,1183" stroked="true" strokeweight=".439506pt" strokecolor="#000000"/>
            <v:line style="position:absolute" from="6014,1183" to="5965,1183" stroked="true" strokeweight=".439506pt" strokecolor="#000000"/>
            <v:line style="position:absolute" from="5955,884" to="6004,884" stroked="true" strokeweight=".439506pt" strokecolor="#000000"/>
            <v:line style="position:absolute" from="6014,884" to="5965,884" stroked="true" strokeweight=".439506pt" strokecolor="#000000"/>
            <v:line style="position:absolute" from="5985,2082" to="6832,1174" stroked="true" strokeweight=".467385pt" strokecolor="#000000"/>
            <v:line style="position:absolute" from="6182,1835" to="6211,1862" stroked="true" strokeweight=".462903pt" strokecolor="#000000"/>
            <v:line style="position:absolute" from="6221,1871" to="6191,1844" stroked="true" strokeweight=".462903pt" strokecolor="#000000"/>
            <v:line style="position:absolute" from="6398,1606" to="6428,1633" stroked="true" strokeweight=".462903pt" strokecolor="#000000"/>
            <v:line style="position:absolute" from="6438,1641" to="6408,1615" stroked="true" strokeweight=".462675pt" strokecolor="#000000"/>
            <v:line style="position:absolute" from="6605,1377" to="6635,1404" stroked="true" strokeweight=".462903pt" strokecolor="#000000"/>
            <v:line style="position:absolute" from="6644,1412" to="6615,1386" stroked="true" strokeweight=".462675pt" strokecolor="#000000"/>
            <v:line style="position:absolute" from="6822,1148" to="6851,1174" stroked="true" strokeweight=".462675pt" strokecolor="#000000"/>
            <v:line style="position:absolute" from="6861,1183" to="6832,1157" stroked="true" strokeweight=".462675pt" strokecolor="#000000"/>
            <v:line style="position:absolute" from="5985,2082" to="7295,1871" stroked="true" strokeweight=".440829pt" strokecolor="#000000"/>
            <v:line style="position:absolute" from="6320,2003" to="6320,2047" stroked="true" strokeweight=".49167pt" strokecolor="#000000"/>
            <v:line style="position:absolute" from="6320,2056" to="6320,2012" stroked="true" strokeweight=".49167pt" strokecolor="#000000"/>
            <v:line style="position:absolute" from="6979,1897" to="6979,1941" stroked="true" strokeweight=".49167pt" strokecolor="#000000"/>
            <v:line style="position:absolute" from="6979,1950" to="6979,1906" stroked="true" strokeweight=".49167pt" strokecolor="#000000"/>
            <v:line style="position:absolute" from="7304,1844" to="7304,1888" stroked="true" strokeweight=".49167pt" strokecolor="#000000"/>
            <v:line style="position:absolute" from="7304,1897" to="7304,1853" stroked="true" strokeweight=".49167pt" strokecolor="#000000"/>
            <v:line style="position:absolute" from="5985,2082" to="7137,2681" stroked="true" strokeweight=".450619pt" strokecolor="#000000"/>
            <v:line style="position:absolute" from="6300,2206" to="6270,2250" stroked="true" strokeweight=".47527pt" strokecolor="#000000"/>
            <v:line style="position:absolute" from="6260,2258" to="6290,2214" stroked="true" strokeweight=".47527pt" strokecolor="#000000"/>
            <v:line style="position:absolute" from="6585,2355" to="6546,2399" stroked="true" strokeweight=".468471pt" strokecolor="#000000"/>
            <v:line style="position:absolute" from="6546,2408" to="6585,2364" stroked="true" strokeweight=".468471pt" strokecolor="#000000"/>
            <v:line style="position:absolute" from="6881,2505" to="6842,2549" stroked="true" strokeweight=".468471pt" strokecolor="#000000"/>
            <v:line style="position:absolute" from="6842,2558" to="6881,2514" stroked="true" strokeweight=".468642pt" strokecolor="#000000"/>
            <v:line style="position:absolute" from="7166,2655" to="7127,2699" stroked="true" strokeweight=".468642pt" strokecolor="#000000"/>
            <v:line style="position:absolute" from="7127,2708" to="7166,2663" stroked="true" strokeweight=".468642pt" strokecolor="#000000"/>
            <v:line style="position:absolute" from="5985,2082" to="6447,3201" stroked="true" strokeweight=".484056pt" strokecolor="#000000"/>
            <v:line style="position:absolute" from="6132,2355" to="6083,2373" stroked="true" strokeweight=".445419pt" strokecolor="#000000"/>
            <v:line style="position:absolute" from="6073,2373" to="6123,2355" stroked="true" strokeweight=".445419pt" strokecolor="#000000"/>
            <v:line style="position:absolute" from="6250,2637" to="6201,2655" stroked="true" strokeweight=".445419pt" strokecolor="#000000"/>
            <v:line style="position:absolute" from="6191,2655" to="6241,2637" stroked="true" strokeweight=".445419pt" strokecolor="#000000"/>
            <v:line style="position:absolute" from="6359,2919" to="6310,2937" stroked="true" strokeweight=".445419pt" strokecolor="#000000"/>
            <v:line style="position:absolute" from="6300,2937" to="6349,2919" stroked="true" strokeweight=".445419pt" strokecolor="#000000"/>
            <v:line style="position:absolute" from="6477,3201" to="6428,3219" stroked="true" strokeweight=".445419pt" strokecolor="#000000"/>
            <v:line style="position:absolute" from="6418,3219" to="6467,3201" stroked="true" strokeweight=".445419pt" strokecolor="#000000"/>
            <v:line style="position:absolute" from="5985,2082" to="5522,3201" stroked="true" strokeweight=".484052pt" strokecolor="#000000"/>
            <v:line style="position:absolute" from="5896,2373" to="5847,2355" stroked="true" strokeweight=".445419pt" strokecolor="#000000"/>
            <v:line style="position:absolute" from="5837,2355" to="5886,2373" stroked="true" strokeweight=".445419pt" strokecolor="#000000"/>
            <v:line style="position:absolute" from="5778,2655" to="5729,2637" stroked="true" strokeweight=".445419pt" strokecolor="#000000"/>
            <v:line style="position:absolute" from="5719,2637" to="5768,2655" stroked="true" strokeweight=".445419pt" strokecolor="#000000"/>
            <v:line style="position:absolute" from="5670,2937" to="5620,2919" stroked="true" strokeweight=".445419pt" strokecolor="#000000"/>
            <v:line style="position:absolute" from="5611,2919" to="5660,2937" stroked="true" strokeweight=".445419pt" strokecolor="#000000"/>
            <v:line style="position:absolute" from="5551,3219" to="5502,3201" stroked="true" strokeweight=".445419pt" strokecolor="#000000"/>
            <v:line style="position:absolute" from="5492,3201" to="5542,3219" stroked="true" strokeweight=".445419pt" strokecolor="#000000"/>
            <v:line style="position:absolute" from="5985,2082" to="4833,2681" stroked="true" strokeweight=".450617pt" strokecolor="#000000"/>
            <v:line style="position:absolute" from="5709,2258" to="5670,2214" stroked="true" strokeweight=".468471pt" strokecolor="#000000"/>
            <v:line style="position:absolute" from="5670,2206" to="5709,2250" stroked="true" strokeweight=".468471pt" strokecolor="#000000"/>
            <v:line style="position:absolute" from="5424,2408" to="5384,2364" stroked="true" strokeweight=".468471pt" strokecolor="#000000"/>
            <v:line style="position:absolute" from="5384,2355" to="5424,2399" stroked="true" strokeweight=".468471pt" strokecolor="#000000"/>
            <v:line style="position:absolute" from="5128,2558" to="5089,2514" stroked="true" strokeweight=".468642pt" strokecolor="#000000"/>
            <v:line style="position:absolute" from="5089,2505" to="5128,2549" stroked="true" strokeweight=".468471pt" strokecolor="#000000"/>
            <v:line style="position:absolute" from="4842,2708" to="4803,2663" stroked="true" strokeweight=".468642pt" strokecolor="#000000"/>
            <v:line style="position:absolute" from="4803,2655" to="4842,2699" stroked="true" strokeweight=".468642pt" strokecolor="#000000"/>
            <v:line style="position:absolute" from="5985,2082" to="4675,1871" stroked="true" strokeweight=".44083pt" strokecolor="#000000"/>
            <v:line style="position:absolute" from="5650,2056" to="5650,2012" stroked="true" strokeweight=".49167pt" strokecolor="#000000"/>
            <v:line style="position:absolute" from="5650,2003" to="5650,2047" stroked="true" strokeweight=".49167pt" strokecolor="#000000"/>
            <v:line style="position:absolute" from="5325,2003" to="5325,1959" stroked="true" strokeweight=".49167pt" strokecolor="#000000"/>
            <v:line style="position:absolute" from="5325,1950" to="5325,1994" stroked="true" strokeweight=".49167pt" strokecolor="#000000"/>
            <v:line style="position:absolute" from="4990,1950" to="4990,1906" stroked="true" strokeweight=".49167pt" strokecolor="#000000"/>
            <v:line style="position:absolute" from="4990,1897" to="4990,1941" stroked="true" strokeweight=".49167pt" strokecolor="#000000"/>
            <v:line style="position:absolute" from="4665,1897" to="4665,1853" stroked="true" strokeweight=".49167pt" strokecolor="#000000"/>
            <v:line style="position:absolute" from="4665,1844" to="4665,1888" stroked="true" strokeweight=".49167pt" strokecolor="#000000"/>
            <v:line style="position:absolute" from="5985,2082" to="5138,1174" stroked="true" strokeweight=".467393pt" strokecolor="#000000"/>
            <v:line style="position:absolute" from="5748,1871" to="5778,1844" stroked="true" strokeweight=".462903pt" strokecolor="#000000"/>
            <v:line style="position:absolute" from="5788,1835" to="5758,1862" stroked="true" strokeweight=".462903pt" strokecolor="#000000"/>
            <v:line style="position:absolute" from="5532,1641" to="5561,1615" stroked="true" strokeweight=".462675pt" strokecolor="#000000"/>
            <v:line style="position:absolute" from="5571,1606" to="5542,1633" stroked="true" strokeweight=".462675pt" strokecolor="#000000"/>
            <v:line style="position:absolute" from="5325,1412" to="5355,1386" stroked="true" strokeweight=".462334pt" strokecolor="#000000"/>
            <v:line style="position:absolute" from="5365,1377" to="5335,1404" stroked="true" strokeweight=".462903pt" strokecolor="#000000"/>
            <v:line style="position:absolute" from="5109,1183" to="5138,1157" stroked="true" strokeweight=".462675pt" strokecolor="#000000"/>
            <v:line style="position:absolute" from="5148,1148" to="5118,1174" stroked="true" strokeweight=".462675pt" strokecolor="#000000"/>
            <v:line style="position:absolute" from="5980,879" to="6837,1161" stroked="true" strokeweight="1.333835pt" strokecolor="#333333"/>
            <v:line style="position:absolute" from="6837,1161" to="7161,1893" stroked="true" strokeweight="1.449216pt" strokecolor="#333333"/>
            <v:line style="position:absolute" from="7161,1893" to="6561,2377" stroked="true" strokeweight="1.380243pt" strokecolor="#333333"/>
            <v:line style="position:absolute" from="6561,2377" to="6443,3206" stroked="true" strokeweight="1.471876pt" strokecolor="#333333"/>
            <v:line style="position:absolute" from="5517,3206" to="6354,3206" stroked="true" strokeweight="1.318518pt" strokecolor="#333333"/>
            <v:line style="position:absolute" from="5517,3206" to="4818,2677" stroked="true" strokeweight="1.37544pt" strokecolor="#333333"/>
            <v:line style="position:absolute" from="4818,2677" to="4660,1866" stroked="true" strokeweight="1.469329pt" strokecolor="#333333"/>
            <v:line style="position:absolute" from="4660,1866" to="5546,1620" stroked="true" strokeweight="1.32978pt" strokecolor="#333333"/>
            <v:line style="position:absolute" from="5546,1620" to="5980,879" stroked="true" strokeweight="1.43509pt" strokecolor="#333333"/>
            <v:line style="position:absolute" from="5980,1478" to="6590,1426" stroked="true" strokeweight="1.319676pt" strokecolor="#c0c0c0"/>
            <v:line style="position:absolute" from="6590,1426" to="6640,1972" stroked="true" strokeweight="1.473753pt" strokecolor="#c0c0c0"/>
            <v:line style="position:absolute" from="6640,1972" to="7063,2642" stroked="true" strokeweight="1.43029pt" strokecolor="#c0c0c0"/>
            <v:line style="position:absolute" from="7063,2642" to="6423,3170" stroked="true" strokeweight="1.381993pt" strokecolor="#c0c0c0"/>
            <v:line style="position:absolute" from="6423,3170" to="5556,3126" stroked="true" strokeweight="1.318925pt" strokecolor="#c0c0c0"/>
            <v:line style="position:absolute" from="5556,3126" to="4926,2624" stroked="true" strokeweight="1.379324pt" strokecolor="#c0c0c0"/>
            <v:line style="position:absolute" from="4926,2624" to="4897,1910" stroked="true" strokeweight="1.474743pt" strokecolor="#c0c0c0"/>
            <v:line style="position:absolute" from="4897,1910" to="5428,1487" stroked="true" strokeweight="1.379197pt" strokecolor="#c0c0c0"/>
            <v:line style="position:absolute" from="5428,1487" to="5980,1478" stroked="true" strokeweight="1.318558pt" strokecolor="#c0c0c0"/>
            <v:line style="position:absolute" from="5980,1478" to="6413,1620" stroked="true" strokeweight="1.333545pt" strokecolor="#808080"/>
            <v:line style="position:absolute" from="6413,1620" to="7299,1866" stroked="true" strokeweight="1.329771pt" strokecolor="#808080"/>
            <v:line style="position:absolute" from="7299,1866" to="7142,2677" stroked="true" strokeweight="1.469311pt" strokecolor="#808080"/>
            <v:line style="position:absolute" from="7142,2677" to="6206,2642" stroked="true" strokeweight="1.318742pt" strokecolor="#808080"/>
            <v:line style="position:absolute" from="6206,2642" to="5753,2642" stroked="true" strokeweight="1.318518pt" strokecolor="#808080"/>
            <v:line style="position:absolute" from="5753,2642" to="5399,2377" stroked="true" strokeweight="1.37443pt" strokecolor="#808080"/>
            <v:line style="position:absolute" from="5399,2377" to="5320,1972" stroked="true" strokeweight="1.469291pt" strokecolor="#808080"/>
            <v:line style="position:absolute" from="5320,1972" to="5123,1161" stroked="true" strokeweight="1.466312pt" strokecolor="#808080"/>
            <v:line style="position:absolute" from="5123,1161" to="5980,1478" stroked="true" strokeweight="1.337378pt" strokecolor="#808080"/>
            <v:shape style="position:absolute;left:5911;top:817;width:147;height:133" type="#_x0000_t75" stroked="false">
              <v:imagedata r:id="rId67" o:title=""/>
            </v:shape>
            <v:shape style="position:absolute;left:6768;top:1099;width:147;height:133" type="#_x0000_t75" stroked="false">
              <v:imagedata r:id="rId68" o:title=""/>
            </v:shape>
            <v:shape style="position:absolute;left:7097;top:1835;width:138;height:124" coordorigin="7097,1835" coordsize="138,124" path="m7166,1835l7097,1897,7166,1959,7235,1897,7166,1835xe" filled="true" fillcolor="#333333" stroked="false">
              <v:path arrowok="t"/>
              <v:fill type="solid"/>
            </v:shape>
            <v:shape style="position:absolute;left:7097;top:1835;width:138;height:124" coordorigin="7097,1835" coordsize="138,124" path="m7166,1835l7235,1897,7166,1959,7097,1897,7166,1835xe" filled="false" stroked="true" strokeweight=".462724pt" strokecolor="#333333">
              <v:path arrowok="t"/>
            </v:shape>
            <v:shape style="position:absolute;left:6492;top:2315;width:147;height:133" type="#_x0000_t75" stroked="false">
              <v:imagedata r:id="rId69" o:title=""/>
            </v:shape>
            <v:shape style="position:absolute;left:6379;top:3148;width:138;height:124" coordorigin="6379,3148" coordsize="138,124" path="m6447,3148l6379,3210,6447,3272,6516,3210,6447,3148xe" filled="true" fillcolor="#333333" stroked="false">
              <v:path arrowok="t"/>
              <v:fill type="solid"/>
            </v:shape>
            <v:shape style="position:absolute;left:6379;top:3148;width:138;height:124" coordorigin="6379,3148" coordsize="138,124" path="m6447,3148l6516,3210,6447,3272,6379,3210,6447,3148xe" filled="false" stroked="true" strokeweight=".462736pt" strokecolor="#333333">
              <v:path arrowok="t"/>
            </v:shape>
            <v:shape style="position:absolute;left:5453;top:3148;width:138;height:124" coordorigin="5453,3148" coordsize="138,124" path="m5522,3148l5453,3210,5522,3272,5591,3210,5522,3148xe" filled="true" fillcolor="#333333" stroked="false">
              <v:path arrowok="t"/>
              <v:fill type="solid"/>
            </v:shape>
            <v:shape style="position:absolute;left:5453;top:3148;width:138;height:124" coordorigin="5453,3148" coordsize="138,124" path="m5522,3148l5591,3210,5522,3272,5453,3210,5522,3148xe" filled="false" stroked="true" strokeweight=".462687pt" strokecolor="#333333">
              <v:path arrowok="t"/>
            </v:shape>
            <v:shape style="position:absolute;left:4754;top:2620;width:139;height:124" coordorigin="4754,2620" coordsize="139,124" path="m4823,2620l4754,2681,4823,2743,4892,2681,4823,2620xe" filled="true" fillcolor="#333333" stroked="false">
              <v:path arrowok="t"/>
              <v:fill type="solid"/>
            </v:shape>
            <v:shape style="position:absolute;left:4754;top:2620;width:139;height:124" coordorigin="4754,2620" coordsize="139,124" path="m4823,2620l4892,2681,4823,2743,4754,2681,4823,2620xe" filled="false" stroked="true" strokeweight=".462663pt" strokecolor="#333333">
              <v:path arrowok="t"/>
            </v:shape>
            <v:shape style="position:absolute;left:4592;top:1804;width:147;height:133" type="#_x0000_t75" stroked="false">
              <v:imagedata r:id="rId70" o:title=""/>
            </v:shape>
            <v:shape style="position:absolute;left:5483;top:1562;width:138;height:124" coordorigin="5483,1562" coordsize="138,124" path="m5551,1562l5483,1624,5551,1685,5620,1624,5551,1562xe" filled="true" fillcolor="#333333" stroked="false">
              <v:path arrowok="t"/>
              <v:fill type="solid"/>
            </v:shape>
            <v:shape style="position:absolute;left:5483;top:1562;width:138;height:124" coordorigin="5483,1562" coordsize="138,124" path="m5551,1562l5620,1624,5551,1685,5483,1624,5551,1562xe" filled="false" stroked="true" strokeweight=".462675pt" strokecolor="#333333">
              <v:path arrowok="t"/>
            </v:shape>
            <v:rect style="position:absolute;left:5911;top:1417;width:128;height:115" filled="true" fillcolor="#c0c0c0" stroked="false">
              <v:fill type="solid"/>
            </v:rect>
            <v:rect style="position:absolute;left:6522;top:1364;width:128;height:115" filled="true" fillcolor="#c0c0c0" stroked="false">
              <v:fill type="solid"/>
            </v:rect>
            <v:rect style="position:absolute;left:6571;top:1910;width:128;height:115" filled="true" fillcolor="#c0c0c0" stroked="false">
              <v:fill type="solid"/>
            </v:rect>
            <v:rect style="position:absolute;left:6994;top:2580;width:128;height:115" filled="true" fillcolor="#c0c0c0" stroked="false">
              <v:fill type="solid"/>
            </v:rect>
            <v:rect style="position:absolute;left:6354;top:3109;width:128;height:115" filled="true" fillcolor="#c0c0c0" stroked="false">
              <v:fill type="solid"/>
            </v:rect>
            <v:rect style="position:absolute;left:5487;top:3065;width:128;height:115" filled="true" fillcolor="#c0c0c0" stroked="false">
              <v:fill type="solid"/>
            </v:rect>
            <v:rect style="position:absolute;left:4857;top:2562;width:128;height:115" filled="true" fillcolor="#c0c0c0" stroked="false">
              <v:fill type="solid"/>
            </v:rect>
            <v:rect style="position:absolute;left:4828;top:1849;width:128;height:115" filled="true" fillcolor="#c0c0c0" stroked="false">
              <v:fill type="solid"/>
            </v:rect>
            <v:rect style="position:absolute;left:5360;top:1426;width:128;height:115" filled="true" fillcolor="#c0c0c0" stroked="false">
              <v:fill type="solid"/>
            </v:rect>
            <v:shape style="position:absolute;left:5916;top:1421;width:138;height:124" coordorigin="5916,1421" coordsize="138,124" path="m5985,1421l5916,1545,6054,1545,5985,1421xe" filled="true" fillcolor="#808080" stroked="false">
              <v:path arrowok="t"/>
              <v:fill type="solid"/>
            </v:shape>
            <v:shape style="position:absolute;left:5916;top:1421;width:138;height:124" coordorigin="5916,1421" coordsize="138,124" path="m5985,1421l6054,1545,5916,1545,5985,1421xe" filled="false" stroked="true" strokeweight=".462699pt" strokecolor="#808080">
              <v:path arrowok="t"/>
            </v:shape>
            <v:shape style="position:absolute;left:6344;top:1557;width:147;height:133" type="#_x0000_t75" stroked="false">
              <v:imagedata r:id="rId71" o:title=""/>
            </v:shape>
            <v:shape style="position:absolute;left:7235;top:1809;width:139;height:124" coordorigin="7235,1809" coordsize="139,124" path="m7304,1809l7235,1932,7373,1932,7304,1809xe" filled="true" fillcolor="#808080" stroked="false">
              <v:path arrowok="t"/>
              <v:fill type="solid"/>
            </v:shape>
            <v:shape style="position:absolute;left:7235;top:1809;width:139;height:124" coordorigin="7235,1809" coordsize="139,124" path="m7304,1809l7373,1932,7235,1932,7304,1809xe" filled="false" stroked="true" strokeweight=".46265pt" strokecolor="#808080">
              <v:path arrowok="t"/>
            </v:shape>
            <v:shape style="position:absolute;left:7078;top:2620;width:138;height:124" coordorigin="7078,2620" coordsize="138,124" path="m7147,2620l7078,2743,7215,2743,7147,2620xe" filled="true" fillcolor="#808080" stroked="false">
              <v:path arrowok="t"/>
              <v:fill type="solid"/>
            </v:shape>
            <v:shape style="position:absolute;left:7078;top:2620;width:138;height:124" coordorigin="7078,2620" coordsize="138,124" path="m7147,2620l7215,2743,7078,2743,7147,2620xe" filled="false" stroked="true" strokeweight=".462736pt" strokecolor="#808080">
              <v:path arrowok="t"/>
            </v:shape>
            <v:shape style="position:absolute;left:6138;top:2580;width:147;height:133" type="#_x0000_t75" stroked="false">
              <v:imagedata r:id="rId72" o:title=""/>
            </v:shape>
            <v:shape style="position:absolute;left:5685;top:2580;width:147;height:133" type="#_x0000_t75" stroked="false">
              <v:imagedata r:id="rId73" o:title=""/>
            </v:shape>
            <v:shape style="position:absolute;left:5330;top:2315;width:147;height:133" type="#_x0000_t75" stroked="false">
              <v:imagedata r:id="rId74" o:title=""/>
            </v:shape>
            <v:shape style="position:absolute;left:5251;top:1910;width:147;height:133" type="#_x0000_t75" stroked="false">
              <v:imagedata r:id="rId75" o:title=""/>
            </v:shape>
            <v:shape style="position:absolute;left:5054;top:1099;width:147;height:133" type="#_x0000_t75" stroked="false">
              <v:imagedata r:id="rId76" o:title=""/>
            </v:shape>
            <v:rect style="position:absolute;left:8698;top:1769;width:965;height:555" filled="false" stroked="true" strokeweight=".452481pt" strokecolor="#000000"/>
            <v:shape style="position:absolute;left:8850;top:1835;width:80;height:71" coordorigin="8850,1835" coordsize="80,71" path="m8889,1835l8850,1871,8889,1906,8929,1871,8889,1835xe" filled="true" fillcolor="#333333" stroked="false">
              <v:path arrowok="t"/>
              <v:fill type="solid"/>
            </v:shape>
            <v:shape style="position:absolute;left:8850;top:1835;width:80;height:71" coordorigin="8850,1835" coordsize="80,71" path="m8889,1835l8929,1871,8889,1906,8850,1871,8889,1835xe" filled="false" stroked="true" strokeweight=".462632pt" strokecolor="#333333">
              <v:path arrowok="t"/>
            </v:shape>
            <v:line style="position:absolute" from="8747,2051" to="9023,2051" stroked="true" strokeweight="1.318518pt" strokecolor="#c0c0c0"/>
            <v:line style="position:absolute" from="8845,2047" to="8914,2047" stroked="true" strokeweight="3.076542pt" strokecolor="#c0c0c0"/>
            <v:line style="position:absolute" from="8747,2236" to="9023,2236" stroked="true" strokeweight="1.318518pt" strokecolor="#808080"/>
            <v:shape style="position:absolute;left:8850;top:2206;width:80;height:71" coordorigin="8850,2206" coordsize="80,71" path="m8889,2206l8850,2276,8929,2276,8889,2206xe" filled="true" fillcolor="#808080" stroked="false">
              <v:path arrowok="t"/>
              <v:fill type="solid"/>
            </v:shape>
            <v:shape style="position:absolute;left:8850;top:2206;width:80;height:71" coordorigin="8850,2206" coordsize="80,71" path="m8889,2206l8929,2276,8850,2276,8889,2206xe" filled="false" stroked="true" strokeweight=".462547pt" strokecolor="#808080">
              <v:path arrowok="t"/>
            </v:shape>
            <v:rect style="position:absolute;left:2622;top:192;width:7080;height:3428" filled="false" stroked="true" strokeweight=".449413pt" strokecolor="#000000"/>
            <v:shape style="position:absolute;left:8698;top:1769;width:1005;height:556" type="#_x0000_t202" filled="false" stroked="false">
              <v:textbox inset="0,0,0,0">
                <w:txbxContent>
                  <w:p>
                    <w:pPr>
                      <w:tabs>
                        <w:tab w:pos="354" w:val="left" w:leader="none"/>
                      </w:tabs>
                      <w:spacing w:before="37"/>
                      <w:ind w:left="49" w:right="0" w:firstLine="0"/>
                      <w:jc w:val="left"/>
                      <w:rPr>
                        <w:sz w:val="11"/>
                      </w:rPr>
                    </w:pPr>
                    <w:r>
                      <w:rPr>
                        <w:w w:val="118"/>
                        <w:position w:val="2"/>
                        <w:sz w:val="10"/>
                        <w:u w:val="thick" w:color="333333"/>
                      </w:rPr>
                      <w:t> </w:t>
                    </w:r>
                    <w:r>
                      <w:rPr>
                        <w:position w:val="2"/>
                        <w:sz w:val="10"/>
                        <w:u w:val="thick" w:color="333333"/>
                      </w:rPr>
                      <w:tab/>
                    </w:r>
                    <w:r>
                      <w:rPr>
                        <w:w w:val="115"/>
                        <w:sz w:val="11"/>
                      </w:rPr>
                      <w:t>Occidente</w:t>
                    </w:r>
                  </w:p>
                  <w:p>
                    <w:pPr>
                      <w:spacing w:line="180" w:lineRule="atLeast" w:before="5"/>
                      <w:ind w:left="354" w:right="216" w:firstLine="0"/>
                      <w:jc w:val="left"/>
                      <w:rPr>
                        <w:sz w:val="11"/>
                      </w:rPr>
                    </w:pPr>
                    <w:r>
                      <w:rPr>
                        <w:w w:val="115"/>
                        <w:sz w:val="11"/>
                      </w:rPr>
                      <w:t>Centro Oriente</w:t>
                    </w:r>
                  </w:p>
                </w:txbxContent>
              </v:textbox>
              <w10:wrap type="none"/>
            </v:shape>
            <v:shape style="position:absolute;left:3262;top:254;width:5367;height:693" type="#_x0000_t202" filled="false" stroked="false">
              <v:textbox inset="0,0,0,0">
                <w:txbxContent>
                  <w:p>
                    <w:pPr>
                      <w:spacing w:line="144" w:lineRule="exact" w:before="0"/>
                      <w:ind w:left="1" w:right="5" w:firstLine="0"/>
                      <w:jc w:val="center"/>
                      <w:rPr>
                        <w:b/>
                        <w:sz w:val="14"/>
                      </w:rPr>
                    </w:pPr>
                    <w:r>
                      <w:rPr>
                        <w:b/>
                        <w:w w:val="115"/>
                        <w:sz w:val="14"/>
                      </w:rPr>
                      <w:t>Dispersión</w:t>
                    </w:r>
                    <w:r>
                      <w:rPr>
                        <w:b/>
                        <w:spacing w:val="-21"/>
                        <w:w w:val="115"/>
                        <w:sz w:val="14"/>
                      </w:rPr>
                      <w:t> </w:t>
                    </w:r>
                    <w:r>
                      <w:rPr>
                        <w:b/>
                        <w:w w:val="115"/>
                        <w:sz w:val="14"/>
                      </w:rPr>
                      <w:t>regional</w:t>
                    </w:r>
                    <w:r>
                      <w:rPr>
                        <w:b/>
                        <w:spacing w:val="-25"/>
                        <w:w w:val="115"/>
                        <w:sz w:val="14"/>
                      </w:rPr>
                      <w:t> </w:t>
                    </w:r>
                    <w:r>
                      <w:rPr>
                        <w:b/>
                        <w:w w:val="115"/>
                        <w:sz w:val="14"/>
                      </w:rPr>
                      <w:t>de</w:t>
                    </w:r>
                    <w:r>
                      <w:rPr>
                        <w:b/>
                        <w:spacing w:val="-22"/>
                        <w:w w:val="115"/>
                        <w:sz w:val="14"/>
                      </w:rPr>
                      <w:t> </w:t>
                    </w:r>
                    <w:r>
                      <w:rPr>
                        <w:b/>
                        <w:w w:val="115"/>
                        <w:sz w:val="14"/>
                      </w:rPr>
                      <w:t>los</w:t>
                    </w:r>
                    <w:r>
                      <w:rPr>
                        <w:b/>
                        <w:spacing w:val="-22"/>
                        <w:w w:val="115"/>
                        <w:sz w:val="14"/>
                      </w:rPr>
                      <w:t> </w:t>
                    </w:r>
                    <w:r>
                      <w:rPr>
                        <w:b/>
                        <w:w w:val="115"/>
                        <w:sz w:val="14"/>
                      </w:rPr>
                      <w:t>Logros</w:t>
                    </w:r>
                    <w:r>
                      <w:rPr>
                        <w:b/>
                        <w:spacing w:val="-22"/>
                        <w:w w:val="115"/>
                        <w:sz w:val="14"/>
                      </w:rPr>
                      <w:t> </w:t>
                    </w:r>
                    <w:r>
                      <w:rPr>
                        <w:b/>
                        <w:w w:val="115"/>
                        <w:sz w:val="14"/>
                      </w:rPr>
                      <w:t>Relativos</w:t>
                    </w:r>
                    <w:r>
                      <w:rPr>
                        <w:b/>
                        <w:spacing w:val="-22"/>
                        <w:w w:val="115"/>
                        <w:sz w:val="14"/>
                      </w:rPr>
                      <w:t> </w:t>
                    </w:r>
                    <w:r>
                      <w:rPr>
                        <w:b/>
                        <w:w w:val="115"/>
                        <w:sz w:val="14"/>
                      </w:rPr>
                      <w:t>de</w:t>
                    </w:r>
                    <w:r>
                      <w:rPr>
                        <w:b/>
                        <w:spacing w:val="-22"/>
                        <w:w w:val="115"/>
                        <w:sz w:val="14"/>
                      </w:rPr>
                      <w:t> </w:t>
                    </w:r>
                    <w:r>
                      <w:rPr>
                        <w:b/>
                        <w:w w:val="115"/>
                        <w:sz w:val="14"/>
                      </w:rPr>
                      <w:t>las</w:t>
                    </w:r>
                    <w:r>
                      <w:rPr>
                        <w:b/>
                        <w:spacing w:val="-22"/>
                        <w:w w:val="115"/>
                        <w:sz w:val="14"/>
                      </w:rPr>
                      <w:t> </w:t>
                    </w:r>
                    <w:r>
                      <w:rPr>
                        <w:b/>
                        <w:w w:val="115"/>
                        <w:sz w:val="14"/>
                      </w:rPr>
                      <w:t>dimensiones</w:t>
                    </w:r>
                  </w:p>
                  <w:p>
                    <w:pPr>
                      <w:spacing w:before="24"/>
                      <w:ind w:left="1" w:right="1" w:firstLine="0"/>
                      <w:jc w:val="center"/>
                      <w:rPr>
                        <w:b/>
                        <w:sz w:val="14"/>
                      </w:rPr>
                    </w:pPr>
                    <w:r>
                      <w:rPr>
                        <w:b/>
                        <w:w w:val="115"/>
                        <w:sz w:val="14"/>
                      </w:rPr>
                      <w:t>consideradas</w:t>
                    </w:r>
                    <w:r>
                      <w:rPr>
                        <w:b/>
                        <w:spacing w:val="-19"/>
                        <w:w w:val="115"/>
                        <w:sz w:val="14"/>
                      </w:rPr>
                      <w:t> </w:t>
                    </w:r>
                    <w:r>
                      <w:rPr>
                        <w:b/>
                        <w:w w:val="115"/>
                        <w:sz w:val="14"/>
                      </w:rPr>
                      <w:t>en</w:t>
                    </w:r>
                    <w:r>
                      <w:rPr>
                        <w:b/>
                        <w:spacing w:val="-18"/>
                        <w:w w:val="115"/>
                        <w:sz w:val="14"/>
                      </w:rPr>
                      <w:t> </w:t>
                    </w:r>
                    <w:r>
                      <w:rPr>
                        <w:b/>
                        <w:w w:val="115"/>
                        <w:sz w:val="14"/>
                      </w:rPr>
                      <w:t>el</w:t>
                    </w:r>
                    <w:r>
                      <w:rPr>
                        <w:b/>
                        <w:spacing w:val="-23"/>
                        <w:w w:val="115"/>
                        <w:sz w:val="14"/>
                      </w:rPr>
                      <w:t> </w:t>
                    </w:r>
                    <w:r>
                      <w:rPr>
                        <w:b/>
                        <w:w w:val="115"/>
                        <w:sz w:val="14"/>
                      </w:rPr>
                      <w:t>ITDHE</w:t>
                    </w:r>
                    <w:r>
                      <w:rPr>
                        <w:b/>
                        <w:spacing w:val="-17"/>
                        <w:w w:val="115"/>
                        <w:sz w:val="14"/>
                      </w:rPr>
                      <w:t> </w:t>
                    </w:r>
                    <w:r>
                      <w:rPr>
                        <w:b/>
                        <w:w w:val="115"/>
                        <w:sz w:val="14"/>
                      </w:rPr>
                      <w:t>del</w:t>
                    </w:r>
                    <w:r>
                      <w:rPr>
                        <w:b/>
                        <w:spacing w:val="-23"/>
                        <w:w w:val="115"/>
                        <w:sz w:val="14"/>
                      </w:rPr>
                      <w:t> </w:t>
                    </w:r>
                    <w:r>
                      <w:rPr>
                        <w:b/>
                        <w:w w:val="115"/>
                        <w:sz w:val="14"/>
                      </w:rPr>
                      <w:t>año</w:t>
                    </w:r>
                    <w:r>
                      <w:rPr>
                        <w:b/>
                        <w:spacing w:val="-18"/>
                        <w:w w:val="115"/>
                        <w:sz w:val="14"/>
                      </w:rPr>
                      <w:t> </w:t>
                    </w:r>
                    <w:r>
                      <w:rPr>
                        <w:b/>
                        <w:w w:val="115"/>
                        <w:sz w:val="14"/>
                      </w:rPr>
                      <w:t>2000</w:t>
                    </w:r>
                    <w:r>
                      <w:rPr>
                        <w:b/>
                        <w:spacing w:val="-19"/>
                        <w:w w:val="115"/>
                        <w:sz w:val="14"/>
                      </w:rPr>
                      <w:t> </w:t>
                    </w:r>
                    <w:r>
                      <w:rPr>
                        <w:b/>
                        <w:w w:val="115"/>
                        <w:sz w:val="14"/>
                      </w:rPr>
                      <w:t>incluyendo</w:t>
                    </w:r>
                    <w:r>
                      <w:rPr>
                        <w:b/>
                        <w:spacing w:val="-18"/>
                        <w:w w:val="115"/>
                        <w:sz w:val="14"/>
                      </w:rPr>
                      <w:t> </w:t>
                    </w:r>
                    <w:r>
                      <w:rPr>
                        <w:b/>
                        <w:w w:val="115"/>
                        <w:sz w:val="14"/>
                      </w:rPr>
                      <w:t>el</w:t>
                    </w:r>
                    <w:r>
                      <w:rPr>
                        <w:b/>
                        <w:spacing w:val="-23"/>
                        <w:w w:val="115"/>
                        <w:sz w:val="14"/>
                      </w:rPr>
                      <w:t> </w:t>
                    </w:r>
                    <w:r>
                      <w:rPr>
                        <w:b/>
                        <w:w w:val="115"/>
                        <w:sz w:val="14"/>
                      </w:rPr>
                      <w:t>impacto</w:t>
                    </w:r>
                    <w:r>
                      <w:rPr>
                        <w:b/>
                        <w:spacing w:val="-18"/>
                        <w:w w:val="115"/>
                        <w:sz w:val="14"/>
                      </w:rPr>
                      <w:t> </w:t>
                    </w:r>
                    <w:r>
                      <w:rPr>
                        <w:b/>
                        <w:w w:val="115"/>
                        <w:sz w:val="14"/>
                      </w:rPr>
                      <w:t>ambiental</w:t>
                    </w:r>
                  </w:p>
                  <w:p>
                    <w:pPr>
                      <w:spacing w:line="114" w:lineRule="exact" w:before="114"/>
                      <w:ind w:left="370" w:right="307" w:firstLine="0"/>
                      <w:jc w:val="center"/>
                      <w:rPr>
                        <w:sz w:val="10"/>
                      </w:rPr>
                    </w:pPr>
                    <w:r>
                      <w:rPr>
                        <w:w w:val="120"/>
                        <w:sz w:val="10"/>
                      </w:rPr>
                      <w:t>Desarrollo económico</w:t>
                    </w:r>
                  </w:p>
                  <w:p>
                    <w:pPr>
                      <w:spacing w:line="135" w:lineRule="exact" w:before="0"/>
                      <w:ind w:left="0" w:right="166" w:firstLine="0"/>
                      <w:jc w:val="center"/>
                      <w:rPr>
                        <w:sz w:val="12"/>
                      </w:rPr>
                    </w:pPr>
                    <w:r>
                      <w:rPr>
                        <w:w w:val="114"/>
                        <w:sz w:val="12"/>
                      </w:rPr>
                      <w:t>1</w:t>
                    </w:r>
                  </w:p>
                </w:txbxContent>
              </v:textbox>
              <w10:wrap type="none"/>
            </v:shape>
            <v:shape style="position:absolute;left:4079;top:1093;width:999;height:106" type="#_x0000_t202" filled="false" stroked="false">
              <v:textbox inset="0,0,0,0">
                <w:txbxContent>
                  <w:p>
                    <w:pPr>
                      <w:spacing w:line="106" w:lineRule="exact" w:before="0"/>
                      <w:ind w:left="0" w:right="-2" w:firstLine="0"/>
                      <w:jc w:val="left"/>
                      <w:rPr>
                        <w:sz w:val="10"/>
                      </w:rPr>
                    </w:pPr>
                    <w:r>
                      <w:rPr>
                        <w:w w:val="120"/>
                        <w:sz w:val="10"/>
                      </w:rPr>
                      <w:t>Impacto ambiental</w:t>
                    </w:r>
                  </w:p>
                </w:txbxContent>
              </v:textbox>
              <w10:wrap type="none"/>
            </v:shape>
            <v:shape style="position:absolute;left:5704;top:1123;width:195;height:124" type="#_x0000_t202" filled="false" stroked="false">
              <v:textbox inset="0,0,0,0">
                <w:txbxContent>
                  <w:p>
                    <w:pPr>
                      <w:spacing w:line="123" w:lineRule="exact" w:before="0"/>
                      <w:ind w:left="0" w:right="-17" w:firstLine="0"/>
                      <w:jc w:val="left"/>
                      <w:rPr>
                        <w:sz w:val="12"/>
                      </w:rPr>
                    </w:pPr>
                    <w:r>
                      <w:rPr>
                        <w:w w:val="115"/>
                        <w:sz w:val="12"/>
                      </w:rPr>
                      <w:t>0,5</w:t>
                    </w:r>
                  </w:p>
                </w:txbxContent>
              </v:textbox>
              <w10:wrap type="none"/>
            </v:shape>
            <v:shape style="position:absolute;left:6876;top:1093;width:1048;height:106" type="#_x0000_t202" filled="false" stroked="false">
              <v:textbox inset="0,0,0,0">
                <w:txbxContent>
                  <w:p>
                    <w:pPr>
                      <w:spacing w:line="106" w:lineRule="exact" w:before="0"/>
                      <w:ind w:left="0" w:right="0" w:firstLine="0"/>
                      <w:jc w:val="left"/>
                      <w:rPr>
                        <w:sz w:val="10"/>
                      </w:rPr>
                    </w:pPr>
                    <w:r>
                      <w:rPr>
                        <w:w w:val="120"/>
                        <w:sz w:val="10"/>
                      </w:rPr>
                      <w:t>Consumo personal</w:t>
                    </w:r>
                  </w:p>
                </w:txbxContent>
              </v:textbox>
              <w10:wrap type="none"/>
            </v:shape>
            <v:shape style="position:absolute;left:5655;top:1423;width:245;height:423" type="#_x0000_t202" filled="false" stroked="false">
              <v:textbox inset="0,0,0,0">
                <w:txbxContent>
                  <w:p>
                    <w:pPr>
                      <w:spacing w:line="125" w:lineRule="exact" w:before="0"/>
                      <w:ind w:left="0" w:right="0" w:firstLine="0"/>
                      <w:jc w:val="right"/>
                      <w:rPr>
                        <w:sz w:val="12"/>
                      </w:rPr>
                    </w:pPr>
                    <w:r>
                      <w:rPr>
                        <w:w w:val="114"/>
                        <w:sz w:val="12"/>
                      </w:rPr>
                      <w:t>0</w:t>
                    </w:r>
                  </w:p>
                  <w:p>
                    <w:pPr>
                      <w:spacing w:line="240" w:lineRule="auto" w:before="0"/>
                      <w:rPr>
                        <w:b/>
                        <w:sz w:val="14"/>
                      </w:rPr>
                    </w:pPr>
                  </w:p>
                  <w:p>
                    <w:pPr>
                      <w:spacing w:line="136" w:lineRule="exact" w:before="0"/>
                      <w:ind w:left="0" w:right="0" w:firstLine="0"/>
                      <w:jc w:val="right"/>
                      <w:rPr>
                        <w:sz w:val="12"/>
                      </w:rPr>
                    </w:pPr>
                    <w:r>
                      <w:rPr>
                        <w:w w:val="115"/>
                        <w:sz w:val="12"/>
                      </w:rPr>
                      <w:t>-0,5</w:t>
                    </w:r>
                  </w:p>
                </w:txbxContent>
              </v:textbox>
              <w10:wrap type="none"/>
            </v:shape>
            <v:shape style="position:absolute;left:3498;top:1807;width:1107;height:106" type="#_x0000_t202" filled="false" stroked="false">
              <v:textbox inset="0,0,0,0">
                <w:txbxContent>
                  <w:p>
                    <w:pPr>
                      <w:spacing w:line="106" w:lineRule="exact" w:before="0"/>
                      <w:ind w:left="0" w:right="-14" w:firstLine="0"/>
                      <w:jc w:val="left"/>
                      <w:rPr>
                        <w:sz w:val="10"/>
                      </w:rPr>
                    </w:pPr>
                    <w:r>
                      <w:rPr>
                        <w:w w:val="120"/>
                        <w:sz w:val="10"/>
                      </w:rPr>
                      <w:t>Participación política</w:t>
                    </w:r>
                  </w:p>
                </w:txbxContent>
              </v:textbox>
              <w10:wrap type="none"/>
            </v:shape>
            <v:shape style="position:absolute;left:7349;top:1807;width:1019;height:106" type="#_x0000_t202" filled="false" stroked="false">
              <v:textbox inset="0,0,0,0">
                <w:txbxContent>
                  <w:p>
                    <w:pPr>
                      <w:spacing w:line="106" w:lineRule="exact" w:before="0"/>
                      <w:ind w:left="0" w:right="-15" w:firstLine="0"/>
                      <w:jc w:val="left"/>
                      <w:rPr>
                        <w:sz w:val="10"/>
                      </w:rPr>
                    </w:pPr>
                    <w:r>
                      <w:rPr>
                        <w:w w:val="120"/>
                        <w:sz w:val="10"/>
                      </w:rPr>
                      <w:t>Nivel de educación</w:t>
                    </w:r>
                  </w:p>
                </w:txbxContent>
              </v:textbox>
              <w10:wrap type="none"/>
            </v:shape>
            <v:shape style="position:absolute;left:5773;top:2022;width:130;height:124" type="#_x0000_t202" filled="false" stroked="false">
              <v:textbox inset="0,0,0,0">
                <w:txbxContent>
                  <w:p>
                    <w:pPr>
                      <w:spacing w:line="123" w:lineRule="exact" w:before="0"/>
                      <w:ind w:left="0" w:right="-13" w:firstLine="0"/>
                      <w:jc w:val="left"/>
                      <w:rPr>
                        <w:sz w:val="12"/>
                      </w:rPr>
                    </w:pPr>
                    <w:r>
                      <w:rPr>
                        <w:w w:val="115"/>
                        <w:sz w:val="12"/>
                      </w:rPr>
                      <w:t>-1</w:t>
                    </w:r>
                  </w:p>
                </w:txbxContent>
              </v:textbox>
              <w10:wrap type="none"/>
            </v:shape>
            <v:shape style="position:absolute;left:3587;top:2644;width:1176;height:106" type="#_x0000_t202" filled="false" stroked="false">
              <v:textbox inset="0,0,0,0">
                <w:txbxContent>
                  <w:p>
                    <w:pPr>
                      <w:spacing w:line="106" w:lineRule="exact" w:before="0"/>
                      <w:ind w:left="0" w:right="-19" w:firstLine="0"/>
                      <w:jc w:val="left"/>
                      <w:rPr>
                        <w:sz w:val="10"/>
                      </w:rPr>
                    </w:pPr>
                    <w:r>
                      <w:rPr>
                        <w:w w:val="120"/>
                        <w:sz w:val="10"/>
                      </w:rPr>
                      <w:t>Calidad de la vivienda</w:t>
                    </w:r>
                  </w:p>
                </w:txbxContent>
              </v:textbox>
              <w10:wrap type="none"/>
            </v:shape>
            <v:shape style="position:absolute;left:7191;top:2644;width:1736;height:106" type="#_x0000_t202" filled="false" stroked="false">
              <v:textbox inset="0,0,0,0">
                <w:txbxContent>
                  <w:p>
                    <w:pPr>
                      <w:spacing w:line="106" w:lineRule="exact" w:before="0"/>
                      <w:ind w:left="0" w:right="0" w:firstLine="0"/>
                      <w:jc w:val="left"/>
                      <w:rPr>
                        <w:sz w:val="10"/>
                      </w:rPr>
                    </w:pPr>
                    <w:r>
                      <w:rPr>
                        <w:w w:val="120"/>
                        <w:sz w:val="10"/>
                      </w:rPr>
                      <w:t>Estado de salud de la población</w:t>
                    </w:r>
                  </w:p>
                </w:txbxContent>
              </v:textbox>
              <w10:wrap type="none"/>
            </v:shape>
            <v:shape style="position:absolute;left:4424;top:3182;width:1058;height:106" type="#_x0000_t202" filled="false" stroked="false">
              <v:textbox inset="0,0,0,0">
                <w:txbxContent>
                  <w:p>
                    <w:pPr>
                      <w:spacing w:line="106" w:lineRule="exact" w:before="0"/>
                      <w:ind w:left="0" w:right="-11" w:firstLine="0"/>
                      <w:jc w:val="left"/>
                      <w:rPr>
                        <w:sz w:val="10"/>
                      </w:rPr>
                    </w:pPr>
                    <w:r>
                      <w:rPr>
                        <w:w w:val="120"/>
                        <w:sz w:val="10"/>
                      </w:rPr>
                      <w:t>Acceso a la</w:t>
                    </w:r>
                    <w:r>
                      <w:rPr>
                        <w:spacing w:val="-12"/>
                        <w:w w:val="120"/>
                        <w:sz w:val="10"/>
                      </w:rPr>
                      <w:t> </w:t>
                    </w:r>
                    <w:r>
                      <w:rPr>
                        <w:w w:val="120"/>
                        <w:sz w:val="10"/>
                      </w:rPr>
                      <w:t>energía</w:t>
                    </w:r>
                  </w:p>
                </w:txbxContent>
              </v:textbox>
              <w10:wrap type="none"/>
            </v:shape>
            <v:shape style="position:absolute;left:6472;top:3182;width:1454;height:106" type="#_x0000_t202" filled="false" stroked="false">
              <v:textbox inset="0,0,0,0">
                <w:txbxContent>
                  <w:p>
                    <w:pPr>
                      <w:spacing w:line="106" w:lineRule="exact" w:before="0"/>
                      <w:ind w:left="0" w:right="0" w:firstLine="0"/>
                      <w:jc w:val="left"/>
                      <w:rPr>
                        <w:sz w:val="10"/>
                      </w:rPr>
                    </w:pPr>
                    <w:r>
                      <w:rPr>
                        <w:w w:val="120"/>
                        <w:sz w:val="10"/>
                      </w:rPr>
                      <w:t>Acceso a servicios básicos</w:t>
                    </w:r>
                  </w:p>
                </w:txbxContent>
              </v:textbox>
              <w10:wrap type="none"/>
            </v:shape>
            <w10:wrap type="topAndBottom"/>
          </v:group>
        </w:pict>
      </w:r>
    </w:p>
    <w:p>
      <w:pPr>
        <w:pStyle w:val="BodyText"/>
        <w:rPr>
          <w:b/>
        </w:rPr>
      </w:pPr>
    </w:p>
    <w:p>
      <w:pPr>
        <w:pStyle w:val="BodyText"/>
        <w:spacing w:line="480" w:lineRule="auto" w:before="130"/>
        <w:ind w:left="102" w:right="112" w:firstLine="707"/>
        <w:jc w:val="both"/>
      </w:pPr>
      <w:r>
        <w:rPr/>
        <w:t>En la participación política se mantiene Occidente siendo la región con un mayor porcentaje de votantes en las elecciones, pero las provincias centrales que para el estudio del</w:t>
      </w:r>
      <w:r>
        <w:rPr>
          <w:spacing w:val="-16"/>
        </w:rPr>
        <w:t> </w:t>
      </w:r>
      <w:r>
        <w:rPr/>
        <w:t>2000</w:t>
      </w:r>
      <w:r>
        <w:rPr>
          <w:spacing w:val="-15"/>
        </w:rPr>
        <w:t> </w:t>
      </w:r>
      <w:r>
        <w:rPr/>
        <w:t>seguían</w:t>
      </w:r>
      <w:r>
        <w:rPr>
          <w:spacing w:val="-15"/>
        </w:rPr>
        <w:t> </w:t>
      </w:r>
      <w:r>
        <w:rPr/>
        <w:t>a</w:t>
      </w:r>
      <w:r>
        <w:rPr>
          <w:spacing w:val="-15"/>
        </w:rPr>
        <w:t> </w:t>
      </w:r>
      <w:r>
        <w:rPr/>
        <w:t>los</w:t>
      </w:r>
      <w:r>
        <w:rPr>
          <w:spacing w:val="-15"/>
        </w:rPr>
        <w:t> </w:t>
      </w:r>
      <w:r>
        <w:rPr/>
        <w:t>territorios</w:t>
      </w:r>
      <w:r>
        <w:rPr>
          <w:spacing w:val="-15"/>
        </w:rPr>
        <w:t> </w:t>
      </w:r>
      <w:r>
        <w:rPr/>
        <w:t>con</w:t>
      </w:r>
      <w:r>
        <w:rPr>
          <w:spacing w:val="-18"/>
        </w:rPr>
        <w:t> </w:t>
      </w:r>
      <w:r>
        <w:rPr/>
        <w:t>mejores</w:t>
      </w:r>
      <w:r>
        <w:rPr>
          <w:spacing w:val="-17"/>
        </w:rPr>
        <w:t> </w:t>
      </w:r>
      <w:r>
        <w:rPr/>
        <w:t>valores,</w:t>
      </w:r>
      <w:r>
        <w:rPr>
          <w:spacing w:val="-16"/>
        </w:rPr>
        <w:t> </w:t>
      </w:r>
      <w:r>
        <w:rPr/>
        <w:t>en</w:t>
      </w:r>
      <w:r>
        <w:rPr>
          <w:spacing w:val="-15"/>
        </w:rPr>
        <w:t> </w:t>
      </w:r>
      <w:r>
        <w:rPr/>
        <w:t>el</w:t>
      </w:r>
      <w:r>
        <w:rPr>
          <w:spacing w:val="-16"/>
        </w:rPr>
        <w:t> </w:t>
      </w:r>
      <w:r>
        <w:rPr/>
        <w:t>2008</w:t>
      </w:r>
      <w:r>
        <w:rPr>
          <w:spacing w:val="-18"/>
        </w:rPr>
        <w:t> </w:t>
      </w:r>
      <w:r>
        <w:rPr/>
        <w:t>se</w:t>
      </w:r>
      <w:r>
        <w:rPr>
          <w:spacing w:val="-15"/>
        </w:rPr>
        <w:t> </w:t>
      </w:r>
      <w:r>
        <w:rPr/>
        <w:t>observó</w:t>
      </w:r>
      <w:r>
        <w:rPr>
          <w:spacing w:val="-15"/>
        </w:rPr>
        <w:t> </w:t>
      </w:r>
      <w:r>
        <w:rPr/>
        <w:t>una</w:t>
      </w:r>
      <w:r>
        <w:rPr>
          <w:spacing w:val="-15"/>
        </w:rPr>
        <w:t> </w:t>
      </w:r>
      <w:r>
        <w:rPr/>
        <w:t>disminución de la participación en los comicios, llegando a ubicarse en la tercera</w:t>
      </w:r>
      <w:r>
        <w:rPr>
          <w:spacing w:val="-21"/>
        </w:rPr>
        <w:t> </w:t>
      </w:r>
      <w:r>
        <w:rPr/>
        <w:t>posición.</w:t>
      </w:r>
    </w:p>
    <w:p>
      <w:pPr>
        <w:pStyle w:val="BodyText"/>
        <w:spacing w:line="480" w:lineRule="auto" w:before="127"/>
        <w:ind w:left="102" w:right="111" w:firstLine="707"/>
        <w:jc w:val="both"/>
      </w:pPr>
      <w:r>
        <w:rPr/>
        <w:t>La</w:t>
      </w:r>
      <w:r>
        <w:rPr>
          <w:spacing w:val="-8"/>
        </w:rPr>
        <w:t> </w:t>
      </w:r>
      <w:r>
        <w:rPr/>
        <w:t>dimensión</w:t>
      </w:r>
      <w:r>
        <w:rPr>
          <w:spacing w:val="-10"/>
        </w:rPr>
        <w:t> </w:t>
      </w:r>
      <w:r>
        <w:rPr/>
        <w:t>asociada</w:t>
      </w:r>
      <w:r>
        <w:rPr>
          <w:spacing w:val="-10"/>
        </w:rPr>
        <w:t> </w:t>
      </w:r>
      <w:r>
        <w:rPr/>
        <w:t>a</w:t>
      </w:r>
      <w:r>
        <w:rPr>
          <w:spacing w:val="-10"/>
        </w:rPr>
        <w:t> </w:t>
      </w:r>
      <w:r>
        <w:rPr/>
        <w:t>la</w:t>
      </w:r>
      <w:r>
        <w:rPr>
          <w:spacing w:val="-10"/>
        </w:rPr>
        <w:t> </w:t>
      </w:r>
      <w:r>
        <w:rPr/>
        <w:t>vivienda,</w:t>
      </w:r>
      <w:r>
        <w:rPr>
          <w:spacing w:val="-7"/>
        </w:rPr>
        <w:t> </w:t>
      </w:r>
      <w:r>
        <w:rPr/>
        <w:t>no</w:t>
      </w:r>
      <w:r>
        <w:rPr>
          <w:spacing w:val="-10"/>
        </w:rPr>
        <w:t> </w:t>
      </w:r>
      <w:r>
        <w:rPr/>
        <w:t>puede</w:t>
      </w:r>
      <w:r>
        <w:rPr>
          <w:spacing w:val="-10"/>
        </w:rPr>
        <w:t> </w:t>
      </w:r>
      <w:r>
        <w:rPr/>
        <w:t>ser</w:t>
      </w:r>
      <w:r>
        <w:rPr>
          <w:spacing w:val="-9"/>
        </w:rPr>
        <w:t> </w:t>
      </w:r>
      <w:r>
        <w:rPr/>
        <w:t>comparada</w:t>
      </w:r>
      <w:r>
        <w:rPr>
          <w:spacing w:val="-10"/>
        </w:rPr>
        <w:t> </w:t>
      </w:r>
      <w:r>
        <w:rPr/>
        <w:t>en</w:t>
      </w:r>
      <w:r>
        <w:rPr>
          <w:spacing w:val="-10"/>
        </w:rPr>
        <w:t> </w:t>
      </w:r>
      <w:r>
        <w:rPr/>
        <w:t>este</w:t>
      </w:r>
      <w:r>
        <w:rPr>
          <w:spacing w:val="-12"/>
        </w:rPr>
        <w:t> </w:t>
      </w:r>
      <w:r>
        <w:rPr/>
        <w:t>caso,</w:t>
      </w:r>
      <w:r>
        <w:rPr>
          <w:spacing w:val="-9"/>
        </w:rPr>
        <w:t> </w:t>
      </w:r>
      <w:r>
        <w:rPr/>
        <w:t>pues</w:t>
      </w:r>
      <w:r>
        <w:rPr>
          <w:spacing w:val="-10"/>
        </w:rPr>
        <w:t> </w:t>
      </w:r>
      <w:r>
        <w:rPr/>
        <w:t>los indicadores trazadores incorporados en ambas metodologías son esencialmente diferentes. Mientras</w:t>
      </w:r>
      <w:r>
        <w:rPr>
          <w:spacing w:val="-12"/>
        </w:rPr>
        <w:t> </w:t>
      </w:r>
      <w:r>
        <w:rPr/>
        <w:t>que</w:t>
      </w:r>
      <w:r>
        <w:rPr>
          <w:spacing w:val="-10"/>
        </w:rPr>
        <w:t> </w:t>
      </w:r>
      <w:r>
        <w:rPr/>
        <w:t>en</w:t>
      </w:r>
      <w:r>
        <w:rPr>
          <w:spacing w:val="-13"/>
        </w:rPr>
        <w:t> </w:t>
      </w:r>
      <w:r>
        <w:rPr/>
        <w:t>la</w:t>
      </w:r>
      <w:r>
        <w:rPr>
          <w:spacing w:val="-10"/>
        </w:rPr>
        <w:t> </w:t>
      </w:r>
      <w:r>
        <w:rPr/>
        <w:t>investigación</w:t>
      </w:r>
      <w:r>
        <w:rPr>
          <w:spacing w:val="-10"/>
        </w:rPr>
        <w:t> </w:t>
      </w:r>
      <w:r>
        <w:rPr/>
        <w:t>del</w:t>
      </w:r>
      <w:r>
        <w:rPr>
          <w:spacing w:val="-11"/>
        </w:rPr>
        <w:t> </w:t>
      </w:r>
      <w:r>
        <w:rPr/>
        <w:t>2000,</w:t>
      </w:r>
      <w:r>
        <w:rPr>
          <w:spacing w:val="-11"/>
        </w:rPr>
        <w:t> </w:t>
      </w:r>
      <w:r>
        <w:rPr/>
        <w:t>el</w:t>
      </w:r>
      <w:r>
        <w:rPr>
          <w:spacing w:val="-9"/>
        </w:rPr>
        <w:t> </w:t>
      </w:r>
      <w:r>
        <w:rPr>
          <w:i/>
        </w:rPr>
        <w:t>porcentaje</w:t>
      </w:r>
      <w:r>
        <w:rPr>
          <w:i/>
          <w:spacing w:val="-10"/>
        </w:rPr>
        <w:t> </w:t>
      </w:r>
      <w:r>
        <w:rPr>
          <w:i/>
        </w:rPr>
        <w:t>de</w:t>
      </w:r>
      <w:r>
        <w:rPr>
          <w:i/>
          <w:spacing w:val="-10"/>
        </w:rPr>
        <w:t> </w:t>
      </w:r>
      <w:r>
        <w:rPr>
          <w:i/>
        </w:rPr>
        <w:t>viviendas</w:t>
      </w:r>
      <w:r>
        <w:rPr>
          <w:i/>
          <w:spacing w:val="-10"/>
        </w:rPr>
        <w:t> </w:t>
      </w:r>
      <w:r>
        <w:rPr>
          <w:i/>
        </w:rPr>
        <w:t>en</w:t>
      </w:r>
      <w:r>
        <w:rPr>
          <w:i/>
          <w:spacing w:val="-13"/>
        </w:rPr>
        <w:t> </w:t>
      </w:r>
      <w:r>
        <w:rPr>
          <w:i/>
        </w:rPr>
        <w:t>buen</w:t>
      </w:r>
      <w:r>
        <w:rPr>
          <w:i/>
          <w:spacing w:val="-10"/>
        </w:rPr>
        <w:t> </w:t>
      </w:r>
      <w:r>
        <w:rPr>
          <w:i/>
        </w:rPr>
        <w:t>estado</w:t>
      </w:r>
      <w:r>
        <w:rPr>
          <w:i/>
          <w:spacing w:val="-11"/>
        </w:rPr>
        <w:t> </w:t>
      </w:r>
      <w:r>
        <w:rPr/>
        <w:t>prioriza el</w:t>
      </w:r>
      <w:r>
        <w:rPr>
          <w:spacing w:val="-5"/>
        </w:rPr>
        <w:t> </w:t>
      </w:r>
      <w:r>
        <w:rPr/>
        <w:t>componente</w:t>
      </w:r>
      <w:r>
        <w:rPr>
          <w:spacing w:val="-4"/>
        </w:rPr>
        <w:t> </w:t>
      </w:r>
      <w:r>
        <w:rPr/>
        <w:t>cualitativo;</w:t>
      </w:r>
      <w:r>
        <w:rPr>
          <w:spacing w:val="-3"/>
        </w:rPr>
        <w:t> </w:t>
      </w:r>
      <w:r>
        <w:rPr/>
        <w:t>en</w:t>
      </w:r>
      <w:r>
        <w:rPr>
          <w:spacing w:val="-7"/>
        </w:rPr>
        <w:t> </w:t>
      </w:r>
      <w:r>
        <w:rPr/>
        <w:t>nuestra</w:t>
      </w:r>
      <w:r>
        <w:rPr>
          <w:spacing w:val="-6"/>
        </w:rPr>
        <w:t> </w:t>
      </w:r>
      <w:r>
        <w:rPr/>
        <w:t>propuesta</w:t>
      </w:r>
      <w:r>
        <w:rPr>
          <w:spacing w:val="-5"/>
        </w:rPr>
        <w:t> </w:t>
      </w:r>
      <w:r>
        <w:rPr/>
        <w:t>se</w:t>
      </w:r>
      <w:r>
        <w:rPr>
          <w:spacing w:val="-4"/>
        </w:rPr>
        <w:t> </w:t>
      </w:r>
      <w:r>
        <w:rPr/>
        <w:t>prioriza</w:t>
      </w:r>
      <w:r>
        <w:rPr>
          <w:spacing w:val="-4"/>
        </w:rPr>
        <w:t> </w:t>
      </w:r>
      <w:r>
        <w:rPr/>
        <w:t>el</w:t>
      </w:r>
      <w:r>
        <w:rPr>
          <w:spacing w:val="-7"/>
        </w:rPr>
        <w:t> </w:t>
      </w:r>
      <w:r>
        <w:rPr/>
        <w:t>factor</w:t>
      </w:r>
      <w:r>
        <w:rPr>
          <w:spacing w:val="-3"/>
        </w:rPr>
        <w:t> </w:t>
      </w:r>
      <w:r>
        <w:rPr/>
        <w:t>cuantitativo</w:t>
      </w:r>
      <w:r>
        <w:rPr>
          <w:spacing w:val="-4"/>
        </w:rPr>
        <w:t> </w:t>
      </w:r>
      <w:r>
        <w:rPr/>
        <w:t>al</w:t>
      </w:r>
      <w:r>
        <w:rPr>
          <w:spacing w:val="-5"/>
        </w:rPr>
        <w:t> </w:t>
      </w:r>
      <w:r>
        <w:rPr/>
        <w:t>basarnos en el </w:t>
      </w:r>
      <w:r>
        <w:rPr>
          <w:i/>
        </w:rPr>
        <w:t>porcentaje de hogares nucleares</w:t>
      </w:r>
      <w:r>
        <w:rPr/>
        <w:t>. No obstante, se puede destacar que en el 2000 la región Oriental contaba solo con el 48,64% de viviendas en buen estado, lo cual representa una situación crítica para su fondo</w:t>
      </w:r>
      <w:r>
        <w:rPr>
          <w:spacing w:val="-12"/>
        </w:rPr>
        <w:t> </w:t>
      </w:r>
      <w:r>
        <w:rPr/>
        <w:t>habitacional.</w:t>
      </w:r>
    </w:p>
    <w:p>
      <w:pPr>
        <w:spacing w:after="0" w:line="480" w:lineRule="auto"/>
        <w:jc w:val="both"/>
        <w:sectPr>
          <w:pgSz w:w="11910" w:h="16840"/>
          <w:pgMar w:header="0" w:footer="768" w:top="1580" w:bottom="960" w:left="1600" w:right="1140"/>
        </w:sectPr>
      </w:pPr>
    </w:p>
    <w:p>
      <w:pPr>
        <w:pStyle w:val="BodyText"/>
        <w:spacing w:line="480" w:lineRule="auto" w:before="103"/>
        <w:ind w:left="102" w:right="107" w:firstLine="707"/>
        <w:jc w:val="both"/>
      </w:pPr>
      <w:r>
        <w:rPr/>
        <w:t>Finalmente, resulta interesante la incorporación de la dimensión ambiental en la metodología del ITDHE del 2000. Con esto se han podido constatar los logros de la región Central en este particular, debido en gran medida al éxito que han tenido en esta región la implementación de políticas dentro de la Estrategía Ambiental Nacional. La región Occidental, en cambio, continúa siendo el territorio que mayor contaminación por Km</w:t>
      </w:r>
      <w:r>
        <w:rPr>
          <w:position w:val="8"/>
          <w:sz w:val="14"/>
        </w:rPr>
        <w:t>2 </w:t>
      </w:r>
      <w:r>
        <w:rPr/>
        <w:t>presenta.</w:t>
      </w:r>
    </w:p>
    <w:p>
      <w:pPr>
        <w:pStyle w:val="Heading2"/>
        <w:spacing w:before="125"/>
      </w:pPr>
      <w:r>
        <w:rPr/>
        <w:t>Conclusiones</w:t>
      </w:r>
    </w:p>
    <w:p>
      <w:pPr>
        <w:pStyle w:val="BodyText"/>
        <w:spacing w:before="6"/>
        <w:rPr>
          <w:b/>
          <w:sz w:val="32"/>
        </w:rPr>
      </w:pPr>
    </w:p>
    <w:p>
      <w:pPr>
        <w:pStyle w:val="BodyText"/>
        <w:spacing w:line="480" w:lineRule="auto"/>
        <w:ind w:left="102" w:right="272" w:firstLine="707"/>
        <w:jc w:val="both"/>
      </w:pPr>
      <w:r>
        <w:rPr/>
        <w:t>En Cuba las políticas de planificación y el ordenamiento territorial han seguido un enfoque de desarrollo sutentable, que han contribuido a elevar la calidad de vida de la población en general.</w:t>
      </w:r>
    </w:p>
    <w:p>
      <w:pPr>
        <w:pStyle w:val="BodyText"/>
        <w:spacing w:line="480" w:lineRule="auto" w:before="127"/>
        <w:ind w:left="102" w:right="273" w:firstLine="707"/>
        <w:jc w:val="both"/>
      </w:pPr>
      <w:r>
        <w:rPr/>
        <w:t>Para una mejor aplicación de políticas de desarrollo sustentable, la Asamblea Municipal del Poder Popular debe contar con mayor autonomía. Es necesario que dicha autonomía quede refrendada en una ley que regule la actividad del municipio.</w:t>
      </w:r>
    </w:p>
    <w:p>
      <w:pPr>
        <w:pStyle w:val="BodyText"/>
        <w:spacing w:line="480" w:lineRule="auto" w:before="125"/>
        <w:ind w:left="102" w:right="275" w:firstLine="707"/>
        <w:jc w:val="both"/>
      </w:pPr>
      <w:r>
        <w:rPr/>
        <w:t>Para medir con mayor efectividad las desigualdades territoriales, concibiendo el desarrollo desde la sustentabilidad, es imprescindible que el índice territorial de desarrollo humano y equidad incorpore la dimensión ambiental.</w:t>
      </w:r>
    </w:p>
    <w:p>
      <w:pPr>
        <w:pStyle w:val="BodyText"/>
        <w:spacing w:line="480" w:lineRule="auto" w:before="127"/>
        <w:ind w:left="102" w:right="272" w:firstLine="707"/>
        <w:jc w:val="both"/>
      </w:pPr>
      <w:r>
        <w:rPr/>
        <w:t>La</w:t>
      </w:r>
      <w:r>
        <w:rPr>
          <w:spacing w:val="-6"/>
        </w:rPr>
        <w:t> </w:t>
      </w:r>
      <w:r>
        <w:rPr/>
        <w:t>aplicación</w:t>
      </w:r>
      <w:r>
        <w:rPr>
          <w:spacing w:val="-6"/>
        </w:rPr>
        <w:t> </w:t>
      </w:r>
      <w:r>
        <w:rPr/>
        <w:t>del</w:t>
      </w:r>
      <w:r>
        <w:rPr>
          <w:spacing w:val="-6"/>
        </w:rPr>
        <w:t> </w:t>
      </w:r>
      <w:r>
        <w:rPr/>
        <w:t>ITDHE</w:t>
      </w:r>
      <w:r>
        <w:rPr>
          <w:spacing w:val="-8"/>
        </w:rPr>
        <w:t> </w:t>
      </w:r>
      <w:r>
        <w:rPr/>
        <w:t>(modificado)</w:t>
      </w:r>
      <w:r>
        <w:rPr>
          <w:spacing w:val="-4"/>
        </w:rPr>
        <w:t> </w:t>
      </w:r>
      <w:r>
        <w:rPr/>
        <w:t>para</w:t>
      </w:r>
      <w:r>
        <w:rPr>
          <w:spacing w:val="-8"/>
        </w:rPr>
        <w:t> </w:t>
      </w:r>
      <w:r>
        <w:rPr/>
        <w:t>el</w:t>
      </w:r>
      <w:r>
        <w:rPr>
          <w:spacing w:val="-6"/>
        </w:rPr>
        <w:t> </w:t>
      </w:r>
      <w:r>
        <w:rPr/>
        <w:t>2008,</w:t>
      </w:r>
      <w:r>
        <w:rPr>
          <w:spacing w:val="-4"/>
        </w:rPr>
        <w:t> </w:t>
      </w:r>
      <w:r>
        <w:rPr/>
        <w:t>y</w:t>
      </w:r>
      <w:r>
        <w:rPr>
          <w:spacing w:val="-7"/>
        </w:rPr>
        <w:t> </w:t>
      </w:r>
      <w:r>
        <w:rPr/>
        <w:t>su</w:t>
      </w:r>
      <w:r>
        <w:rPr>
          <w:spacing w:val="-5"/>
        </w:rPr>
        <w:t> </w:t>
      </w:r>
      <w:r>
        <w:rPr/>
        <w:t>comparación</w:t>
      </w:r>
      <w:r>
        <w:rPr>
          <w:spacing w:val="-6"/>
        </w:rPr>
        <w:t> </w:t>
      </w:r>
      <w:r>
        <w:rPr/>
        <w:t>con</w:t>
      </w:r>
      <w:r>
        <w:rPr>
          <w:spacing w:val="-8"/>
        </w:rPr>
        <w:t> </w:t>
      </w:r>
      <w:r>
        <w:rPr/>
        <w:t>el</w:t>
      </w:r>
      <w:r>
        <w:rPr>
          <w:spacing w:val="-6"/>
        </w:rPr>
        <w:t> </w:t>
      </w:r>
      <w:r>
        <w:rPr/>
        <w:t>ITDHE para el 2000, demuestra que la región Oriental continua siendo la más</w:t>
      </w:r>
      <w:r>
        <w:rPr>
          <w:spacing w:val="-24"/>
        </w:rPr>
        <w:t> </w:t>
      </w:r>
      <w:r>
        <w:rPr/>
        <w:t>deprimida.</w:t>
      </w:r>
    </w:p>
    <w:p>
      <w:pPr>
        <w:spacing w:after="0" w:line="480" w:lineRule="auto"/>
        <w:jc w:val="both"/>
        <w:sectPr>
          <w:pgSz w:w="11910" w:h="16840"/>
          <w:pgMar w:header="0" w:footer="768" w:top="1580" w:bottom="960" w:left="1600" w:right="1140"/>
        </w:sectPr>
      </w:pPr>
    </w:p>
    <w:p>
      <w:pPr>
        <w:pStyle w:val="Heading2"/>
        <w:ind w:left="122" w:right="273"/>
      </w:pPr>
      <w:r>
        <w:rPr/>
        <w:t>Bibliografía</w:t>
      </w:r>
    </w:p>
    <w:p>
      <w:pPr>
        <w:pStyle w:val="BodyText"/>
        <w:spacing w:before="7"/>
        <w:rPr>
          <w:b/>
          <w:sz w:val="32"/>
        </w:rPr>
      </w:pPr>
    </w:p>
    <w:p>
      <w:pPr>
        <w:spacing w:before="1"/>
        <w:ind w:left="122" w:right="273" w:firstLine="0"/>
        <w:jc w:val="left"/>
        <w:rPr>
          <w:i/>
          <w:sz w:val="22"/>
        </w:rPr>
      </w:pPr>
      <w:r>
        <w:rPr>
          <w:i/>
          <w:sz w:val="22"/>
        </w:rPr>
        <w:t>Publicación periódica:</w:t>
      </w:r>
    </w:p>
    <w:p>
      <w:pPr>
        <w:spacing w:line="242" w:lineRule="auto" w:before="116"/>
        <w:ind w:left="830" w:right="275" w:hanging="708"/>
        <w:jc w:val="both"/>
        <w:rPr>
          <w:sz w:val="20"/>
        </w:rPr>
      </w:pPr>
      <w:r>
        <w:rPr>
          <w:sz w:val="20"/>
        </w:rPr>
        <w:t>López, Cándido (2004) </w:t>
      </w:r>
      <w:r>
        <w:rPr>
          <w:i/>
          <w:sz w:val="20"/>
        </w:rPr>
        <w:t>“</w:t>
      </w:r>
      <w:r>
        <w:rPr>
          <w:sz w:val="20"/>
        </w:rPr>
        <w:t>Desarrollo humano territorial en Cuba: Metodología para su evaluación y resultados”. </w:t>
      </w:r>
      <w:r>
        <w:rPr>
          <w:i/>
          <w:sz w:val="20"/>
        </w:rPr>
        <w:t>Economía y Desarrollo, Boletín</w:t>
      </w:r>
      <w:r>
        <w:rPr>
          <w:sz w:val="20"/>
        </w:rPr>
        <w:t>, Edición Especial. Facultad de Economía, Universidad de la Habana, Cuba.</w:t>
      </w:r>
    </w:p>
    <w:p>
      <w:pPr>
        <w:spacing w:before="115"/>
        <w:ind w:left="830" w:right="273" w:hanging="708"/>
        <w:jc w:val="left"/>
        <w:rPr>
          <w:sz w:val="20"/>
        </w:rPr>
      </w:pPr>
      <w:r>
        <w:rPr>
          <w:sz w:val="20"/>
        </w:rPr>
        <w:t>ONE (2008) “Anuario Demográfico de Cuba 2007”, Oficina Nacional de Estadísticas, La Habana, Cuba.</w:t>
      </w:r>
    </w:p>
    <w:p>
      <w:pPr>
        <w:spacing w:before="120"/>
        <w:ind w:left="830" w:right="273" w:hanging="708"/>
        <w:jc w:val="left"/>
        <w:rPr>
          <w:sz w:val="20"/>
        </w:rPr>
      </w:pPr>
      <w:r>
        <w:rPr>
          <w:sz w:val="20"/>
        </w:rPr>
        <w:t>ONE (2008) “Anuario Estadístico de Cuba 2007”, Oficina Nacional de Estadísticas, La Habana, Cuba.</w:t>
      </w:r>
    </w:p>
    <w:p>
      <w:pPr>
        <w:spacing w:before="120"/>
        <w:ind w:left="830" w:right="273" w:hanging="708"/>
        <w:jc w:val="left"/>
        <w:rPr>
          <w:sz w:val="20"/>
        </w:rPr>
      </w:pPr>
      <w:r>
        <w:rPr>
          <w:sz w:val="20"/>
        </w:rPr>
        <w:t>ONE</w:t>
      </w:r>
      <w:r>
        <w:rPr>
          <w:spacing w:val="-12"/>
          <w:sz w:val="20"/>
        </w:rPr>
        <w:t> </w:t>
      </w:r>
      <w:r>
        <w:rPr>
          <w:sz w:val="20"/>
        </w:rPr>
        <w:t>(2009)</w:t>
      </w:r>
      <w:r>
        <w:rPr>
          <w:spacing w:val="-11"/>
          <w:sz w:val="20"/>
        </w:rPr>
        <w:t> </w:t>
      </w:r>
      <w:r>
        <w:rPr>
          <w:sz w:val="20"/>
        </w:rPr>
        <w:t>“Boletín</w:t>
      </w:r>
      <w:r>
        <w:rPr>
          <w:spacing w:val="-10"/>
          <w:sz w:val="20"/>
        </w:rPr>
        <w:t> </w:t>
      </w:r>
      <w:r>
        <w:rPr>
          <w:sz w:val="20"/>
        </w:rPr>
        <w:t>de</w:t>
      </w:r>
      <w:r>
        <w:rPr>
          <w:spacing w:val="-10"/>
          <w:sz w:val="20"/>
        </w:rPr>
        <w:t> </w:t>
      </w:r>
      <w:r>
        <w:rPr>
          <w:sz w:val="20"/>
        </w:rPr>
        <w:t>inicio</w:t>
      </w:r>
      <w:r>
        <w:rPr>
          <w:spacing w:val="-12"/>
          <w:sz w:val="20"/>
        </w:rPr>
        <w:t> </w:t>
      </w:r>
      <w:r>
        <w:rPr>
          <w:sz w:val="20"/>
        </w:rPr>
        <w:t>de</w:t>
      </w:r>
      <w:r>
        <w:rPr>
          <w:spacing w:val="-10"/>
          <w:sz w:val="20"/>
        </w:rPr>
        <w:t> </w:t>
      </w:r>
      <w:r>
        <w:rPr>
          <w:sz w:val="20"/>
        </w:rPr>
        <w:t>curso</w:t>
      </w:r>
      <w:r>
        <w:rPr>
          <w:spacing w:val="-12"/>
          <w:sz w:val="20"/>
        </w:rPr>
        <w:t> </w:t>
      </w:r>
      <w:r>
        <w:rPr>
          <w:sz w:val="20"/>
        </w:rPr>
        <w:t>del</w:t>
      </w:r>
      <w:r>
        <w:rPr>
          <w:spacing w:val="-10"/>
          <w:sz w:val="20"/>
        </w:rPr>
        <w:t> </w:t>
      </w:r>
      <w:r>
        <w:rPr>
          <w:sz w:val="20"/>
        </w:rPr>
        <w:t>2008/2009</w:t>
      </w:r>
      <w:r>
        <w:rPr>
          <w:spacing w:val="-8"/>
          <w:sz w:val="20"/>
        </w:rPr>
        <w:t> </w:t>
      </w:r>
      <w:r>
        <w:rPr>
          <w:sz w:val="20"/>
        </w:rPr>
        <w:t>y</w:t>
      </w:r>
      <w:r>
        <w:rPr>
          <w:spacing w:val="-13"/>
          <w:sz w:val="20"/>
        </w:rPr>
        <w:t> </w:t>
      </w:r>
      <w:r>
        <w:rPr>
          <w:sz w:val="20"/>
        </w:rPr>
        <w:t>resumen</w:t>
      </w:r>
      <w:r>
        <w:rPr>
          <w:spacing w:val="-12"/>
          <w:sz w:val="20"/>
        </w:rPr>
        <w:t> </w:t>
      </w:r>
      <w:r>
        <w:rPr>
          <w:sz w:val="20"/>
        </w:rPr>
        <w:t>curso</w:t>
      </w:r>
      <w:r>
        <w:rPr>
          <w:spacing w:val="-12"/>
          <w:sz w:val="20"/>
        </w:rPr>
        <w:t> </w:t>
      </w:r>
      <w:r>
        <w:rPr>
          <w:sz w:val="20"/>
        </w:rPr>
        <w:t>2007/2008”.</w:t>
      </w:r>
      <w:r>
        <w:rPr>
          <w:spacing w:val="-11"/>
          <w:sz w:val="20"/>
        </w:rPr>
        <w:t> </w:t>
      </w:r>
      <w:r>
        <w:rPr>
          <w:sz w:val="20"/>
        </w:rPr>
        <w:t>Oficina</w:t>
      </w:r>
      <w:r>
        <w:rPr>
          <w:spacing w:val="-12"/>
          <w:sz w:val="20"/>
        </w:rPr>
        <w:t> </w:t>
      </w:r>
      <w:r>
        <w:rPr>
          <w:sz w:val="20"/>
        </w:rPr>
        <w:t>Nacional de Estadísticas, La Habana,</w:t>
      </w:r>
      <w:r>
        <w:rPr>
          <w:spacing w:val="-10"/>
          <w:sz w:val="20"/>
        </w:rPr>
        <w:t> </w:t>
      </w:r>
      <w:r>
        <w:rPr>
          <w:sz w:val="20"/>
        </w:rPr>
        <w:t>Cuba.</w:t>
      </w:r>
    </w:p>
    <w:p>
      <w:pPr>
        <w:pStyle w:val="BodyText"/>
        <w:rPr>
          <w:sz w:val="20"/>
        </w:rPr>
      </w:pPr>
    </w:p>
    <w:p>
      <w:pPr>
        <w:pStyle w:val="BodyText"/>
        <w:spacing w:before="8"/>
        <w:rPr>
          <w:sz w:val="20"/>
        </w:rPr>
      </w:pPr>
    </w:p>
    <w:p>
      <w:pPr>
        <w:spacing w:before="1"/>
        <w:ind w:left="122" w:right="273" w:firstLine="0"/>
        <w:jc w:val="left"/>
        <w:rPr>
          <w:i/>
          <w:sz w:val="22"/>
        </w:rPr>
      </w:pPr>
      <w:r>
        <w:rPr>
          <w:i/>
          <w:sz w:val="22"/>
        </w:rPr>
        <w:t>Publicación no periódica:</w:t>
      </w:r>
    </w:p>
    <w:p>
      <w:pPr>
        <w:spacing w:before="121"/>
        <w:ind w:left="830" w:right="273" w:hanging="708"/>
        <w:jc w:val="left"/>
        <w:rPr>
          <w:sz w:val="20"/>
        </w:rPr>
      </w:pPr>
      <w:r>
        <w:rPr>
          <w:sz w:val="20"/>
        </w:rPr>
        <w:t>CIEM (2000) “Investigación sobre desarrollo humano y equidad en Cuba 1999”, PNUD, La Habana 2000.</w:t>
      </w:r>
    </w:p>
    <w:p>
      <w:pPr>
        <w:spacing w:before="120"/>
        <w:ind w:left="830" w:right="273" w:hanging="708"/>
        <w:jc w:val="left"/>
        <w:rPr>
          <w:sz w:val="20"/>
        </w:rPr>
      </w:pPr>
      <w:r>
        <w:rPr>
          <w:sz w:val="20"/>
        </w:rPr>
        <w:t>IPE (1991) “Perfeccionamiento del Sistema de Asentamientos Poblacionales” Instituto de Planificación Física, JUCEPLAN, La Habana, Cuba.</w:t>
      </w:r>
    </w:p>
    <w:p>
      <w:pPr>
        <w:spacing w:before="120"/>
        <w:ind w:left="830" w:right="273" w:hanging="708"/>
        <w:jc w:val="left"/>
        <w:rPr>
          <w:sz w:val="20"/>
        </w:rPr>
      </w:pPr>
      <w:r>
        <w:rPr>
          <w:sz w:val="20"/>
        </w:rPr>
        <w:t>ONE (2008) “El estado actual y perspectiva de la población cubana: un reto para el desarrollo territorial sostenible”, Oficina Nacional de Estadísticas, La Habana, Cuba.</w:t>
      </w:r>
    </w:p>
    <w:p>
      <w:pPr>
        <w:spacing w:before="120"/>
        <w:ind w:left="122" w:right="273" w:firstLine="0"/>
        <w:jc w:val="left"/>
        <w:rPr>
          <w:sz w:val="20"/>
        </w:rPr>
      </w:pPr>
      <w:r>
        <w:rPr>
          <w:sz w:val="20"/>
        </w:rPr>
        <w:t>PNUD (1993) “Desarrollo humano; informe de 1993”. Tercer Mundo Editores, Bogotá, Colombia.</w:t>
      </w:r>
    </w:p>
    <w:p>
      <w:pPr>
        <w:spacing w:before="118"/>
        <w:ind w:left="830" w:right="273" w:hanging="708"/>
        <w:jc w:val="left"/>
        <w:rPr>
          <w:sz w:val="20"/>
        </w:rPr>
      </w:pPr>
      <w:r>
        <w:rPr>
          <w:sz w:val="20"/>
        </w:rPr>
        <w:t>Vasapollo, Luciano y Martufi, Rita (2008) “L'Ambiente Capitale. Alternative alla globalizzazione contro natura: Cuba investe sull'Umanità, Edizioni di Natura Aventura, Roma, Italia.</w:t>
      </w:r>
    </w:p>
    <w:p>
      <w:pPr>
        <w:spacing w:before="121"/>
        <w:ind w:left="830" w:right="273" w:hanging="708"/>
        <w:jc w:val="left"/>
        <w:rPr>
          <w:sz w:val="20"/>
        </w:rPr>
      </w:pPr>
      <w:r>
        <w:rPr>
          <w:sz w:val="20"/>
        </w:rPr>
        <w:t>Vázquez Barquero, Antonio (1999) “Desarrollo, redes e innovación”. Ediciones Pirámide. S. A., España.</w:t>
      </w:r>
    </w:p>
    <w:p>
      <w:pPr>
        <w:pStyle w:val="BodyText"/>
        <w:rPr>
          <w:sz w:val="20"/>
        </w:rPr>
      </w:pPr>
    </w:p>
    <w:p>
      <w:pPr>
        <w:pStyle w:val="BodyText"/>
        <w:spacing w:before="11"/>
        <w:rPr>
          <w:sz w:val="20"/>
        </w:rPr>
      </w:pPr>
    </w:p>
    <w:p>
      <w:pPr>
        <w:spacing w:before="0"/>
        <w:ind w:left="122" w:right="273" w:firstLine="0"/>
        <w:jc w:val="left"/>
        <w:rPr>
          <w:i/>
          <w:sz w:val="22"/>
        </w:rPr>
      </w:pPr>
      <w:r>
        <w:rPr>
          <w:i/>
          <w:sz w:val="22"/>
        </w:rPr>
        <w:t>Fuentes electrónicas</w:t>
      </w:r>
    </w:p>
    <w:p>
      <w:pPr>
        <w:spacing w:before="118"/>
        <w:ind w:left="830" w:right="273" w:hanging="708"/>
        <w:jc w:val="left"/>
        <w:rPr>
          <w:sz w:val="20"/>
        </w:rPr>
      </w:pPr>
      <w:r>
        <w:rPr>
          <w:sz w:val="20"/>
        </w:rPr>
        <w:t>Méndez Delgado, Elier (2000) “Desarrollo territorial y local en Cuba” Comercio Exterior </w:t>
      </w:r>
      <w:hyperlink r:id="rId77">
        <w:r>
          <w:rPr>
            <w:sz w:val="20"/>
          </w:rPr>
          <w:t>[</w:t>
        </w:r>
        <w:r>
          <w:rPr>
            <w:color w:val="000080"/>
            <w:sz w:val="20"/>
            <w:u w:val="single" w:color="000080"/>
          </w:rPr>
          <w:t>http://www.eumed.net/cursecon/ecolat/</w:t>
        </w:r>
      </w:hyperlink>
      <w:r>
        <w:rPr>
          <w:color w:val="000080"/>
          <w:sz w:val="20"/>
          <w:u w:val="single" w:color="000080"/>
        </w:rPr>
        <w:t>b8u-43.htm</w:t>
      </w:r>
      <w:r>
        <w:rPr>
          <w:sz w:val="20"/>
        </w:rPr>
        <w:t>: 13 de junio de 2008].</w:t>
      </w:r>
    </w:p>
    <w:p>
      <w:pPr>
        <w:spacing w:before="120"/>
        <w:ind w:left="830" w:right="273" w:hanging="708"/>
        <w:jc w:val="left"/>
        <w:rPr>
          <w:sz w:val="20"/>
        </w:rPr>
      </w:pPr>
      <w:r>
        <w:rPr>
          <w:sz w:val="20"/>
        </w:rPr>
        <w:t>PNUD, “El desarrollo humano y la equidad en Cuba a escala territorial: visión actualizada”. [</w:t>
      </w:r>
      <w:hyperlink r:id="rId78">
        <w:r>
          <w:rPr>
            <w:color w:val="000080"/>
            <w:sz w:val="20"/>
            <w:u w:val="single" w:color="000080"/>
          </w:rPr>
          <w:t>http://www.undp.org.cu/idhcuba/cap8.pdf</w:t>
        </w:r>
        <w:r>
          <w:rPr>
            <w:sz w:val="20"/>
          </w:rPr>
          <w:t>:</w:t>
        </w:r>
      </w:hyperlink>
      <w:r>
        <w:rPr>
          <w:sz w:val="20"/>
        </w:rPr>
        <w:t> 17 de julio de 2008].</w:t>
      </w:r>
    </w:p>
    <w:p>
      <w:pPr>
        <w:pStyle w:val="BodyText"/>
        <w:rPr>
          <w:sz w:val="20"/>
        </w:rPr>
      </w:pPr>
    </w:p>
    <w:p>
      <w:pPr>
        <w:pStyle w:val="BodyText"/>
        <w:spacing w:before="11"/>
        <w:rPr>
          <w:sz w:val="20"/>
        </w:rPr>
      </w:pPr>
    </w:p>
    <w:p>
      <w:pPr>
        <w:spacing w:before="0"/>
        <w:ind w:left="122" w:right="273" w:firstLine="0"/>
        <w:jc w:val="left"/>
        <w:rPr>
          <w:i/>
          <w:sz w:val="22"/>
        </w:rPr>
      </w:pPr>
      <w:r>
        <w:rPr>
          <w:i/>
          <w:sz w:val="22"/>
        </w:rPr>
        <w:t>Otras fuentes</w:t>
      </w:r>
    </w:p>
    <w:p>
      <w:pPr>
        <w:spacing w:before="119"/>
        <w:ind w:left="122" w:right="273" w:firstLine="0"/>
        <w:jc w:val="left"/>
        <w:rPr>
          <w:sz w:val="20"/>
        </w:rPr>
      </w:pPr>
      <w:r>
        <w:rPr>
          <w:sz w:val="20"/>
        </w:rPr>
        <w:t>Constitución de la República de Cuba.</w:t>
      </w:r>
    </w:p>
    <w:p>
      <w:pPr>
        <w:pStyle w:val="BodyText"/>
        <w:rPr>
          <w:sz w:val="20"/>
        </w:rPr>
      </w:pPr>
    </w:p>
    <w:p>
      <w:pPr>
        <w:pStyle w:val="BodyText"/>
        <w:rPr>
          <w:sz w:val="20"/>
        </w:rPr>
      </w:pPr>
    </w:p>
    <w:p>
      <w:pPr>
        <w:pStyle w:val="BodyText"/>
        <w:spacing w:before="7"/>
        <w:rPr>
          <w:sz w:val="28"/>
        </w:rPr>
      </w:pPr>
      <w:r>
        <w:rPr/>
        <w:pict>
          <v:line style="position:absolute;mso-position-horizontal-relative:page;mso-position-vertical-relative:paragraph;z-index:2824;mso-wrap-distance-left:0;mso-wrap-distance-right:0" from="85.103996pt,18.742798pt" to="229.123996pt,18.742798pt" stroked="true" strokeweight=".60004pt" strokecolor="#000000">
            <w10:wrap type="topAndBottom"/>
          </v:line>
        </w:pict>
      </w:r>
    </w:p>
    <w:p>
      <w:pPr>
        <w:spacing w:before="70"/>
        <w:ind w:left="122" w:right="0" w:firstLine="0"/>
        <w:jc w:val="left"/>
        <w:rPr>
          <w:rFonts w:ascii="Times New Roman"/>
          <w:sz w:val="13"/>
        </w:rPr>
      </w:pPr>
      <w:r>
        <w:rPr>
          <w:rFonts w:ascii="Times New Roman"/>
          <w:w w:val="99"/>
          <w:sz w:val="13"/>
        </w:rPr>
        <w:t>1</w:t>
      </w:r>
    </w:p>
    <w:p>
      <w:pPr>
        <w:spacing w:before="89"/>
        <w:ind w:left="830" w:right="273" w:firstLine="0"/>
        <w:jc w:val="left"/>
        <w:rPr>
          <w:sz w:val="20"/>
        </w:rPr>
      </w:pPr>
      <w:r>
        <w:rPr>
          <w:sz w:val="20"/>
        </w:rPr>
        <w:t>En este indicador tomamos en consideración tanto el porcentaje de los hogares  nucleares</w:t>
      </w:r>
    </w:p>
    <w:p>
      <w:pPr>
        <w:spacing w:before="0"/>
        <w:ind w:left="122" w:right="273" w:firstLine="0"/>
        <w:jc w:val="left"/>
        <w:rPr>
          <w:sz w:val="20"/>
        </w:rPr>
      </w:pPr>
      <w:r>
        <w:rPr>
          <w:sz w:val="20"/>
        </w:rPr>
        <w:t>como los unipersonales, pues reflejan mejor la dimensión que se pretende medir.</w:t>
      </w:r>
    </w:p>
    <w:p>
      <w:pPr>
        <w:pStyle w:val="BodyText"/>
        <w:spacing w:before="9"/>
        <w:rPr>
          <w:sz w:val="19"/>
        </w:rPr>
      </w:pPr>
    </w:p>
    <w:p>
      <w:pPr>
        <w:tabs>
          <w:tab w:pos="829" w:val="left" w:leader="none"/>
        </w:tabs>
        <w:spacing w:before="1"/>
        <w:ind w:left="122" w:right="0" w:firstLine="0"/>
        <w:jc w:val="left"/>
        <w:rPr>
          <w:i/>
          <w:sz w:val="20"/>
        </w:rPr>
      </w:pPr>
      <w:r>
        <w:rPr>
          <w:position w:val="6"/>
          <w:sz w:val="13"/>
        </w:rPr>
        <w:t>2</w:t>
        <w:tab/>
      </w:r>
      <w:r>
        <w:rPr>
          <w:sz w:val="20"/>
        </w:rPr>
        <w:t>En</w:t>
      </w:r>
      <w:r>
        <w:rPr>
          <w:spacing w:val="13"/>
          <w:sz w:val="20"/>
        </w:rPr>
        <w:t> </w:t>
      </w:r>
      <w:r>
        <w:rPr>
          <w:sz w:val="20"/>
        </w:rPr>
        <w:t>los</w:t>
      </w:r>
      <w:r>
        <w:rPr>
          <w:spacing w:val="14"/>
          <w:sz w:val="20"/>
        </w:rPr>
        <w:t> </w:t>
      </w:r>
      <w:r>
        <w:rPr>
          <w:sz w:val="20"/>
        </w:rPr>
        <w:t>nueve</w:t>
      </w:r>
      <w:r>
        <w:rPr>
          <w:spacing w:val="13"/>
          <w:sz w:val="20"/>
        </w:rPr>
        <w:t> </w:t>
      </w:r>
      <w:r>
        <w:rPr>
          <w:sz w:val="20"/>
        </w:rPr>
        <w:t>primeros</w:t>
      </w:r>
      <w:r>
        <w:rPr>
          <w:spacing w:val="15"/>
          <w:sz w:val="20"/>
        </w:rPr>
        <w:t> </w:t>
      </w:r>
      <w:r>
        <w:rPr>
          <w:sz w:val="20"/>
        </w:rPr>
        <w:t>indicadores</w:t>
      </w:r>
      <w:r>
        <w:rPr>
          <w:spacing w:val="15"/>
          <w:sz w:val="20"/>
        </w:rPr>
        <w:t> </w:t>
      </w:r>
      <w:r>
        <w:rPr>
          <w:sz w:val="20"/>
        </w:rPr>
        <w:t>se</w:t>
      </w:r>
      <w:r>
        <w:rPr>
          <w:spacing w:val="13"/>
          <w:sz w:val="20"/>
        </w:rPr>
        <w:t> </w:t>
      </w:r>
      <w:r>
        <w:rPr>
          <w:sz w:val="20"/>
        </w:rPr>
        <w:t>aspira</w:t>
      </w:r>
      <w:r>
        <w:rPr>
          <w:spacing w:val="13"/>
          <w:sz w:val="20"/>
        </w:rPr>
        <w:t> </w:t>
      </w:r>
      <w:r>
        <w:rPr>
          <w:sz w:val="20"/>
        </w:rPr>
        <w:t>a</w:t>
      </w:r>
      <w:r>
        <w:rPr>
          <w:spacing w:val="13"/>
          <w:sz w:val="20"/>
        </w:rPr>
        <w:t> </w:t>
      </w:r>
      <w:r>
        <w:rPr>
          <w:sz w:val="20"/>
        </w:rPr>
        <w:t>un</w:t>
      </w:r>
      <w:r>
        <w:rPr>
          <w:spacing w:val="15"/>
          <w:sz w:val="20"/>
        </w:rPr>
        <w:t> </w:t>
      </w:r>
      <w:r>
        <w:rPr>
          <w:sz w:val="20"/>
        </w:rPr>
        <w:t>valor</w:t>
      </w:r>
      <w:r>
        <w:rPr>
          <w:spacing w:val="14"/>
          <w:sz w:val="20"/>
        </w:rPr>
        <w:t> </w:t>
      </w:r>
      <w:r>
        <w:rPr>
          <w:sz w:val="20"/>
        </w:rPr>
        <w:t>alto,</w:t>
      </w:r>
      <w:r>
        <w:rPr>
          <w:spacing w:val="13"/>
          <w:sz w:val="20"/>
        </w:rPr>
        <w:t> </w:t>
      </w:r>
      <w:r>
        <w:rPr>
          <w:sz w:val="20"/>
        </w:rPr>
        <w:t>por</w:t>
      </w:r>
      <w:r>
        <w:rPr>
          <w:spacing w:val="14"/>
          <w:sz w:val="20"/>
        </w:rPr>
        <w:t> </w:t>
      </w:r>
      <w:r>
        <w:rPr>
          <w:sz w:val="20"/>
        </w:rPr>
        <w:t>lo</w:t>
      </w:r>
      <w:r>
        <w:rPr>
          <w:spacing w:val="13"/>
          <w:sz w:val="20"/>
        </w:rPr>
        <w:t> </w:t>
      </w:r>
      <w:r>
        <w:rPr>
          <w:sz w:val="20"/>
        </w:rPr>
        <w:t>que</w:t>
      </w:r>
      <w:r>
        <w:rPr>
          <w:spacing w:val="13"/>
          <w:sz w:val="20"/>
        </w:rPr>
        <w:t> </w:t>
      </w:r>
      <w:r>
        <w:rPr>
          <w:sz w:val="20"/>
        </w:rPr>
        <w:t>se</w:t>
      </w:r>
      <w:r>
        <w:rPr>
          <w:spacing w:val="13"/>
          <w:sz w:val="20"/>
        </w:rPr>
        <w:t> </w:t>
      </w:r>
      <w:r>
        <w:rPr>
          <w:sz w:val="20"/>
        </w:rPr>
        <w:t>calcula</w:t>
      </w:r>
      <w:r>
        <w:rPr>
          <w:spacing w:val="13"/>
          <w:sz w:val="20"/>
        </w:rPr>
        <w:t> </w:t>
      </w:r>
      <w:r>
        <w:rPr>
          <w:sz w:val="20"/>
        </w:rPr>
        <w:t>el</w:t>
      </w:r>
      <w:r>
        <w:rPr>
          <w:spacing w:val="21"/>
          <w:sz w:val="20"/>
        </w:rPr>
        <w:t> </w:t>
      </w:r>
      <w:r>
        <w:rPr>
          <w:i/>
          <w:sz w:val="20"/>
        </w:rPr>
        <w:t>Logro</w:t>
      </w:r>
    </w:p>
    <w:p>
      <w:pPr>
        <w:spacing w:line="170" w:lineRule="exact" w:before="0"/>
        <w:ind w:left="4154" w:right="3516" w:firstLine="0"/>
        <w:jc w:val="center"/>
        <w:rPr>
          <w:rFonts w:ascii="Times New Roman" w:hAnsi="Times New Roman"/>
          <w:i/>
          <w:sz w:val="24"/>
        </w:rPr>
      </w:pPr>
      <w:r>
        <w:rPr>
          <w:rFonts w:ascii="Times New Roman" w:hAnsi="Times New Roman"/>
          <w:spacing w:val="-243"/>
          <w:w w:val="425"/>
          <w:sz w:val="24"/>
        </w:rPr>
        <w:t>(</w:t>
      </w:r>
      <w:r>
        <w:rPr>
          <w:rFonts w:ascii="Times New Roman" w:hAnsi="Times New Roman"/>
          <w:i/>
          <w:w w:val="425"/>
          <w:sz w:val="24"/>
        </w:rPr>
        <w:t>x</w:t>
      </w:r>
      <w:r>
        <w:rPr>
          <w:rFonts w:ascii="Times New Roman" w:hAnsi="Times New Roman"/>
          <w:i/>
          <w:sz w:val="24"/>
        </w:rPr>
        <w:t> </w:t>
      </w:r>
      <w:r>
        <w:rPr>
          <w:rFonts w:ascii="Times New Roman" w:hAnsi="Times New Roman"/>
          <w:i/>
          <w:spacing w:val="-8"/>
          <w:sz w:val="24"/>
        </w:rPr>
        <w:t> </w:t>
      </w:r>
      <w:r>
        <w:rPr>
          <w:rFonts w:ascii="Symbol" w:hAnsi="Symbol"/>
          <w:spacing w:val="-368"/>
          <w:w w:val="425"/>
          <w:sz w:val="24"/>
        </w:rPr>
        <w:t></w:t>
      </w:r>
      <w:r>
        <w:rPr>
          <w:rFonts w:ascii="Times New Roman" w:hAnsi="Times New Roman"/>
          <w:i/>
          <w:w w:val="425"/>
          <w:sz w:val="24"/>
        </w:rPr>
        <w:t>X</w:t>
      </w:r>
    </w:p>
    <w:p>
      <w:pPr>
        <w:spacing w:after="0" w:line="170" w:lineRule="exact"/>
        <w:jc w:val="center"/>
        <w:rPr>
          <w:rFonts w:ascii="Times New Roman" w:hAnsi="Times New Roman"/>
          <w:sz w:val="24"/>
        </w:rPr>
        <w:sectPr>
          <w:pgSz w:w="11910" w:h="16840"/>
          <w:pgMar w:header="0" w:footer="768" w:top="1580" w:bottom="960" w:left="1580" w:right="1140"/>
        </w:sectPr>
      </w:pPr>
    </w:p>
    <w:p>
      <w:pPr>
        <w:spacing w:before="104"/>
        <w:ind w:left="122" w:right="-13" w:firstLine="0"/>
        <w:jc w:val="left"/>
        <w:rPr>
          <w:sz w:val="20"/>
        </w:rPr>
      </w:pPr>
      <w:r>
        <w:rPr>
          <w:i/>
          <w:sz w:val="20"/>
        </w:rPr>
        <w:t>Relativo  </w:t>
      </w:r>
      <w:r>
        <w:rPr>
          <w:sz w:val="20"/>
        </w:rPr>
        <w:t>con  la</w:t>
      </w:r>
      <w:r>
        <w:rPr>
          <w:spacing w:val="-10"/>
          <w:sz w:val="20"/>
        </w:rPr>
        <w:t> </w:t>
      </w:r>
      <w:r>
        <w:rPr>
          <w:sz w:val="20"/>
        </w:rPr>
        <w:t>fórmula:</w:t>
      </w:r>
    </w:p>
    <w:p>
      <w:pPr>
        <w:spacing w:line="185" w:lineRule="exact" w:before="0"/>
        <w:ind w:left="96" w:right="0" w:firstLine="0"/>
        <w:jc w:val="left"/>
        <w:rPr>
          <w:rFonts w:ascii="Times New Roman" w:hAnsi="Times New Roman"/>
          <w:sz w:val="14"/>
        </w:rPr>
      </w:pPr>
      <w:r>
        <w:rPr/>
        <w:br w:type="column"/>
      </w:r>
      <w:r>
        <w:rPr>
          <w:rFonts w:ascii="Times New Roman" w:hAnsi="Times New Roman"/>
          <w:i/>
          <w:w w:val="425"/>
          <w:sz w:val="24"/>
        </w:rPr>
        <w:t>L</w:t>
      </w:r>
      <w:r>
        <w:rPr>
          <w:rFonts w:ascii="Times New Roman" w:hAnsi="Times New Roman"/>
          <w:i/>
          <w:spacing w:val="-461"/>
          <w:w w:val="425"/>
          <w:sz w:val="24"/>
        </w:rPr>
        <w:t>o</w:t>
      </w:r>
      <w:r>
        <w:rPr>
          <w:rFonts w:ascii="Times New Roman" w:hAnsi="Times New Roman"/>
          <w:spacing w:val="-393"/>
          <w:w w:val="425"/>
          <w:sz w:val="24"/>
        </w:rPr>
        <w:t>R</w:t>
      </w:r>
      <w:r>
        <w:rPr>
          <w:rFonts w:ascii="Times New Roman" w:hAnsi="Times New Roman"/>
          <w:i/>
          <w:spacing w:val="-112"/>
          <w:w w:val="425"/>
          <w:sz w:val="24"/>
        </w:rPr>
        <w:t>l</w:t>
      </w:r>
      <w:r>
        <w:rPr>
          <w:rFonts w:ascii="Times New Roman" w:hAnsi="Times New Roman"/>
          <w:i/>
          <w:spacing w:val="-399"/>
          <w:w w:val="425"/>
          <w:sz w:val="24"/>
        </w:rPr>
        <w:t>g</w:t>
      </w:r>
      <w:r>
        <w:rPr>
          <w:rFonts w:ascii="Times New Roman" w:hAnsi="Times New Roman"/>
          <w:i/>
          <w:spacing w:val="-402"/>
          <w:w w:val="425"/>
          <w:sz w:val="24"/>
        </w:rPr>
        <w:t>a</w:t>
      </w:r>
      <w:r>
        <w:rPr>
          <w:rFonts w:ascii="Times New Roman" w:hAnsi="Times New Roman"/>
          <w:spacing w:val="-243"/>
          <w:w w:val="425"/>
          <w:sz w:val="24"/>
        </w:rPr>
        <w:t>e</w:t>
      </w:r>
      <w:r>
        <w:rPr>
          <w:rFonts w:ascii="Symbol" w:hAnsi="Symbol"/>
          <w:spacing w:val="-482"/>
          <w:w w:val="425"/>
          <w:sz w:val="24"/>
        </w:rPr>
        <w:t></w:t>
      </w:r>
      <w:r>
        <w:rPr>
          <w:rFonts w:ascii="Times New Roman" w:hAnsi="Times New Roman"/>
          <w:i/>
          <w:spacing w:val="-286"/>
          <w:w w:val="425"/>
          <w:sz w:val="24"/>
        </w:rPr>
        <w:t>r</w:t>
      </w:r>
      <w:r>
        <w:rPr>
          <w:rFonts w:ascii="Times New Roman" w:hAnsi="Times New Roman"/>
          <w:i/>
          <w:spacing w:val="-56"/>
          <w:w w:val="425"/>
          <w:sz w:val="24"/>
        </w:rPr>
        <w:t>t</w:t>
      </w:r>
      <w:r>
        <w:rPr>
          <w:rFonts w:ascii="Times New Roman" w:hAnsi="Times New Roman"/>
          <w:i/>
          <w:spacing w:val="-308"/>
          <w:w w:val="425"/>
          <w:position w:val="10"/>
          <w:sz w:val="14"/>
        </w:rPr>
        <w:t>P</w:t>
      </w:r>
      <w:r>
        <w:rPr>
          <w:rFonts w:ascii="Times New Roman" w:hAnsi="Times New Roman"/>
          <w:i/>
          <w:spacing w:val="-283"/>
          <w:w w:val="425"/>
          <w:sz w:val="24"/>
        </w:rPr>
        <w:t>i</w:t>
      </w:r>
      <w:r>
        <w:rPr>
          <w:rFonts w:ascii="Times New Roman" w:hAnsi="Times New Roman"/>
          <w:i/>
          <w:spacing w:val="-228"/>
          <w:w w:val="425"/>
          <w:sz w:val="24"/>
        </w:rPr>
        <w:t>o</w:t>
      </w:r>
      <w:r>
        <w:rPr>
          <w:rFonts w:ascii="Times New Roman" w:hAnsi="Times New Roman"/>
          <w:i/>
          <w:spacing w:val="-430"/>
          <w:w w:val="425"/>
          <w:sz w:val="24"/>
        </w:rPr>
        <w:t>v</w:t>
      </w:r>
      <w:r>
        <w:rPr>
          <w:rFonts w:ascii="Times New Roman" w:hAnsi="Times New Roman"/>
          <w:i/>
          <w:w w:val="425"/>
          <w:position w:val="10"/>
          <w:sz w:val="14"/>
        </w:rPr>
        <w:t>R</w:t>
      </w:r>
      <w:r>
        <w:rPr>
          <w:rFonts w:ascii="Times New Roman" w:hAnsi="Times New Roman"/>
          <w:i/>
          <w:spacing w:val="-365"/>
          <w:w w:val="425"/>
          <w:position w:val="10"/>
          <w:sz w:val="14"/>
        </w:rPr>
        <w:t>O</w:t>
      </w:r>
      <w:r>
        <w:rPr>
          <w:rFonts w:ascii="Times New Roman" w:hAnsi="Times New Roman"/>
          <w:i/>
          <w:spacing w:val="-481"/>
          <w:w w:val="425"/>
          <w:sz w:val="24"/>
        </w:rPr>
        <w:t>o</w:t>
      </w:r>
      <w:r>
        <w:rPr>
          <w:rFonts w:ascii="Times New Roman" w:hAnsi="Times New Roman"/>
          <w:w w:val="425"/>
          <w:position w:val="10"/>
          <w:sz w:val="14"/>
        </w:rPr>
        <w:t>m</w:t>
      </w:r>
    </w:p>
    <w:p>
      <w:pPr>
        <w:spacing w:line="270" w:lineRule="exact" w:before="0"/>
        <w:ind w:left="1841" w:right="0" w:firstLine="0"/>
        <w:jc w:val="left"/>
        <w:rPr>
          <w:sz w:val="20"/>
        </w:rPr>
      </w:pPr>
      <w:r>
        <w:rPr/>
        <w:pict>
          <v:line style="position:absolute;mso-position-horizontal-relative:page;mso-position-vertical-relative:paragraph;z-index:-38848" from="286.935577pt,-1.62399pt" to="356.760931pt,-1.62399pt" stroked="true" strokeweight=".121056pt" strokecolor="#000000">
            <w10:wrap type="none"/>
          </v:line>
        </w:pict>
      </w:r>
      <w:r>
        <w:rPr/>
        <w:pict>
          <v:shape style="position:absolute;margin-left:303.367432pt;margin-top:7.902406pt;width:51.35pt;height:7.2pt;mso-position-horizontal-relative:page;mso-position-vertical-relative:paragraph;z-index:-38824" type="#_x0000_t202" filled="false" stroked="false">
            <v:textbox inset="0,0,0,0">
              <w:txbxContent>
                <w:p>
                  <w:pPr>
                    <w:spacing w:line="144" w:lineRule="exact" w:before="0"/>
                    <w:ind w:left="0" w:right="-19" w:firstLine="0"/>
                    <w:jc w:val="left"/>
                    <w:rPr>
                      <w:rFonts w:ascii="Times New Roman"/>
                      <w:sz w:val="14"/>
                    </w:rPr>
                  </w:pPr>
                  <w:r>
                    <w:rPr>
                      <w:rFonts w:ascii="Times New Roman"/>
                      <w:w w:val="425"/>
                      <w:sz w:val="14"/>
                    </w:rPr>
                    <w:t>m</w:t>
                  </w:r>
                  <w:r>
                    <w:rPr>
                      <w:rFonts w:ascii="Times New Roman"/>
                      <w:spacing w:val="-37"/>
                      <w:w w:val="425"/>
                      <w:sz w:val="14"/>
                    </w:rPr>
                    <w:t>a</w:t>
                  </w:r>
                  <w:r>
                    <w:rPr>
                      <w:rFonts w:ascii="Times New Roman"/>
                      <w:spacing w:val="-427"/>
                      <w:w w:val="425"/>
                      <w:sz w:val="14"/>
                    </w:rPr>
                    <w:t>m</w:t>
                  </w:r>
                  <w:r>
                    <w:rPr>
                      <w:rFonts w:ascii="Times New Roman"/>
                      <w:w w:val="425"/>
                      <w:sz w:val="14"/>
                    </w:rPr>
                    <w:t>x</w:t>
                  </w:r>
                </w:p>
              </w:txbxContent>
            </v:textbox>
            <w10:wrap type="none"/>
          </v:shape>
        </w:pict>
      </w:r>
      <w:r>
        <w:rPr>
          <w:rFonts w:ascii="Times New Roman" w:hAnsi="Times New Roman"/>
          <w:spacing w:val="-236"/>
          <w:w w:val="425"/>
          <w:position w:val="-10"/>
          <w:sz w:val="24"/>
        </w:rPr>
        <w:t>(</w:t>
      </w:r>
      <w:r>
        <w:rPr>
          <w:rFonts w:ascii="Times New Roman" w:hAnsi="Times New Roman"/>
          <w:i/>
          <w:spacing w:val="-127"/>
          <w:w w:val="425"/>
          <w:position w:val="-10"/>
          <w:sz w:val="24"/>
        </w:rPr>
        <w:t>X</w:t>
      </w:r>
      <w:r>
        <w:rPr>
          <w:rFonts w:ascii="Symbol" w:hAnsi="Symbol"/>
          <w:spacing w:val="-368"/>
          <w:w w:val="425"/>
          <w:position w:val="-10"/>
          <w:sz w:val="24"/>
        </w:rPr>
        <w:t></w:t>
      </w:r>
      <w:r>
        <w:rPr>
          <w:rFonts w:ascii="Times New Roman" w:hAnsi="Times New Roman"/>
          <w:i/>
          <w:spacing w:val="-188"/>
          <w:w w:val="425"/>
          <w:position w:val="-10"/>
          <w:sz w:val="24"/>
        </w:rPr>
        <w:t>X</w:t>
      </w:r>
      <w:r>
        <w:rPr>
          <w:rFonts w:ascii="Times New Roman" w:hAnsi="Times New Roman"/>
          <w:spacing w:val="-71"/>
          <w:w w:val="425"/>
          <w:position w:val="-10"/>
          <w:sz w:val="24"/>
        </w:rPr>
        <w:t>)</w:t>
      </w:r>
      <w:r>
        <w:rPr>
          <w:spacing w:val="-1"/>
          <w:w w:val="99"/>
          <w:sz w:val="20"/>
        </w:rPr>
        <w:t>S</w:t>
      </w:r>
      <w:r>
        <w:rPr>
          <w:w w:val="99"/>
          <w:sz w:val="20"/>
        </w:rPr>
        <w:t>ol</w:t>
      </w:r>
      <w:r>
        <w:rPr>
          <w:w w:val="99"/>
          <w:sz w:val="20"/>
        </w:rPr>
        <w:t>o</w:t>
      </w:r>
      <w:r>
        <w:rPr>
          <w:sz w:val="20"/>
        </w:rPr>
        <w:t> </w:t>
      </w:r>
      <w:r>
        <w:rPr>
          <w:spacing w:val="-21"/>
          <w:sz w:val="20"/>
        </w:rPr>
        <w:t> </w:t>
      </w:r>
      <w:r>
        <w:rPr>
          <w:spacing w:val="1"/>
          <w:w w:val="99"/>
          <w:sz w:val="20"/>
        </w:rPr>
        <w:t>e</w:t>
      </w:r>
      <w:r>
        <w:rPr>
          <w:w w:val="99"/>
          <w:sz w:val="20"/>
        </w:rPr>
        <w:t>n</w:t>
      </w:r>
      <w:r>
        <w:rPr>
          <w:sz w:val="20"/>
        </w:rPr>
        <w:t> </w:t>
      </w:r>
      <w:r>
        <w:rPr>
          <w:spacing w:val="-21"/>
          <w:sz w:val="20"/>
        </w:rPr>
        <w:t> </w:t>
      </w:r>
      <w:r>
        <w:rPr>
          <w:spacing w:val="1"/>
          <w:w w:val="99"/>
          <w:sz w:val="20"/>
        </w:rPr>
        <w:t>e</w:t>
      </w:r>
      <w:r>
        <w:rPr>
          <w:w w:val="99"/>
          <w:sz w:val="20"/>
        </w:rPr>
        <w:t>l</w:t>
      </w:r>
      <w:r>
        <w:rPr>
          <w:sz w:val="20"/>
        </w:rPr>
        <w:t> </w:t>
      </w:r>
      <w:r>
        <w:rPr>
          <w:spacing w:val="-22"/>
          <w:sz w:val="20"/>
        </w:rPr>
        <w:t> </w:t>
      </w:r>
      <w:r>
        <w:rPr>
          <w:spacing w:val="1"/>
          <w:w w:val="99"/>
          <w:sz w:val="20"/>
        </w:rPr>
        <w:t>c</w:t>
      </w:r>
      <w:r>
        <w:rPr>
          <w:w w:val="99"/>
          <w:sz w:val="20"/>
        </w:rPr>
        <w:t>as</w:t>
      </w:r>
      <w:r>
        <w:rPr>
          <w:w w:val="99"/>
          <w:sz w:val="20"/>
        </w:rPr>
        <w:t>o</w:t>
      </w:r>
      <w:r>
        <w:rPr>
          <w:sz w:val="20"/>
        </w:rPr>
        <w:t> </w:t>
      </w:r>
      <w:r>
        <w:rPr>
          <w:spacing w:val="-19"/>
          <w:sz w:val="20"/>
        </w:rPr>
        <w:t> </w:t>
      </w:r>
      <w:r>
        <w:rPr>
          <w:w w:val="99"/>
          <w:sz w:val="20"/>
        </w:rPr>
        <w:t>d</w:t>
      </w:r>
      <w:r>
        <w:rPr>
          <w:spacing w:val="1"/>
          <w:w w:val="99"/>
          <w:sz w:val="20"/>
        </w:rPr>
        <w:t>e</w:t>
      </w:r>
      <w:r>
        <w:rPr>
          <w:w w:val="99"/>
          <w:sz w:val="20"/>
        </w:rPr>
        <w:t>l</w:t>
      </w:r>
      <w:r>
        <w:rPr>
          <w:sz w:val="20"/>
        </w:rPr>
        <w:t> </w:t>
      </w:r>
      <w:r>
        <w:rPr>
          <w:spacing w:val="-22"/>
          <w:sz w:val="20"/>
        </w:rPr>
        <w:t> </w:t>
      </w:r>
      <w:r>
        <w:rPr>
          <w:spacing w:val="1"/>
          <w:w w:val="99"/>
          <w:sz w:val="20"/>
        </w:rPr>
        <w:t>ú</w:t>
      </w:r>
      <w:r>
        <w:rPr>
          <w:spacing w:val="-1"/>
          <w:w w:val="99"/>
          <w:sz w:val="20"/>
        </w:rPr>
        <w:t>l</w:t>
      </w:r>
      <w:r>
        <w:rPr>
          <w:w w:val="99"/>
          <w:sz w:val="20"/>
        </w:rPr>
        <w:t>t</w:t>
      </w:r>
      <w:r>
        <w:rPr>
          <w:spacing w:val="-2"/>
          <w:w w:val="99"/>
          <w:sz w:val="20"/>
        </w:rPr>
        <w:t>i</w:t>
      </w:r>
      <w:r>
        <w:rPr>
          <w:spacing w:val="4"/>
          <w:w w:val="99"/>
          <w:sz w:val="20"/>
        </w:rPr>
        <w:t>m</w:t>
      </w:r>
      <w:r>
        <w:rPr>
          <w:w w:val="99"/>
          <w:sz w:val="20"/>
        </w:rPr>
        <w:t>o</w:t>
      </w:r>
      <w:r>
        <w:rPr>
          <w:sz w:val="20"/>
        </w:rPr>
        <w:t> </w:t>
      </w:r>
      <w:r>
        <w:rPr>
          <w:spacing w:val="-21"/>
          <w:sz w:val="20"/>
        </w:rPr>
        <w:t> </w:t>
      </w:r>
      <w:r>
        <w:rPr>
          <w:spacing w:val="-1"/>
          <w:w w:val="99"/>
          <w:sz w:val="20"/>
        </w:rPr>
        <w:t>i</w:t>
      </w:r>
      <w:r>
        <w:rPr>
          <w:spacing w:val="1"/>
          <w:w w:val="99"/>
          <w:sz w:val="20"/>
        </w:rPr>
        <w:t>n</w:t>
      </w:r>
      <w:r>
        <w:rPr>
          <w:w w:val="99"/>
          <w:sz w:val="20"/>
        </w:rPr>
        <w:t>d</w:t>
      </w:r>
      <w:r>
        <w:rPr>
          <w:spacing w:val="-2"/>
          <w:w w:val="99"/>
          <w:sz w:val="20"/>
        </w:rPr>
        <w:t>i</w:t>
      </w:r>
      <w:r>
        <w:rPr>
          <w:spacing w:val="1"/>
          <w:w w:val="99"/>
          <w:sz w:val="20"/>
        </w:rPr>
        <w:t>c</w:t>
      </w:r>
      <w:r>
        <w:rPr>
          <w:spacing w:val="1"/>
          <w:w w:val="99"/>
          <w:sz w:val="20"/>
        </w:rPr>
        <w:t>a</w:t>
      </w:r>
      <w:r>
        <w:rPr>
          <w:w w:val="99"/>
          <w:sz w:val="20"/>
        </w:rPr>
        <w:t>d</w:t>
      </w:r>
      <w:r>
        <w:rPr>
          <w:spacing w:val="-1"/>
          <w:w w:val="99"/>
          <w:sz w:val="20"/>
        </w:rPr>
        <w:t>o</w:t>
      </w:r>
      <w:r>
        <w:rPr>
          <w:w w:val="99"/>
          <w:sz w:val="20"/>
        </w:rPr>
        <w:t>r</w:t>
      </w:r>
    </w:p>
    <w:p>
      <w:pPr>
        <w:spacing w:after="0" w:line="270" w:lineRule="exact"/>
        <w:jc w:val="left"/>
        <w:rPr>
          <w:sz w:val="20"/>
        </w:rPr>
        <w:sectPr>
          <w:type w:val="continuous"/>
          <w:pgSz w:w="11910" w:h="16840"/>
          <w:pgMar w:top="1580" w:bottom="960" w:left="1580" w:right="1140"/>
          <w:cols w:num="2" w:equalWidth="0">
            <w:col w:w="2320" w:space="40"/>
            <w:col w:w="6830"/>
          </w:cols>
        </w:sectPr>
      </w:pPr>
    </w:p>
    <w:p>
      <w:pPr>
        <w:pStyle w:val="BodyText"/>
        <w:spacing w:before="6"/>
      </w:pPr>
    </w:p>
    <w:p>
      <w:pPr>
        <w:pStyle w:val="BodyText"/>
        <w:spacing w:line="20" w:lineRule="exact"/>
        <w:ind w:left="116"/>
        <w:rPr>
          <w:sz w:val="2"/>
        </w:rPr>
      </w:pPr>
      <w:r>
        <w:rPr>
          <w:sz w:val="2"/>
        </w:rPr>
        <w:pict>
          <v:group style="width:440.05pt;height:.6pt;mso-position-horizontal-relative:char;mso-position-vertical-relative:line" coordorigin="0,0" coordsize="8801,12">
            <v:line style="position:absolute" from="6,6" to="8794,6" stroked="true" strokeweight=".6pt" strokecolor="#000000"/>
          </v:group>
        </w:pict>
      </w:r>
      <w:r>
        <w:rPr>
          <w:sz w:val="2"/>
        </w:rPr>
      </w:r>
    </w:p>
    <w:p>
      <w:pPr>
        <w:spacing w:line="226" w:lineRule="exact" w:before="99"/>
        <w:ind w:left="122" w:right="0" w:firstLine="0"/>
        <w:jc w:val="left"/>
        <w:rPr>
          <w:sz w:val="20"/>
        </w:rPr>
      </w:pPr>
      <w:r>
        <w:rPr>
          <w:sz w:val="20"/>
        </w:rPr>
        <w:t>(Carga contaminante), como lo deseable es    un valor bajo del indicador, se procede con la fórmula:</w:t>
      </w:r>
    </w:p>
    <w:p>
      <w:pPr>
        <w:spacing w:line="331" w:lineRule="exact" w:before="0"/>
        <w:ind w:left="166" w:right="273" w:firstLine="0"/>
        <w:jc w:val="left"/>
        <w:rPr>
          <w:rFonts w:ascii="Times New Roman" w:hAnsi="Times New Roman"/>
          <w:sz w:val="14"/>
        </w:rPr>
      </w:pPr>
      <w:r>
        <w:rPr/>
        <w:pict>
          <v:line style="position:absolute;mso-position-horizontal-relative:page;mso-position-vertical-relative:paragraph;z-index:-38776" from="182.324509pt,16.372114pt" to="252.333644pt,16.372137pt" stroked="true" strokeweight=".113452pt" strokecolor="#000000">
            <w10:wrap type="none"/>
          </v:line>
        </w:pict>
      </w:r>
      <w:r>
        <w:rPr/>
        <w:pict>
          <v:shape style="position:absolute;margin-left:174.841232pt;margin-top:9.436821pt;width:81.45pt;height:12.35pt;mso-position-horizontal-relative:page;mso-position-vertical-relative:paragraph;z-index:-38656" type="#_x0000_t202" filled="false" stroked="false">
            <v:textbox inset="0,0,0,0">
              <w:txbxContent>
                <w:p>
                  <w:pPr>
                    <w:spacing w:line="247" w:lineRule="exact" w:before="0"/>
                    <w:ind w:left="0" w:right="-19" w:firstLine="0"/>
                    <w:jc w:val="left"/>
                    <w:rPr>
                      <w:rFonts w:ascii="Times New Roman"/>
                      <w:i/>
                      <w:sz w:val="24"/>
                    </w:rPr>
                  </w:pPr>
                  <w:r>
                    <w:rPr>
                      <w:rFonts w:ascii="Times New Roman"/>
                      <w:i/>
                      <w:w w:val="452"/>
                      <w:sz w:val="24"/>
                    </w:rPr>
                    <w:t>t</w:t>
                  </w:r>
                  <w:r>
                    <w:rPr>
                      <w:rFonts w:ascii="Times New Roman"/>
                      <w:i/>
                      <w:spacing w:val="-242"/>
                      <w:w w:val="452"/>
                      <w:sz w:val="24"/>
                    </w:rPr>
                    <w:t>i</w:t>
                  </w:r>
                  <w:r>
                    <w:rPr>
                      <w:rFonts w:ascii="Times New Roman"/>
                      <w:i/>
                      <w:spacing w:val="-301"/>
                      <w:w w:val="452"/>
                      <w:sz w:val="24"/>
                    </w:rPr>
                    <w:t>o</w:t>
                  </w:r>
                  <w:r>
                    <w:rPr>
                      <w:rFonts w:ascii="Times New Roman"/>
                      <w:i/>
                      <w:w w:val="452"/>
                      <w:sz w:val="24"/>
                    </w:rPr>
                    <w:t>vo</w:t>
                  </w:r>
                </w:p>
              </w:txbxContent>
            </v:textbox>
            <w10:wrap type="none"/>
          </v:shape>
        </w:pict>
      </w:r>
      <w:r>
        <w:rPr/>
        <w:pict>
          <v:shape style="position:absolute;margin-left:159.6978pt;margin-top:16.570137pt;width:17.150pt;height:7.2pt;mso-position-horizontal-relative:page;mso-position-vertical-relative:paragraph;z-index:-38584" type="#_x0000_t202" filled="false" stroked="false">
            <v:textbox inset="0,0,0,0">
              <w:txbxContent>
                <w:p>
                  <w:pPr>
                    <w:spacing w:line="144" w:lineRule="exact" w:before="0"/>
                    <w:ind w:left="0" w:right="-18" w:firstLine="0"/>
                    <w:jc w:val="left"/>
                    <w:rPr>
                      <w:rFonts w:ascii="Times New Roman"/>
                      <w:sz w:val="14"/>
                    </w:rPr>
                  </w:pPr>
                  <w:r>
                    <w:rPr>
                      <w:rFonts w:ascii="Times New Roman"/>
                      <w:spacing w:val="-158"/>
                      <w:w w:val="452"/>
                      <w:sz w:val="14"/>
                    </w:rPr>
                    <w:t>(</w:t>
                  </w:r>
                  <w:r>
                    <w:rPr>
                      <w:rFonts w:ascii="Times New Roman"/>
                      <w:spacing w:val="-240"/>
                      <w:w w:val="452"/>
                      <w:sz w:val="14"/>
                    </w:rPr>
                    <w:t>9</w:t>
                  </w:r>
                  <w:r>
                    <w:rPr>
                      <w:rFonts w:ascii="Times New Roman"/>
                      <w:w w:val="452"/>
                      <w:sz w:val="14"/>
                    </w:rPr>
                    <w:t>)</w:t>
                  </w:r>
                </w:p>
              </w:txbxContent>
            </v:textbox>
            <w10:wrap type="none"/>
          </v:shape>
        </w:pict>
      </w:r>
      <w:r>
        <w:rPr>
          <w:rFonts w:ascii="Times New Roman" w:hAnsi="Times New Roman"/>
          <w:i/>
          <w:w w:val="452"/>
          <w:sz w:val="24"/>
        </w:rPr>
        <w:t>L</w:t>
      </w:r>
      <w:r>
        <w:rPr>
          <w:rFonts w:ascii="Times New Roman" w:hAnsi="Times New Roman"/>
          <w:i/>
          <w:spacing w:val="-529"/>
          <w:w w:val="452"/>
          <w:sz w:val="24"/>
        </w:rPr>
        <w:t>o</w:t>
      </w:r>
      <w:r>
        <w:rPr>
          <w:rFonts w:ascii="Times New Roman" w:hAnsi="Times New Roman"/>
          <w:spacing w:val="-437"/>
          <w:w w:val="452"/>
          <w:sz w:val="24"/>
        </w:rPr>
        <w:t>R</w:t>
      </w:r>
      <w:r>
        <w:rPr>
          <w:rFonts w:ascii="Times New Roman" w:hAnsi="Times New Roman"/>
          <w:i/>
          <w:spacing w:val="-61"/>
          <w:w w:val="452"/>
          <w:sz w:val="24"/>
        </w:rPr>
        <w:t>l</w:t>
      </w:r>
      <w:r>
        <w:rPr>
          <w:rFonts w:ascii="Times New Roman" w:hAnsi="Times New Roman"/>
          <w:i/>
          <w:spacing w:val="-483"/>
          <w:w w:val="452"/>
          <w:sz w:val="24"/>
        </w:rPr>
        <w:t>g</w:t>
      </w:r>
      <w:r>
        <w:rPr>
          <w:rFonts w:ascii="Times New Roman" w:hAnsi="Times New Roman"/>
          <w:i/>
          <w:spacing w:val="-408"/>
          <w:w w:val="452"/>
          <w:sz w:val="24"/>
        </w:rPr>
        <w:t>a</w:t>
      </w:r>
      <w:r>
        <w:rPr>
          <w:rFonts w:ascii="Times New Roman" w:hAnsi="Times New Roman"/>
          <w:spacing w:val="-135"/>
          <w:w w:val="452"/>
          <w:sz w:val="24"/>
        </w:rPr>
        <w:t>e</w:t>
      </w:r>
      <w:r>
        <w:rPr>
          <w:rFonts w:ascii="Times New Roman" w:hAnsi="Times New Roman"/>
          <w:i/>
          <w:spacing w:val="-406"/>
          <w:w w:val="452"/>
          <w:sz w:val="24"/>
        </w:rPr>
        <w:t>r</w:t>
      </w:r>
      <w:r>
        <w:rPr>
          <w:rFonts w:ascii="Symbol" w:hAnsi="Symbol"/>
          <w:spacing w:val="-390"/>
          <w:w w:val="452"/>
          <w:sz w:val="24"/>
        </w:rPr>
        <w:t></w:t>
      </w:r>
      <w:r>
        <w:rPr>
          <w:rFonts w:ascii="Times New Roman" w:hAnsi="Times New Roman"/>
          <w:spacing w:val="-257"/>
          <w:w w:val="452"/>
          <w:position w:val="15"/>
          <w:sz w:val="24"/>
        </w:rPr>
        <w:t>(</w:t>
      </w:r>
      <w:r>
        <w:rPr>
          <w:rFonts w:ascii="Times New Roman" w:hAnsi="Times New Roman"/>
          <w:i/>
          <w:spacing w:val="-490"/>
          <w:w w:val="452"/>
          <w:position w:val="15"/>
          <w:sz w:val="24"/>
        </w:rPr>
        <w:t>X</w:t>
      </w:r>
      <w:r>
        <w:rPr>
          <w:rFonts w:ascii="Times New Roman" w:hAnsi="Times New Roman"/>
          <w:spacing w:val="-179"/>
          <w:w w:val="452"/>
          <w:position w:val="9"/>
          <w:sz w:val="14"/>
        </w:rPr>
        <w:t>m</w:t>
      </w:r>
      <w:r>
        <w:rPr>
          <w:rFonts w:ascii="Symbol" w:hAnsi="Symbol"/>
          <w:spacing w:val="-418"/>
          <w:w w:val="452"/>
          <w:position w:val="15"/>
          <w:sz w:val="24"/>
        </w:rPr>
        <w:t></w:t>
      </w:r>
      <w:r>
        <w:rPr>
          <w:rFonts w:ascii="Times New Roman" w:hAnsi="Times New Roman"/>
          <w:spacing w:val="-269"/>
          <w:w w:val="452"/>
          <w:position w:val="9"/>
          <w:sz w:val="14"/>
        </w:rPr>
        <w:t>a</w:t>
      </w:r>
      <w:r>
        <w:rPr>
          <w:rFonts w:ascii="Times New Roman" w:hAnsi="Times New Roman"/>
          <w:i/>
          <w:spacing w:val="-373"/>
          <w:w w:val="452"/>
          <w:position w:val="15"/>
          <w:sz w:val="24"/>
        </w:rPr>
        <w:t>x</w:t>
      </w:r>
      <w:r>
        <w:rPr>
          <w:rFonts w:ascii="Times New Roman" w:hAnsi="Times New Roman"/>
          <w:i/>
          <w:spacing w:val="-228"/>
          <w:w w:val="452"/>
          <w:position w:val="9"/>
          <w:sz w:val="14"/>
        </w:rPr>
        <w:t>P</w:t>
      </w:r>
      <w:r>
        <w:rPr>
          <w:rFonts w:ascii="Times New Roman" w:hAnsi="Times New Roman"/>
          <w:w w:val="452"/>
          <w:position w:val="9"/>
          <w:sz w:val="14"/>
        </w:rPr>
        <w:t>x</w:t>
      </w:r>
    </w:p>
    <w:p>
      <w:pPr>
        <w:spacing w:line="331" w:lineRule="exact" w:before="0"/>
        <w:ind w:left="2120" w:right="273" w:firstLine="0"/>
        <w:jc w:val="left"/>
        <w:rPr>
          <w:rFonts w:ascii="Times New Roman" w:hAnsi="Times New Roman"/>
          <w:sz w:val="24"/>
        </w:rPr>
      </w:pPr>
      <w:r>
        <w:rPr>
          <w:rFonts w:ascii="Times New Roman" w:hAnsi="Times New Roman"/>
          <w:spacing w:val="-257"/>
          <w:w w:val="452"/>
          <w:sz w:val="24"/>
        </w:rPr>
        <w:t>(</w:t>
      </w:r>
      <w:r>
        <w:rPr>
          <w:rFonts w:ascii="Times New Roman" w:hAnsi="Times New Roman"/>
          <w:i/>
          <w:spacing w:val="-490"/>
          <w:w w:val="452"/>
          <w:sz w:val="24"/>
        </w:rPr>
        <w:t>X</w:t>
      </w:r>
      <w:r>
        <w:rPr>
          <w:rFonts w:ascii="Times New Roman" w:hAnsi="Times New Roman"/>
          <w:spacing w:val="-179"/>
          <w:w w:val="452"/>
          <w:position w:val="-5"/>
          <w:sz w:val="14"/>
        </w:rPr>
        <w:t>m</w:t>
      </w:r>
      <w:r>
        <w:rPr>
          <w:rFonts w:ascii="Symbol" w:hAnsi="Symbol"/>
          <w:spacing w:val="-418"/>
          <w:w w:val="452"/>
          <w:sz w:val="24"/>
        </w:rPr>
        <w:t></w:t>
      </w:r>
      <w:r>
        <w:rPr>
          <w:rFonts w:ascii="Times New Roman" w:hAnsi="Times New Roman"/>
          <w:spacing w:val="-261"/>
          <w:w w:val="452"/>
          <w:position w:val="-5"/>
          <w:sz w:val="14"/>
        </w:rPr>
        <w:t>a</w:t>
      </w:r>
      <w:r>
        <w:rPr>
          <w:rFonts w:ascii="Times New Roman" w:hAnsi="Times New Roman"/>
          <w:i/>
          <w:spacing w:val="-490"/>
          <w:w w:val="452"/>
          <w:sz w:val="24"/>
        </w:rPr>
        <w:t>X</w:t>
      </w:r>
      <w:r>
        <w:rPr>
          <w:rFonts w:ascii="Times New Roman" w:hAnsi="Times New Roman"/>
          <w:spacing w:val="-406"/>
          <w:w w:val="452"/>
          <w:position w:val="-5"/>
          <w:sz w:val="14"/>
        </w:rPr>
        <w:t>m</w:t>
      </w:r>
      <w:r>
        <w:rPr>
          <w:rFonts w:ascii="Times New Roman" w:hAnsi="Times New Roman"/>
          <w:spacing w:val="-157"/>
          <w:w w:val="452"/>
          <w:position w:val="-5"/>
          <w:sz w:val="14"/>
        </w:rPr>
        <w:t>x</w:t>
      </w:r>
      <w:r>
        <w:rPr>
          <w:rFonts w:ascii="Times New Roman" w:hAnsi="Times New Roman"/>
          <w:w w:val="452"/>
          <w:sz w:val="24"/>
        </w:rPr>
        <w:t>)</w:t>
      </w:r>
    </w:p>
    <w:p>
      <w:pPr>
        <w:pStyle w:val="BodyText"/>
        <w:spacing w:before="1"/>
        <w:rPr>
          <w:rFonts w:ascii="Times New Roman"/>
          <w:sz w:val="15"/>
        </w:rPr>
      </w:pPr>
    </w:p>
    <w:p>
      <w:pPr>
        <w:tabs>
          <w:tab w:pos="829" w:val="left" w:leader="none"/>
        </w:tabs>
        <w:spacing w:before="78"/>
        <w:ind w:left="122" w:right="275" w:firstLine="0"/>
        <w:jc w:val="both"/>
        <w:rPr>
          <w:sz w:val="20"/>
        </w:rPr>
      </w:pPr>
      <w:r>
        <w:rPr>
          <w:position w:val="6"/>
          <w:sz w:val="13"/>
        </w:rPr>
        <w:t>3</w:t>
        <w:tab/>
      </w:r>
      <w:r>
        <w:rPr>
          <w:sz w:val="20"/>
        </w:rPr>
        <w:t>Las regiones cubanas están compuestas por diferentes provincias. La  </w:t>
      </w:r>
      <w:r>
        <w:rPr>
          <w:spacing w:val="32"/>
          <w:sz w:val="20"/>
        </w:rPr>
        <w:t> </w:t>
      </w:r>
      <w:r>
        <w:rPr>
          <w:sz w:val="20"/>
        </w:rPr>
        <w:t>Región</w:t>
      </w:r>
      <w:r>
        <w:rPr>
          <w:spacing w:val="17"/>
          <w:sz w:val="20"/>
        </w:rPr>
        <w:t> </w:t>
      </w:r>
      <w:r>
        <w:rPr>
          <w:sz w:val="20"/>
        </w:rPr>
        <w:t>Occidental</w:t>
      </w:r>
      <w:r>
        <w:rPr>
          <w:w w:val="99"/>
          <w:sz w:val="20"/>
        </w:rPr>
        <w:t> </w:t>
      </w:r>
      <w:r>
        <w:rPr>
          <w:sz w:val="20"/>
        </w:rPr>
        <w:t>por: Pinar del Río, Habana, Ciudad de la Habana, Matanzas y el municipio especial Isla de la Juventud,</w:t>
      </w:r>
      <w:r>
        <w:rPr>
          <w:spacing w:val="-3"/>
          <w:sz w:val="20"/>
        </w:rPr>
        <w:t> </w:t>
      </w:r>
      <w:r>
        <w:rPr>
          <w:sz w:val="20"/>
        </w:rPr>
        <w:t>que</w:t>
      </w:r>
      <w:r>
        <w:rPr>
          <w:spacing w:val="-4"/>
          <w:sz w:val="20"/>
        </w:rPr>
        <w:t> </w:t>
      </w:r>
      <w:r>
        <w:rPr>
          <w:sz w:val="20"/>
        </w:rPr>
        <w:t>por</w:t>
      </w:r>
      <w:r>
        <w:rPr>
          <w:spacing w:val="-2"/>
          <w:sz w:val="20"/>
        </w:rPr>
        <w:t> </w:t>
      </w:r>
      <w:r>
        <w:rPr>
          <w:sz w:val="20"/>
        </w:rPr>
        <w:t>sus</w:t>
      </w:r>
      <w:r>
        <w:rPr>
          <w:spacing w:val="-5"/>
          <w:sz w:val="20"/>
        </w:rPr>
        <w:t> </w:t>
      </w:r>
      <w:r>
        <w:rPr>
          <w:sz w:val="20"/>
        </w:rPr>
        <w:t>características</w:t>
      </w:r>
      <w:r>
        <w:rPr>
          <w:spacing w:val="-5"/>
          <w:sz w:val="20"/>
        </w:rPr>
        <w:t> </w:t>
      </w:r>
      <w:r>
        <w:rPr>
          <w:sz w:val="20"/>
        </w:rPr>
        <w:t>es</w:t>
      </w:r>
      <w:r>
        <w:rPr>
          <w:spacing w:val="-5"/>
          <w:sz w:val="20"/>
        </w:rPr>
        <w:t> </w:t>
      </w:r>
      <w:r>
        <w:rPr>
          <w:sz w:val="20"/>
        </w:rPr>
        <w:t>considerado</w:t>
      </w:r>
      <w:r>
        <w:rPr>
          <w:spacing w:val="-1"/>
          <w:sz w:val="20"/>
        </w:rPr>
        <w:t> </w:t>
      </w:r>
      <w:r>
        <w:rPr>
          <w:sz w:val="20"/>
        </w:rPr>
        <w:t>a</w:t>
      </w:r>
      <w:r>
        <w:rPr>
          <w:spacing w:val="-6"/>
          <w:sz w:val="20"/>
        </w:rPr>
        <w:t> </w:t>
      </w:r>
      <w:r>
        <w:rPr>
          <w:sz w:val="20"/>
        </w:rPr>
        <w:t>los</w:t>
      </w:r>
      <w:r>
        <w:rPr>
          <w:spacing w:val="-5"/>
          <w:sz w:val="20"/>
        </w:rPr>
        <w:t> </w:t>
      </w:r>
      <w:r>
        <w:rPr>
          <w:sz w:val="20"/>
        </w:rPr>
        <w:t>efectos</w:t>
      </w:r>
      <w:r>
        <w:rPr>
          <w:spacing w:val="-2"/>
          <w:sz w:val="20"/>
        </w:rPr>
        <w:t> </w:t>
      </w:r>
      <w:r>
        <w:rPr>
          <w:sz w:val="20"/>
        </w:rPr>
        <w:t>estadísticos</w:t>
      </w:r>
      <w:r>
        <w:rPr>
          <w:spacing w:val="-5"/>
          <w:sz w:val="20"/>
        </w:rPr>
        <w:t> </w:t>
      </w:r>
      <w:r>
        <w:rPr>
          <w:sz w:val="20"/>
        </w:rPr>
        <w:t>como</w:t>
      </w:r>
      <w:r>
        <w:rPr>
          <w:spacing w:val="-6"/>
          <w:sz w:val="20"/>
        </w:rPr>
        <w:t> </w:t>
      </w:r>
      <w:r>
        <w:rPr>
          <w:sz w:val="20"/>
        </w:rPr>
        <w:t>una</w:t>
      </w:r>
      <w:r>
        <w:rPr>
          <w:spacing w:val="-3"/>
          <w:sz w:val="20"/>
        </w:rPr>
        <w:t> </w:t>
      </w:r>
      <w:r>
        <w:rPr>
          <w:sz w:val="20"/>
        </w:rPr>
        <w:t>provincia más; la Región Central por: Villa Clara, Cienfuegos, Sancti Spiritus, Ciego de Ávila y Camagüey; y la Región Oriental por: Las Tunas, Holguín, Granma, Santiago de Cuba y</w:t>
      </w:r>
      <w:r>
        <w:rPr>
          <w:spacing w:val="-16"/>
          <w:sz w:val="20"/>
        </w:rPr>
        <w:t> </w:t>
      </w:r>
      <w:r>
        <w:rPr>
          <w:sz w:val="20"/>
        </w:rPr>
        <w:t>Guantánamo.</w:t>
      </w:r>
    </w:p>
    <w:p>
      <w:pPr>
        <w:pStyle w:val="BodyText"/>
        <w:rPr>
          <w:sz w:val="20"/>
        </w:rPr>
      </w:pPr>
    </w:p>
    <w:p>
      <w:pPr>
        <w:tabs>
          <w:tab w:pos="829" w:val="left" w:leader="none"/>
        </w:tabs>
        <w:spacing w:before="1"/>
        <w:ind w:left="122" w:right="0" w:firstLine="0"/>
        <w:jc w:val="both"/>
        <w:rPr>
          <w:sz w:val="20"/>
        </w:rPr>
      </w:pPr>
      <w:r>
        <w:rPr>
          <w:position w:val="6"/>
          <w:sz w:val="13"/>
        </w:rPr>
        <w:t>4</w:t>
        <w:tab/>
      </w:r>
      <w:r>
        <w:rPr>
          <w:sz w:val="20"/>
        </w:rPr>
        <w:t>ton DBO: tonelada de demanda bioquímica de</w:t>
      </w:r>
      <w:r>
        <w:rPr>
          <w:spacing w:val="-13"/>
          <w:sz w:val="20"/>
        </w:rPr>
        <w:t> </w:t>
      </w:r>
      <w:r>
        <w:rPr>
          <w:sz w:val="20"/>
        </w:rPr>
        <w:t>oxígeno.</w:t>
      </w:r>
    </w:p>
    <w:p>
      <w:pPr>
        <w:pStyle w:val="BodyText"/>
        <w:spacing w:before="10"/>
        <w:rPr>
          <w:sz w:val="19"/>
        </w:rPr>
      </w:pPr>
    </w:p>
    <w:p>
      <w:pPr>
        <w:tabs>
          <w:tab w:pos="829" w:val="left" w:leader="none"/>
        </w:tabs>
        <w:spacing w:before="0"/>
        <w:ind w:left="122" w:right="0" w:firstLine="0"/>
        <w:jc w:val="both"/>
        <w:rPr>
          <w:sz w:val="20"/>
        </w:rPr>
      </w:pPr>
      <w:r>
        <w:rPr>
          <w:position w:val="6"/>
          <w:sz w:val="13"/>
        </w:rPr>
        <w:t>5</w:t>
        <w:tab/>
      </w:r>
      <w:r>
        <w:rPr>
          <w:sz w:val="20"/>
        </w:rPr>
        <w:t>El</w:t>
      </w:r>
      <w:r>
        <w:rPr>
          <w:spacing w:val="42"/>
          <w:sz w:val="20"/>
        </w:rPr>
        <w:t> </w:t>
      </w:r>
      <w:r>
        <w:rPr>
          <w:sz w:val="20"/>
        </w:rPr>
        <w:t>coeficiente</w:t>
      </w:r>
      <w:r>
        <w:rPr>
          <w:spacing w:val="43"/>
          <w:sz w:val="20"/>
        </w:rPr>
        <w:t> </w:t>
      </w:r>
      <w:r>
        <w:rPr>
          <w:sz w:val="20"/>
        </w:rPr>
        <w:t>de</w:t>
      </w:r>
      <w:r>
        <w:rPr>
          <w:spacing w:val="45"/>
          <w:sz w:val="20"/>
        </w:rPr>
        <w:t> </w:t>
      </w:r>
      <w:r>
        <w:rPr>
          <w:sz w:val="20"/>
        </w:rPr>
        <w:t>variación</w:t>
      </w:r>
      <w:r>
        <w:rPr>
          <w:spacing w:val="43"/>
          <w:sz w:val="20"/>
        </w:rPr>
        <w:t> </w:t>
      </w:r>
      <w:r>
        <w:rPr>
          <w:sz w:val="20"/>
        </w:rPr>
        <w:t>para</w:t>
      </w:r>
      <w:r>
        <w:rPr>
          <w:spacing w:val="45"/>
          <w:sz w:val="20"/>
        </w:rPr>
        <w:t> </w:t>
      </w:r>
      <w:r>
        <w:rPr>
          <w:sz w:val="20"/>
        </w:rPr>
        <w:t>cada</w:t>
      </w:r>
      <w:r>
        <w:rPr>
          <w:spacing w:val="45"/>
          <w:sz w:val="20"/>
        </w:rPr>
        <w:t> </w:t>
      </w:r>
      <w:r>
        <w:rPr>
          <w:sz w:val="20"/>
        </w:rPr>
        <w:t>provincia</w:t>
      </w:r>
      <w:r>
        <w:rPr>
          <w:spacing w:val="43"/>
          <w:sz w:val="20"/>
        </w:rPr>
        <w:t> </w:t>
      </w:r>
      <w:r>
        <w:rPr>
          <w:sz w:val="20"/>
        </w:rPr>
        <w:t>se</w:t>
      </w:r>
      <w:r>
        <w:rPr>
          <w:spacing w:val="45"/>
          <w:sz w:val="20"/>
        </w:rPr>
        <w:t> </w:t>
      </w:r>
      <w:r>
        <w:rPr>
          <w:sz w:val="20"/>
        </w:rPr>
        <w:t>calcula</w:t>
      </w:r>
      <w:r>
        <w:rPr>
          <w:spacing w:val="43"/>
          <w:sz w:val="20"/>
        </w:rPr>
        <w:t> </w:t>
      </w:r>
      <w:r>
        <w:rPr>
          <w:sz w:val="20"/>
        </w:rPr>
        <w:t>por</w:t>
      </w:r>
      <w:r>
        <w:rPr>
          <w:spacing w:val="44"/>
          <w:sz w:val="20"/>
        </w:rPr>
        <w:t> </w:t>
      </w:r>
      <w:r>
        <w:rPr>
          <w:sz w:val="20"/>
        </w:rPr>
        <w:t>medio</w:t>
      </w:r>
      <w:r>
        <w:rPr>
          <w:spacing w:val="43"/>
          <w:sz w:val="20"/>
        </w:rPr>
        <w:t> </w:t>
      </w:r>
      <w:r>
        <w:rPr>
          <w:sz w:val="20"/>
        </w:rPr>
        <w:t>de</w:t>
      </w:r>
      <w:r>
        <w:rPr>
          <w:spacing w:val="43"/>
          <w:sz w:val="20"/>
        </w:rPr>
        <w:t> </w:t>
      </w:r>
      <w:r>
        <w:rPr>
          <w:sz w:val="20"/>
        </w:rPr>
        <w:t>la</w:t>
      </w:r>
      <w:r>
        <w:rPr>
          <w:spacing w:val="45"/>
          <w:sz w:val="20"/>
        </w:rPr>
        <w:t> </w:t>
      </w:r>
      <w:r>
        <w:rPr>
          <w:sz w:val="20"/>
        </w:rPr>
        <w:t>expresión:</w:t>
      </w:r>
    </w:p>
    <w:p>
      <w:pPr>
        <w:spacing w:line="410" w:lineRule="exact" w:before="15"/>
        <w:ind w:left="1485" w:right="273" w:firstLine="0"/>
        <w:jc w:val="left"/>
        <w:rPr>
          <w:rFonts w:ascii="Symbol" w:hAnsi="Symbol"/>
          <w:sz w:val="42"/>
        </w:rPr>
      </w:pPr>
      <w:r>
        <w:rPr/>
        <w:pict>
          <v:group style="position:absolute;margin-left:135.995728pt;margin-top:2.643117pt;width:70.45pt;height:29.8pt;mso-position-horizontal-relative:page;mso-position-vertical-relative:paragraph;z-index:-38752" coordorigin="2720,53" coordsize="1409,596">
            <v:line style="position:absolute" from="2881,377" to="3030,377" stroked="true" strokeweight=".127826pt" strokecolor="#000000"/>
            <v:line style="position:absolute" from="2724,435" to="2755,418" stroked="true" strokeweight=".315501pt" strokecolor="#000000"/>
            <v:line style="position:absolute" from="2755,423" to="2799,638" stroked="true" strokeweight=".980542pt" strokecolor="#000000"/>
            <v:shape style="position:absolute;left:14435;top:-19708;width:17330;height:14857" coordorigin="14435,-19708" coordsize="17330,14857" path="m2804,638l2863,58m2863,58l4125,58e" filled="false" stroked="true" strokeweight=".377472pt" strokecolor="#000000">
              <v:path arrowok="t"/>
            </v:shape>
            <w10:wrap type="none"/>
          </v:group>
        </w:pict>
      </w:r>
      <w:r>
        <w:rPr/>
        <w:pict>
          <v:line style="position:absolute;mso-position-horizontal-relative:page;mso-position-vertical-relative:paragraph;z-index:-38728" from="191.139328pt,10.7376pt" to="196.576805pt,10.737603pt" stroked="true" strokeweight=".255652pt" strokecolor="#000000">
            <w10:wrap type="none"/>
          </v:line>
        </w:pict>
      </w:r>
      <w:r>
        <w:rPr/>
        <w:pict>
          <v:shape style="position:absolute;margin-left:144.789993pt;margin-top:4.38464pt;width:63pt;height:12.4pt;mso-position-horizontal-relative:page;mso-position-vertical-relative:paragraph;z-index:-38632" type="#_x0000_t202" filled="false" stroked="false">
            <v:textbox inset="0,0,0,0">
              <w:txbxContent>
                <w:p>
                  <w:pPr>
                    <w:tabs>
                      <w:tab w:pos="1118" w:val="left" w:leader="none"/>
                    </w:tabs>
                    <w:spacing w:line="247" w:lineRule="exact" w:before="0"/>
                    <w:ind w:left="0" w:right="0" w:firstLine="0"/>
                    <w:jc w:val="left"/>
                    <w:rPr>
                      <w:rFonts w:ascii="Times New Roman"/>
                      <w:sz w:val="14"/>
                    </w:rPr>
                  </w:pPr>
                  <w:r>
                    <w:rPr>
                      <w:rFonts w:ascii="Times New Roman"/>
                      <w:w w:val="200"/>
                      <w:sz w:val="24"/>
                    </w:rPr>
                    <w:t>1</w:t>
                    <w:tab/>
                  </w:r>
                  <w:r>
                    <w:rPr>
                      <w:rFonts w:ascii="Times New Roman"/>
                      <w:w w:val="200"/>
                      <w:position w:val="2"/>
                      <w:sz w:val="14"/>
                    </w:rPr>
                    <w:t>2</w:t>
                  </w:r>
                </w:p>
              </w:txbxContent>
            </v:textbox>
            <w10:wrap type="none"/>
          </v:shape>
        </w:pict>
      </w:r>
      <w:r>
        <w:rPr>
          <w:rFonts w:ascii="Symbol" w:hAnsi="Symbol"/>
          <w:spacing w:val="-235"/>
          <w:w w:val="195"/>
          <w:position w:val="-5"/>
          <w:sz w:val="37"/>
        </w:rPr>
        <w:t></w:t>
      </w:r>
      <w:r>
        <w:rPr>
          <w:rFonts w:ascii="Symbol" w:hAnsi="Symbol"/>
          <w:spacing w:val="-87"/>
          <w:w w:val="113"/>
          <w:sz w:val="42"/>
        </w:rPr>
        <w:t></w:t>
      </w:r>
      <w:r>
        <w:rPr>
          <w:rFonts w:ascii="Times New Roman" w:hAnsi="Times New Roman"/>
          <w:i/>
          <w:spacing w:val="-105"/>
          <w:w w:val="201"/>
          <w:sz w:val="24"/>
        </w:rPr>
        <w:t>x</w:t>
      </w:r>
      <w:r>
        <w:rPr>
          <w:rFonts w:ascii="Times New Roman" w:hAnsi="Times New Roman"/>
          <w:i/>
          <w:w w:val="201"/>
          <w:position w:val="-5"/>
          <w:sz w:val="14"/>
        </w:rPr>
        <w:t>i</w:t>
      </w:r>
      <w:r>
        <w:rPr>
          <w:rFonts w:ascii="Times New Roman" w:hAnsi="Times New Roman"/>
          <w:i/>
          <w:spacing w:val="2"/>
          <w:position w:val="-5"/>
          <w:sz w:val="14"/>
        </w:rPr>
        <w:t> </w:t>
      </w:r>
      <w:r>
        <w:rPr>
          <w:rFonts w:ascii="Symbol" w:hAnsi="Symbol"/>
          <w:spacing w:val="-80"/>
          <w:w w:val="201"/>
          <w:sz w:val="24"/>
        </w:rPr>
        <w:t></w:t>
      </w:r>
      <w:r>
        <w:rPr>
          <w:rFonts w:ascii="Times New Roman" w:hAnsi="Times New Roman"/>
          <w:i/>
          <w:spacing w:val="-95"/>
          <w:w w:val="201"/>
          <w:sz w:val="24"/>
        </w:rPr>
        <w:t>x</w:t>
      </w:r>
      <w:r>
        <w:rPr>
          <w:rFonts w:ascii="Symbol" w:hAnsi="Symbol"/>
          <w:w w:val="113"/>
          <w:sz w:val="42"/>
        </w:rPr>
        <w:t></w:t>
      </w:r>
    </w:p>
    <w:p>
      <w:pPr>
        <w:pStyle w:val="Heading1"/>
        <w:tabs>
          <w:tab w:pos="1118" w:val="left" w:leader="none"/>
          <w:tab w:pos="2565" w:val="left" w:leader="none"/>
        </w:tabs>
        <w:ind w:left="151" w:right="273"/>
        <w:rPr>
          <w:i/>
        </w:rPr>
      </w:pPr>
      <w:r>
        <w:rPr>
          <w:i/>
          <w:w w:val="200"/>
          <w:position w:val="-11"/>
        </w:rPr>
        <w:t>CV</w:t>
        <w:tab/>
      </w:r>
      <w:r>
        <w:rPr>
          <w:i/>
          <w:w w:val="200"/>
          <w:u w:val="single"/>
        </w:rPr>
        <w:t>n</w:t>
      </w:r>
      <w:r>
        <w:rPr>
          <w:i/>
          <w:u w:val="single"/>
        </w:rPr>
        <w:tab/>
      </w:r>
    </w:p>
    <w:p>
      <w:pPr>
        <w:tabs>
          <w:tab w:pos="1699" w:val="right" w:leader="none"/>
        </w:tabs>
        <w:spacing w:line="351" w:lineRule="exact" w:before="0"/>
        <w:ind w:left="464" w:right="0" w:firstLine="0"/>
        <w:jc w:val="left"/>
        <w:rPr>
          <w:rFonts w:ascii="Times New Roman" w:hAnsi="Times New Roman"/>
          <w:sz w:val="24"/>
        </w:rPr>
      </w:pPr>
      <w:r>
        <w:rPr/>
        <w:pict>
          <v:shape style="position:absolute;margin-left:163.980911pt;margin-top:13.14708pt;width:14.8pt;height:18.55pt;mso-position-horizontal-relative:page;mso-position-vertical-relative:paragraph;z-index:-38608" type="#_x0000_t202" filled="false" stroked="false">
            <v:textbox inset="0,0,0,0">
              <w:txbxContent>
                <w:p>
                  <w:pPr>
                    <w:spacing w:line="371" w:lineRule="exact" w:before="0"/>
                    <w:ind w:left="0" w:right="0" w:firstLine="0"/>
                    <w:jc w:val="left"/>
                    <w:rPr>
                      <w:rFonts w:ascii="Symbol" w:hAnsi="Symbol"/>
                      <w:sz w:val="37"/>
                    </w:rPr>
                  </w:pPr>
                  <w:r>
                    <w:rPr>
                      <w:rFonts w:ascii="Symbol" w:hAnsi="Symbol"/>
                      <w:spacing w:val="-221"/>
                      <w:w w:val="195"/>
                      <w:sz w:val="37"/>
                    </w:rPr>
                    <w:t></w:t>
                  </w:r>
                </w:p>
              </w:txbxContent>
            </v:textbox>
            <w10:wrap type="none"/>
          </v:shape>
        </w:pict>
      </w:r>
      <w:r>
        <w:rPr>
          <w:rFonts w:ascii="Times New Roman" w:hAnsi="Times New Roman"/>
          <w:i/>
          <w:w w:val="201"/>
          <w:sz w:val="14"/>
        </w:rPr>
        <w:t>PR</w:t>
      </w:r>
      <w:r>
        <w:rPr>
          <w:rFonts w:ascii="Times New Roman" w:hAnsi="Times New Roman"/>
          <w:i/>
          <w:spacing w:val="-86"/>
          <w:w w:val="201"/>
          <w:sz w:val="14"/>
        </w:rPr>
        <w:t>O</w:t>
      </w:r>
      <w:r>
        <w:rPr>
          <w:rFonts w:ascii="Symbol" w:hAnsi="Symbol"/>
          <w:spacing w:val="-180"/>
          <w:w w:val="201"/>
          <w:position w:val="6"/>
          <w:sz w:val="24"/>
        </w:rPr>
        <w:t></w:t>
      </w:r>
      <w:r>
        <w:rPr>
          <w:rFonts w:ascii="Times New Roman" w:hAnsi="Times New Roman"/>
          <w:i/>
          <w:w w:val="201"/>
          <w:sz w:val="14"/>
        </w:rPr>
        <w:t>V</w:t>
      </w:r>
      <w:r>
        <w:rPr>
          <w:rFonts w:ascii="Times New Roman" w:hAnsi="Times New Roman"/>
          <w:w w:val="201"/>
          <w:position w:val="-9"/>
          <w:sz w:val="24"/>
        </w:rPr>
        <w:t> </w:t>
      </w:r>
      <w:r>
        <w:rPr>
          <w:rFonts w:ascii="Times New Roman" w:hAnsi="Times New Roman"/>
          <w:position w:val="-9"/>
          <w:sz w:val="24"/>
        </w:rPr>
        <w:tab/>
      </w:r>
      <w:r>
        <w:rPr>
          <w:rFonts w:ascii="Times New Roman" w:hAnsi="Times New Roman"/>
          <w:spacing w:val="-72"/>
          <w:w w:val="201"/>
          <w:position w:val="-9"/>
          <w:sz w:val="24"/>
        </w:rPr>
        <w:t>1</w:t>
      </w:r>
    </w:p>
    <w:p>
      <w:pPr>
        <w:spacing w:line="187" w:lineRule="exact" w:before="0"/>
        <w:ind w:left="1995" w:right="273" w:firstLine="0"/>
        <w:jc w:val="left"/>
        <w:rPr>
          <w:rFonts w:ascii="Times New Roman"/>
          <w:i/>
          <w:sz w:val="14"/>
        </w:rPr>
      </w:pPr>
      <w:r>
        <w:rPr/>
        <w:pict>
          <v:line style="position:absolute;mso-position-horizontal-relative:page;mso-position-vertical-relative:paragraph;z-index:2992" from="154.760620pt,5.022204pt" to="162.198930pt,5.022207pt" stroked="true" strokeweight=".127826pt" strokecolor="#000000">
            <w10:wrap type="none"/>
          </v:line>
        </w:pict>
      </w:r>
      <w:r>
        <w:rPr>
          <w:rFonts w:ascii="Times New Roman"/>
          <w:i/>
          <w:spacing w:val="-105"/>
          <w:w w:val="201"/>
          <w:sz w:val="24"/>
        </w:rPr>
        <w:t>x</w:t>
      </w:r>
      <w:r>
        <w:rPr>
          <w:rFonts w:ascii="Times New Roman"/>
          <w:i/>
          <w:w w:val="201"/>
          <w:position w:val="-5"/>
          <w:sz w:val="14"/>
        </w:rPr>
        <w:t>i</w:t>
      </w:r>
    </w:p>
    <w:p>
      <w:pPr>
        <w:pStyle w:val="Heading1"/>
        <w:spacing w:line="212" w:lineRule="exact"/>
        <w:ind w:left="1531" w:right="0"/>
        <w:rPr>
          <w:i/>
        </w:rPr>
      </w:pPr>
      <w:r>
        <w:rPr>
          <w:i/>
          <w:spacing w:val="-74"/>
          <w:w w:val="201"/>
        </w:rPr>
        <w:t>n</w:t>
      </w:r>
    </w:p>
    <w:p>
      <w:pPr>
        <w:tabs>
          <w:tab w:pos="829" w:val="left" w:leader="none"/>
        </w:tabs>
        <w:spacing w:line="219" w:lineRule="exact" w:before="0"/>
        <w:ind w:left="122" w:right="0" w:firstLine="0"/>
        <w:jc w:val="left"/>
        <w:rPr>
          <w:sz w:val="20"/>
        </w:rPr>
      </w:pPr>
      <w:r>
        <w:rPr>
          <w:position w:val="6"/>
          <w:sz w:val="13"/>
        </w:rPr>
        <w:t>6</w:t>
        <w:tab/>
      </w:r>
      <w:r>
        <w:rPr>
          <w:sz w:val="20"/>
        </w:rPr>
        <w:t>La homogeneidad de los  logros  relativos  para cada  provincia se obtiene por  la  </w:t>
      </w:r>
      <w:r>
        <w:rPr>
          <w:spacing w:val="43"/>
          <w:sz w:val="20"/>
        </w:rPr>
        <w:t> </w:t>
      </w:r>
      <w:r>
        <w:rPr>
          <w:sz w:val="20"/>
        </w:rPr>
        <w:t>siguiente</w:t>
      </w:r>
    </w:p>
    <w:p>
      <w:pPr>
        <w:spacing w:line="187" w:lineRule="exact" w:before="0"/>
        <w:ind w:left="122" w:right="273" w:firstLine="0"/>
        <w:jc w:val="left"/>
        <w:rPr>
          <w:sz w:val="20"/>
        </w:rPr>
      </w:pPr>
      <w:r>
        <w:rPr>
          <w:sz w:val="20"/>
        </w:rPr>
        <w:t>expresión:</w:t>
      </w:r>
    </w:p>
    <w:p>
      <w:pPr>
        <w:spacing w:line="214" w:lineRule="exact" w:before="0"/>
        <w:ind w:left="2519" w:right="273" w:firstLine="0"/>
        <w:jc w:val="left"/>
        <w:rPr>
          <w:rFonts w:ascii="Times New Roman" w:hAnsi="Times New Roman"/>
          <w:i/>
          <w:sz w:val="24"/>
        </w:rPr>
      </w:pPr>
      <w:r>
        <w:rPr>
          <w:rFonts w:ascii="Symbol" w:hAnsi="Symbol"/>
          <w:spacing w:val="-360"/>
          <w:w w:val="407"/>
          <w:sz w:val="32"/>
        </w:rPr>
        <w:t></w:t>
      </w:r>
      <w:r>
        <w:rPr>
          <w:rFonts w:ascii="Times New Roman" w:hAnsi="Times New Roman"/>
          <w:spacing w:val="-591"/>
          <w:w w:val="551"/>
          <w:sz w:val="24"/>
        </w:rPr>
        <w:t>m</w:t>
      </w:r>
      <w:r>
        <w:rPr>
          <w:rFonts w:ascii="Times New Roman" w:hAnsi="Times New Roman"/>
          <w:i/>
          <w:spacing w:val="-498"/>
          <w:w w:val="551"/>
          <w:sz w:val="24"/>
        </w:rPr>
        <w:t>C</w:t>
      </w:r>
      <w:r>
        <w:rPr>
          <w:rFonts w:ascii="Symbol" w:hAnsi="Symbol"/>
          <w:spacing w:val="-560"/>
          <w:w w:val="551"/>
          <w:sz w:val="24"/>
        </w:rPr>
        <w:t></w:t>
      </w:r>
      <w:r>
        <w:rPr>
          <w:rFonts w:ascii="Times New Roman" w:hAnsi="Times New Roman"/>
          <w:i/>
          <w:spacing w:val="-843"/>
          <w:w w:val="551"/>
          <w:sz w:val="24"/>
        </w:rPr>
        <w:t>C</w:t>
      </w:r>
      <w:r>
        <w:rPr>
          <w:rFonts w:ascii="Times New Roman" w:hAnsi="Times New Roman"/>
          <w:spacing w:val="-297"/>
          <w:w w:val="551"/>
          <w:sz w:val="24"/>
        </w:rPr>
        <w:t>a</w:t>
      </w:r>
      <w:r>
        <w:rPr>
          <w:rFonts w:ascii="Times New Roman" w:hAnsi="Times New Roman"/>
          <w:i/>
          <w:spacing w:val="-1"/>
          <w:w w:val="551"/>
          <w:sz w:val="24"/>
        </w:rPr>
        <w:t>V</w:t>
      </w:r>
    </w:p>
    <w:p>
      <w:pPr>
        <w:tabs>
          <w:tab w:pos="3359" w:val="left" w:leader="none"/>
        </w:tabs>
        <w:spacing w:line="129" w:lineRule="exact" w:before="0"/>
        <w:ind w:left="346" w:right="273" w:firstLine="0"/>
        <w:jc w:val="left"/>
        <w:rPr>
          <w:rFonts w:ascii="Times New Roman" w:hAnsi="Times New Roman"/>
          <w:i/>
          <w:sz w:val="14"/>
        </w:rPr>
      </w:pPr>
      <w:r>
        <w:rPr>
          <w:rFonts w:ascii="Times New Roman" w:hAnsi="Times New Roman"/>
          <w:i/>
          <w:w w:val="551"/>
          <w:sz w:val="24"/>
        </w:rPr>
        <w:t>HO</w:t>
      </w:r>
      <w:r>
        <w:rPr>
          <w:rFonts w:ascii="Times New Roman" w:hAnsi="Times New Roman"/>
          <w:i/>
          <w:spacing w:val="-1061"/>
          <w:w w:val="551"/>
          <w:sz w:val="24"/>
        </w:rPr>
        <w:t>M</w:t>
      </w:r>
      <w:r>
        <w:rPr>
          <w:rFonts w:ascii="Symbol" w:hAnsi="Symbol"/>
          <w:w w:val="551"/>
          <w:sz w:val="24"/>
        </w:rPr>
        <w:t></w:t>
      </w:r>
      <w:r>
        <w:rPr>
          <w:rFonts w:ascii="Times New Roman" w:hAnsi="Times New Roman"/>
          <w:sz w:val="24"/>
        </w:rPr>
        <w:tab/>
      </w:r>
      <w:r>
        <w:rPr>
          <w:rFonts w:ascii="Times New Roman" w:hAnsi="Times New Roman"/>
          <w:i/>
          <w:spacing w:val="-419"/>
          <w:w w:val="551"/>
          <w:sz w:val="24"/>
        </w:rPr>
        <w:t>O</w:t>
      </w:r>
      <w:r>
        <w:rPr>
          <w:rFonts w:ascii="Times New Roman" w:hAnsi="Times New Roman"/>
          <w:i/>
          <w:w w:val="551"/>
          <w:position w:val="10"/>
          <w:sz w:val="14"/>
        </w:rPr>
        <w:t>P</w:t>
      </w:r>
    </w:p>
    <w:p>
      <w:pPr>
        <w:spacing w:line="344" w:lineRule="exact" w:before="0"/>
        <w:ind w:left="1242" w:right="273" w:firstLine="0"/>
        <w:jc w:val="left"/>
        <w:rPr>
          <w:rFonts w:ascii="Times New Roman" w:hAnsi="Times New Roman"/>
          <w:i/>
          <w:sz w:val="24"/>
        </w:rPr>
      </w:pPr>
      <w:r>
        <w:rPr/>
        <w:pict>
          <v:line style="position:absolute;mso-position-horizontal-relative:page;mso-position-vertical-relative:paragraph;z-index:-38680" from="203.546402pt,1.164272pt" to="298.961972pt,1.164297pt" stroked="true" strokeweight=".093669pt" strokecolor="#000000">
            <w10:wrap type="none"/>
          </v:line>
        </w:pict>
      </w:r>
      <w:r>
        <w:rPr>
          <w:rFonts w:ascii="Times New Roman" w:hAnsi="Times New Roman"/>
          <w:i/>
          <w:spacing w:val="-8"/>
          <w:w w:val="551"/>
          <w:sz w:val="14"/>
        </w:rPr>
        <w:t>L</w:t>
      </w:r>
      <w:r>
        <w:rPr>
          <w:rFonts w:ascii="Times New Roman" w:hAnsi="Times New Roman"/>
          <w:spacing w:val="-507"/>
          <w:w w:val="551"/>
          <w:sz w:val="14"/>
        </w:rPr>
        <w:t>R</w:t>
      </w:r>
      <w:r>
        <w:rPr>
          <w:rFonts w:ascii="Times New Roman" w:hAnsi="Times New Roman"/>
          <w:i/>
          <w:spacing w:val="-222"/>
          <w:w w:val="551"/>
          <w:sz w:val="14"/>
        </w:rPr>
        <w:t>o</w:t>
      </w:r>
      <w:r>
        <w:rPr>
          <w:rFonts w:ascii="Times New Roman" w:hAnsi="Times New Roman"/>
          <w:i/>
          <w:w w:val="551"/>
          <w:sz w:val="14"/>
        </w:rPr>
        <w:t>l</w:t>
      </w:r>
      <w:r>
        <w:rPr>
          <w:rFonts w:ascii="Times New Roman" w:hAnsi="Times New Roman"/>
          <w:i/>
          <w:spacing w:val="-379"/>
          <w:w w:val="551"/>
          <w:sz w:val="14"/>
        </w:rPr>
        <w:t>a</w:t>
      </w:r>
      <w:r>
        <w:rPr>
          <w:rFonts w:ascii="Times New Roman" w:hAnsi="Times New Roman"/>
          <w:i/>
          <w:spacing w:val="-265"/>
          <w:w w:val="551"/>
          <w:sz w:val="14"/>
        </w:rPr>
        <w:t>g</w:t>
      </w:r>
      <w:r>
        <w:rPr>
          <w:rFonts w:ascii="Times New Roman" w:hAnsi="Times New Roman"/>
          <w:spacing w:val="-86"/>
          <w:w w:val="551"/>
          <w:sz w:val="14"/>
        </w:rPr>
        <w:t>e</w:t>
      </w:r>
      <w:r>
        <w:rPr>
          <w:rFonts w:ascii="Times New Roman" w:hAnsi="Times New Roman"/>
          <w:i/>
          <w:spacing w:val="-208"/>
          <w:w w:val="551"/>
          <w:sz w:val="14"/>
        </w:rPr>
        <w:t>t</w:t>
      </w:r>
      <w:r>
        <w:rPr>
          <w:rFonts w:ascii="Times New Roman" w:hAnsi="Times New Roman"/>
          <w:i/>
          <w:spacing w:val="-241"/>
          <w:w w:val="550"/>
          <w:sz w:val="14"/>
        </w:rPr>
        <w:t>r</w:t>
      </w:r>
      <w:r>
        <w:rPr>
          <w:rFonts w:ascii="Symbol" w:hAnsi="Symbol"/>
          <w:spacing w:val="-360"/>
          <w:w w:val="407"/>
          <w:position w:val="-12"/>
          <w:sz w:val="32"/>
        </w:rPr>
        <w:t></w:t>
      </w:r>
      <w:r>
        <w:rPr>
          <w:rFonts w:ascii="Times New Roman" w:hAnsi="Times New Roman"/>
          <w:spacing w:val="-957"/>
          <w:w w:val="551"/>
          <w:position w:val="-12"/>
          <w:sz w:val="24"/>
        </w:rPr>
        <w:t>m</w:t>
      </w:r>
      <w:r>
        <w:rPr>
          <w:rFonts w:ascii="Times New Roman" w:hAnsi="Times New Roman"/>
          <w:i/>
          <w:spacing w:val="-122"/>
          <w:w w:val="551"/>
          <w:sz w:val="14"/>
        </w:rPr>
        <w:t>i</w:t>
      </w:r>
      <w:r>
        <w:rPr>
          <w:rFonts w:ascii="Times New Roman" w:hAnsi="Times New Roman"/>
          <w:i/>
          <w:spacing w:val="-264"/>
          <w:w w:val="551"/>
          <w:sz w:val="14"/>
        </w:rPr>
        <w:t>o</w:t>
      </w:r>
      <w:r>
        <w:rPr>
          <w:rFonts w:ascii="Times New Roman" w:hAnsi="Times New Roman"/>
          <w:i/>
          <w:spacing w:val="-192"/>
          <w:w w:val="551"/>
          <w:sz w:val="14"/>
        </w:rPr>
        <w:t>v</w:t>
      </w:r>
      <w:r>
        <w:rPr>
          <w:rFonts w:ascii="Times New Roman" w:hAnsi="Times New Roman"/>
          <w:i/>
          <w:spacing w:val="-770"/>
          <w:w w:val="551"/>
          <w:position w:val="-12"/>
          <w:sz w:val="24"/>
        </w:rPr>
        <w:t>C</w:t>
      </w:r>
      <w:r>
        <w:rPr>
          <w:rFonts w:ascii="Times New Roman" w:hAnsi="Times New Roman"/>
          <w:i/>
          <w:spacing w:val="-225"/>
          <w:w w:val="550"/>
          <w:sz w:val="14"/>
        </w:rPr>
        <w:t>s</w:t>
      </w:r>
      <w:r>
        <w:rPr>
          <w:rFonts w:ascii="Times New Roman" w:hAnsi="Times New Roman"/>
          <w:i/>
          <w:spacing w:val="-191"/>
          <w:w w:val="551"/>
          <w:sz w:val="14"/>
        </w:rPr>
        <w:t>o</w:t>
      </w:r>
      <w:r>
        <w:rPr>
          <w:rFonts w:ascii="Symbol" w:hAnsi="Symbol"/>
          <w:spacing w:val="-552"/>
          <w:w w:val="551"/>
          <w:position w:val="-12"/>
          <w:sz w:val="24"/>
        </w:rPr>
        <w:t></w:t>
      </w:r>
      <w:r>
        <w:rPr>
          <w:rFonts w:ascii="Times New Roman" w:hAnsi="Times New Roman"/>
          <w:spacing w:val="-1013"/>
          <w:w w:val="551"/>
          <w:position w:val="-12"/>
          <w:sz w:val="24"/>
        </w:rPr>
        <w:t>m</w:t>
      </w:r>
      <w:r>
        <w:rPr>
          <w:rFonts w:ascii="Times New Roman" w:hAnsi="Times New Roman"/>
          <w:i/>
          <w:spacing w:val="-284"/>
          <w:w w:val="550"/>
          <w:sz w:val="14"/>
        </w:rPr>
        <w:t>s</w:t>
      </w:r>
      <w:r>
        <w:rPr>
          <w:rFonts w:ascii="Times New Roman" w:hAnsi="Times New Roman"/>
          <w:spacing w:val="-297"/>
          <w:w w:val="551"/>
          <w:position w:val="-12"/>
          <w:sz w:val="24"/>
        </w:rPr>
        <w:t>a</w:t>
      </w:r>
      <w:r>
        <w:rPr>
          <w:rFonts w:ascii="Times New Roman" w:hAnsi="Times New Roman"/>
          <w:i/>
          <w:spacing w:val="-730"/>
          <w:w w:val="551"/>
          <w:position w:val="-12"/>
          <w:sz w:val="24"/>
        </w:rPr>
        <w:t>V</w:t>
      </w:r>
      <w:r>
        <w:rPr>
          <w:rFonts w:ascii="Times New Roman" w:hAnsi="Times New Roman"/>
          <w:i/>
          <w:spacing w:val="-1"/>
          <w:w w:val="551"/>
          <w:position w:val="-12"/>
          <w:sz w:val="24"/>
        </w:rPr>
        <w:t>C</w:t>
      </w:r>
    </w:p>
    <w:p>
      <w:pPr>
        <w:tabs>
          <w:tab w:pos="829" w:val="left" w:leader="none"/>
        </w:tabs>
        <w:spacing w:before="17"/>
        <w:ind w:left="122" w:right="276" w:firstLine="0"/>
        <w:jc w:val="left"/>
        <w:rPr>
          <w:sz w:val="20"/>
        </w:rPr>
      </w:pPr>
      <w:r>
        <w:rPr>
          <w:position w:val="6"/>
          <w:sz w:val="13"/>
        </w:rPr>
        <w:t>7</w:t>
        <w:tab/>
      </w:r>
      <w:r>
        <w:rPr>
          <w:sz w:val="20"/>
        </w:rPr>
        <w:t>Para la inclusión de la dimensión ambiental se siguió el mismo procedimiento  </w:t>
      </w:r>
      <w:r>
        <w:rPr>
          <w:spacing w:val="43"/>
          <w:sz w:val="20"/>
        </w:rPr>
        <w:t> </w:t>
      </w:r>
      <w:r>
        <w:rPr>
          <w:sz w:val="20"/>
        </w:rPr>
        <w:t>e</w:t>
      </w:r>
      <w:r>
        <w:rPr>
          <w:spacing w:val="13"/>
          <w:sz w:val="20"/>
        </w:rPr>
        <w:t> </w:t>
      </w:r>
      <w:r>
        <w:rPr>
          <w:sz w:val="20"/>
        </w:rPr>
        <w:t>indicador</w:t>
      </w:r>
      <w:r>
        <w:rPr>
          <w:w w:val="99"/>
          <w:sz w:val="20"/>
        </w:rPr>
        <w:t> </w:t>
      </w:r>
      <w:r>
        <w:rPr>
          <w:sz w:val="20"/>
        </w:rPr>
        <w:t>trazador empleado en la formulación de nuestra</w:t>
      </w:r>
      <w:r>
        <w:rPr>
          <w:spacing w:val="-21"/>
          <w:sz w:val="20"/>
        </w:rPr>
        <w:t> </w:t>
      </w:r>
      <w:r>
        <w:rPr>
          <w:sz w:val="20"/>
        </w:rPr>
        <w:t>propuesta.</w:t>
      </w:r>
    </w:p>
    <w:p>
      <w:pPr>
        <w:pStyle w:val="BodyText"/>
        <w:rPr>
          <w:sz w:val="20"/>
        </w:rPr>
      </w:pPr>
    </w:p>
    <w:p>
      <w:pPr>
        <w:tabs>
          <w:tab w:pos="829" w:val="left" w:leader="none"/>
        </w:tabs>
        <w:spacing w:before="1"/>
        <w:ind w:left="122" w:right="116" w:firstLine="0"/>
        <w:jc w:val="both"/>
        <w:rPr>
          <w:sz w:val="20"/>
        </w:rPr>
      </w:pPr>
      <w:r>
        <w:rPr>
          <w:position w:val="6"/>
          <w:sz w:val="13"/>
        </w:rPr>
        <w:t>8</w:t>
        <w:tab/>
      </w:r>
      <w:r>
        <w:rPr>
          <w:sz w:val="20"/>
        </w:rPr>
        <w:t>Resulta</w:t>
      </w:r>
      <w:r>
        <w:rPr>
          <w:spacing w:val="-10"/>
          <w:sz w:val="20"/>
        </w:rPr>
        <w:t> </w:t>
      </w:r>
      <w:r>
        <w:rPr>
          <w:sz w:val="20"/>
        </w:rPr>
        <w:t>ser</w:t>
      </w:r>
      <w:r>
        <w:rPr>
          <w:spacing w:val="-9"/>
          <w:sz w:val="20"/>
        </w:rPr>
        <w:t> </w:t>
      </w:r>
      <w:r>
        <w:rPr>
          <w:sz w:val="20"/>
        </w:rPr>
        <w:t>un</w:t>
      </w:r>
      <w:r>
        <w:rPr>
          <w:spacing w:val="-10"/>
          <w:sz w:val="20"/>
        </w:rPr>
        <w:t> </w:t>
      </w:r>
      <w:r>
        <w:rPr>
          <w:sz w:val="20"/>
        </w:rPr>
        <w:t>referente</w:t>
      </w:r>
      <w:r>
        <w:rPr>
          <w:spacing w:val="-9"/>
          <w:sz w:val="20"/>
        </w:rPr>
        <w:t> </w:t>
      </w:r>
      <w:r>
        <w:rPr>
          <w:sz w:val="20"/>
        </w:rPr>
        <w:t>aproximativo</w:t>
      </w:r>
      <w:r>
        <w:rPr>
          <w:spacing w:val="-10"/>
          <w:sz w:val="20"/>
        </w:rPr>
        <w:t> </w:t>
      </w:r>
      <w:r>
        <w:rPr>
          <w:sz w:val="20"/>
        </w:rPr>
        <w:t>porque</w:t>
      </w:r>
      <w:r>
        <w:rPr>
          <w:spacing w:val="-10"/>
          <w:sz w:val="20"/>
        </w:rPr>
        <w:t> </w:t>
      </w:r>
      <w:r>
        <w:rPr>
          <w:sz w:val="20"/>
        </w:rPr>
        <w:t>a</w:t>
      </w:r>
      <w:r>
        <w:rPr>
          <w:spacing w:val="-8"/>
          <w:sz w:val="20"/>
        </w:rPr>
        <w:t> </w:t>
      </w:r>
      <w:r>
        <w:rPr>
          <w:sz w:val="20"/>
        </w:rPr>
        <w:t>pesar</w:t>
      </w:r>
      <w:r>
        <w:rPr>
          <w:spacing w:val="-9"/>
          <w:sz w:val="20"/>
        </w:rPr>
        <w:t> </w:t>
      </w:r>
      <w:r>
        <w:rPr>
          <w:sz w:val="20"/>
        </w:rPr>
        <w:t>de</w:t>
      </w:r>
      <w:r>
        <w:rPr>
          <w:spacing w:val="-10"/>
          <w:sz w:val="20"/>
        </w:rPr>
        <w:t> </w:t>
      </w:r>
      <w:r>
        <w:rPr>
          <w:sz w:val="20"/>
        </w:rPr>
        <w:t>contar</w:t>
      </w:r>
      <w:r>
        <w:rPr>
          <w:spacing w:val="-7"/>
          <w:sz w:val="20"/>
        </w:rPr>
        <w:t> </w:t>
      </w:r>
      <w:r>
        <w:rPr>
          <w:sz w:val="20"/>
        </w:rPr>
        <w:t>con</w:t>
      </w:r>
      <w:r>
        <w:rPr>
          <w:spacing w:val="-8"/>
          <w:sz w:val="20"/>
        </w:rPr>
        <w:t> </w:t>
      </w:r>
      <w:r>
        <w:rPr>
          <w:sz w:val="20"/>
        </w:rPr>
        <w:t>iguales</w:t>
      </w:r>
      <w:r>
        <w:rPr>
          <w:spacing w:val="-9"/>
          <w:sz w:val="20"/>
        </w:rPr>
        <w:t> </w:t>
      </w:r>
      <w:r>
        <w:rPr>
          <w:sz w:val="20"/>
        </w:rPr>
        <w:t>dimensiones</w:t>
      </w:r>
      <w:r>
        <w:rPr>
          <w:spacing w:val="-7"/>
          <w:sz w:val="20"/>
        </w:rPr>
        <w:t> </w:t>
      </w:r>
      <w:r>
        <w:rPr>
          <w:sz w:val="20"/>
        </w:rPr>
        <w:t>para</w:t>
      </w:r>
      <w:r>
        <w:rPr>
          <w:w w:val="99"/>
          <w:sz w:val="20"/>
        </w:rPr>
        <w:t> </w:t>
      </w:r>
      <w:r>
        <w:rPr>
          <w:sz w:val="20"/>
        </w:rPr>
        <w:t>medir el desarrollo humano territorial, existe una divergencia en dos de los índices: porcentaje de viviendas electrificadas y en buen estado, lo cual necesariamente introduce un sesgo en la información. De cualquier manera, pensamos que es útil para hacer una</w:t>
      </w:r>
      <w:r>
        <w:rPr>
          <w:spacing w:val="-24"/>
          <w:sz w:val="20"/>
        </w:rPr>
        <w:t> </w:t>
      </w:r>
      <w:r>
        <w:rPr>
          <w:sz w:val="20"/>
        </w:rPr>
        <w:t>comparación.</w:t>
      </w:r>
    </w:p>
    <w:sectPr>
      <w:pgSz w:w="11910" w:h="16840"/>
      <w:pgMar w:header="0" w:footer="768" w:top="1580" w:bottom="960" w:left="1580" w:right="11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0.399994pt;margin-top:792.383911pt;width:16pt;height:14pt;mso-position-horizontal-relative:page;mso-position-vertical-relative:page;z-index:-40672"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810" w:hanging="425"/>
      </w:pPr>
      <w:rPr>
        <w:rFonts w:hint="default" w:ascii="Symbol" w:hAnsi="Symbol" w:eastAsia="Symbol" w:cs="Symbol"/>
        <w:w w:val="100"/>
        <w:sz w:val="22"/>
        <w:szCs w:val="22"/>
      </w:rPr>
    </w:lvl>
    <w:lvl w:ilvl="1">
      <w:start w:val="1"/>
      <w:numFmt w:val="bullet"/>
      <w:lvlText w:val="•"/>
      <w:lvlJc w:val="left"/>
      <w:pPr>
        <w:ind w:left="1638" w:hanging="425"/>
      </w:pPr>
      <w:rPr>
        <w:rFonts w:hint="default"/>
      </w:rPr>
    </w:lvl>
    <w:lvl w:ilvl="2">
      <w:start w:val="1"/>
      <w:numFmt w:val="bullet"/>
      <w:lvlText w:val="•"/>
      <w:lvlJc w:val="left"/>
      <w:pPr>
        <w:ind w:left="2456" w:hanging="425"/>
      </w:pPr>
      <w:rPr>
        <w:rFonts w:hint="default"/>
      </w:rPr>
    </w:lvl>
    <w:lvl w:ilvl="3">
      <w:start w:val="1"/>
      <w:numFmt w:val="bullet"/>
      <w:lvlText w:val="•"/>
      <w:lvlJc w:val="left"/>
      <w:pPr>
        <w:ind w:left="3275" w:hanging="425"/>
      </w:pPr>
      <w:rPr>
        <w:rFonts w:hint="default"/>
      </w:rPr>
    </w:lvl>
    <w:lvl w:ilvl="4">
      <w:start w:val="1"/>
      <w:numFmt w:val="bullet"/>
      <w:lvlText w:val="•"/>
      <w:lvlJc w:val="left"/>
      <w:pPr>
        <w:ind w:left="4093" w:hanging="425"/>
      </w:pPr>
      <w:rPr>
        <w:rFonts w:hint="default"/>
      </w:rPr>
    </w:lvl>
    <w:lvl w:ilvl="5">
      <w:start w:val="1"/>
      <w:numFmt w:val="bullet"/>
      <w:lvlText w:val="•"/>
      <w:lvlJc w:val="left"/>
      <w:pPr>
        <w:ind w:left="4912" w:hanging="425"/>
      </w:pPr>
      <w:rPr>
        <w:rFonts w:hint="default"/>
      </w:rPr>
    </w:lvl>
    <w:lvl w:ilvl="6">
      <w:start w:val="1"/>
      <w:numFmt w:val="bullet"/>
      <w:lvlText w:val="•"/>
      <w:lvlJc w:val="left"/>
      <w:pPr>
        <w:ind w:left="5730" w:hanging="425"/>
      </w:pPr>
      <w:rPr>
        <w:rFonts w:hint="default"/>
      </w:rPr>
    </w:lvl>
    <w:lvl w:ilvl="7">
      <w:start w:val="1"/>
      <w:numFmt w:val="bullet"/>
      <w:lvlText w:val="•"/>
      <w:lvlJc w:val="left"/>
      <w:pPr>
        <w:ind w:left="6548" w:hanging="425"/>
      </w:pPr>
      <w:rPr>
        <w:rFonts w:hint="default"/>
      </w:rPr>
    </w:lvl>
    <w:lvl w:ilvl="8">
      <w:start w:val="1"/>
      <w:numFmt w:val="bullet"/>
      <w:lvlText w:val="•"/>
      <w:lvlJc w:val="left"/>
      <w:pPr>
        <w:ind w:left="7367" w:hanging="425"/>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line="114" w:lineRule="exact"/>
      <w:ind w:right="-19"/>
      <w:outlineLvl w:val="1"/>
    </w:pPr>
    <w:rPr>
      <w:rFonts w:ascii="Times New Roman" w:hAnsi="Times New Roman" w:eastAsia="Times New Roman" w:cs="Times New Roman"/>
      <w:i/>
      <w:sz w:val="24"/>
      <w:szCs w:val="24"/>
    </w:rPr>
  </w:style>
  <w:style w:styleId="Heading2" w:type="paragraph">
    <w:name w:val="Heading 2"/>
    <w:basedOn w:val="Normal"/>
    <w:uiPriority w:val="1"/>
    <w:qFormat/>
    <w:pPr>
      <w:spacing w:before="101"/>
      <w:ind w:left="102"/>
      <w:outlineLvl w:val="2"/>
    </w:pPr>
    <w:rPr>
      <w:rFonts w:ascii="Arial" w:hAnsi="Arial" w:eastAsia="Arial" w:cs="Arial"/>
      <w:b/>
      <w:bCs/>
      <w:sz w:val="22"/>
      <w:szCs w:val="22"/>
    </w:rPr>
  </w:style>
  <w:style w:styleId="Heading3" w:type="paragraph">
    <w:name w:val="Heading 3"/>
    <w:basedOn w:val="Normal"/>
    <w:uiPriority w:val="1"/>
    <w:qFormat/>
    <w:pPr>
      <w:spacing w:before="1"/>
      <w:ind w:left="102"/>
      <w:outlineLvl w:val="3"/>
    </w:pPr>
    <w:rPr>
      <w:rFonts w:ascii="Arial" w:hAnsi="Arial" w:eastAsia="Arial" w:cs="Arial"/>
      <w:b/>
      <w:bCs/>
      <w:i/>
      <w:sz w:val="22"/>
      <w:szCs w:val="22"/>
    </w:rPr>
  </w:style>
  <w:style w:styleId="ListParagraph" w:type="paragraph">
    <w:name w:val="List Paragraph"/>
    <w:basedOn w:val="Normal"/>
    <w:uiPriority w:val="1"/>
    <w:qFormat/>
    <w:pPr>
      <w:ind w:left="1234" w:hanging="424"/>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mirlisrs25@gmail.com" TargetMode="Externa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image" Target="media/image23.png"/><Relationship Id="rId30" Type="http://schemas.openxmlformats.org/officeDocument/2006/relationships/image" Target="media/image24.png"/><Relationship Id="rId31" Type="http://schemas.openxmlformats.org/officeDocument/2006/relationships/image" Target="media/image25.png"/><Relationship Id="rId32" Type="http://schemas.openxmlformats.org/officeDocument/2006/relationships/image" Target="media/image26.pn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image" Target="media/image30.png"/><Relationship Id="rId37" Type="http://schemas.openxmlformats.org/officeDocument/2006/relationships/image" Target="media/image31.png"/><Relationship Id="rId38" Type="http://schemas.openxmlformats.org/officeDocument/2006/relationships/image" Target="media/image32.png"/><Relationship Id="rId39" Type="http://schemas.openxmlformats.org/officeDocument/2006/relationships/image" Target="media/image33.png"/><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image" Target="media/image37.png"/><Relationship Id="rId44" Type="http://schemas.openxmlformats.org/officeDocument/2006/relationships/image" Target="media/image38.png"/><Relationship Id="rId45" Type="http://schemas.openxmlformats.org/officeDocument/2006/relationships/image" Target="media/image39.png"/><Relationship Id="rId46" Type="http://schemas.openxmlformats.org/officeDocument/2006/relationships/image" Target="media/image40.png"/><Relationship Id="rId47" Type="http://schemas.openxmlformats.org/officeDocument/2006/relationships/image" Target="media/image41.png"/><Relationship Id="rId48" Type="http://schemas.openxmlformats.org/officeDocument/2006/relationships/image" Target="media/image42.png"/><Relationship Id="rId49" Type="http://schemas.openxmlformats.org/officeDocument/2006/relationships/image" Target="media/image43.png"/><Relationship Id="rId50" Type="http://schemas.openxmlformats.org/officeDocument/2006/relationships/image" Target="media/image44.png"/><Relationship Id="rId51" Type="http://schemas.openxmlformats.org/officeDocument/2006/relationships/image" Target="media/image45.png"/><Relationship Id="rId52" Type="http://schemas.openxmlformats.org/officeDocument/2006/relationships/image" Target="media/image46.png"/><Relationship Id="rId53" Type="http://schemas.openxmlformats.org/officeDocument/2006/relationships/image" Target="media/image47.png"/><Relationship Id="rId54" Type="http://schemas.openxmlformats.org/officeDocument/2006/relationships/image" Target="media/image48.png"/><Relationship Id="rId55" Type="http://schemas.openxmlformats.org/officeDocument/2006/relationships/image" Target="media/image49.png"/><Relationship Id="rId56" Type="http://schemas.openxmlformats.org/officeDocument/2006/relationships/image" Target="media/image50.png"/><Relationship Id="rId57" Type="http://schemas.openxmlformats.org/officeDocument/2006/relationships/image" Target="media/image51.png"/><Relationship Id="rId58" Type="http://schemas.openxmlformats.org/officeDocument/2006/relationships/image" Target="media/image52.png"/><Relationship Id="rId59" Type="http://schemas.openxmlformats.org/officeDocument/2006/relationships/image" Target="media/image53.png"/><Relationship Id="rId60" Type="http://schemas.openxmlformats.org/officeDocument/2006/relationships/image" Target="media/image54.png"/><Relationship Id="rId61" Type="http://schemas.openxmlformats.org/officeDocument/2006/relationships/image" Target="media/image55.png"/><Relationship Id="rId62" Type="http://schemas.openxmlformats.org/officeDocument/2006/relationships/image" Target="media/image56.png"/><Relationship Id="rId63" Type="http://schemas.openxmlformats.org/officeDocument/2006/relationships/image" Target="media/image57.png"/><Relationship Id="rId64" Type="http://schemas.openxmlformats.org/officeDocument/2006/relationships/image" Target="media/image58.png"/><Relationship Id="rId65" Type="http://schemas.openxmlformats.org/officeDocument/2006/relationships/image" Target="media/image59.png"/><Relationship Id="rId66" Type="http://schemas.openxmlformats.org/officeDocument/2006/relationships/image" Target="media/image60.png"/><Relationship Id="rId67" Type="http://schemas.openxmlformats.org/officeDocument/2006/relationships/image" Target="media/image61.png"/><Relationship Id="rId68" Type="http://schemas.openxmlformats.org/officeDocument/2006/relationships/image" Target="media/image62.png"/><Relationship Id="rId69" Type="http://schemas.openxmlformats.org/officeDocument/2006/relationships/image" Target="media/image63.png"/><Relationship Id="rId70" Type="http://schemas.openxmlformats.org/officeDocument/2006/relationships/image" Target="media/image64.png"/><Relationship Id="rId71" Type="http://schemas.openxmlformats.org/officeDocument/2006/relationships/image" Target="media/image65.png"/><Relationship Id="rId72" Type="http://schemas.openxmlformats.org/officeDocument/2006/relationships/image" Target="media/image66.png"/><Relationship Id="rId73" Type="http://schemas.openxmlformats.org/officeDocument/2006/relationships/image" Target="media/image67.png"/><Relationship Id="rId74" Type="http://schemas.openxmlformats.org/officeDocument/2006/relationships/image" Target="media/image68.png"/><Relationship Id="rId75" Type="http://schemas.openxmlformats.org/officeDocument/2006/relationships/image" Target="media/image69.png"/><Relationship Id="rId76" Type="http://schemas.openxmlformats.org/officeDocument/2006/relationships/image" Target="media/image70.png"/><Relationship Id="rId77" Type="http://schemas.openxmlformats.org/officeDocument/2006/relationships/hyperlink" Target="http://www.eumed.net/cursecon/ecolat/" TargetMode="External"/><Relationship Id="rId78" Type="http://schemas.openxmlformats.org/officeDocument/2006/relationships/hyperlink" Target="http://www.undp.org.cu/idhcuba/cap8.pdf" TargetMode="External"/><Relationship Id="rId7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2017-06-06T21:17:44Z</dcterms:created>
  <dcterms:modified xsi:type="dcterms:W3CDTF">2017-06-06T21:17:44Z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2017-06-06T00:00:00Z</vt:filetime>
  </property>
</Properties>
</file>