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header2.xml" ContentType="application/vnd.openxmlformats-officedocument.wordprocessingml.header+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109"/>
        <w:rPr>
          <w:sz w:val="20"/>
        </w:rPr>
      </w:pPr>
      <w:r>
        <w:rPr>
          <w:sz w:val="20"/>
        </w:rPr>
        <w:pict>
          <v:group style="width:394.85pt;height:18.45pt;mso-position-horizontal-relative:char;mso-position-vertical-relative:line" coordorigin="0,0" coordsize="7897,369">
            <v:rect style="position:absolute;left:0;top:0;width:7897;height:369" filled="true" fillcolor="#ffffff" stroked="false">
              <v:fill type="solid"/>
            </v:rect>
          </v:group>
        </w:pict>
      </w:r>
      <w:r>
        <w:rPr>
          <w:sz w:val="20"/>
        </w:rPr>
      </w:r>
    </w:p>
    <w:p>
      <w:pPr>
        <w:pStyle w:val="BodyText"/>
        <w:spacing w:before="10"/>
        <w:rPr>
          <w:sz w:val="27"/>
        </w:rPr>
      </w:pPr>
    </w:p>
    <w:p>
      <w:pPr>
        <w:spacing w:before="67"/>
        <w:ind w:left="437" w:right="464" w:firstLine="0"/>
        <w:jc w:val="left"/>
        <w:rPr>
          <w:b/>
          <w:i/>
          <w:sz w:val="18"/>
        </w:rPr>
      </w:pPr>
      <w:r>
        <w:rPr/>
        <w:pict>
          <v:shapetype id="_x0000_t202" o:spt="202" coordsize="21600,21600" path="m,l,21600r21600,l21600,xe">
            <v:stroke joinstyle="miter"/>
            <v:path gradientshapeok="t" o:connecttype="rect"/>
          </v:shapetype>
          <v:shape style="position:absolute;margin-left:37.450001pt;margin-top:-35.597626pt;width:394.85pt;height:18.45pt;mso-position-horizontal-relative:page;mso-position-vertical-relative:paragraph;z-index:-17032" type="#_x0000_t202" filled="false" stroked="false">
            <v:textbox inset="0,0,0,0">
              <w:txbxContent>
                <w:p>
                  <w:pPr>
                    <w:tabs>
                      <w:tab w:pos="7257" w:val="left" w:leader="none"/>
                    </w:tabs>
                    <w:spacing w:before="53"/>
                    <w:ind w:left="1259" w:right="0" w:firstLine="0"/>
                    <w:jc w:val="left"/>
                    <w:rPr>
                      <w:sz w:val="18"/>
                    </w:rPr>
                  </w:pPr>
                  <w:r>
                    <w:rPr>
                      <w:i/>
                      <w:sz w:val="18"/>
                    </w:rPr>
                    <w:t>El costo social del monopolio de </w:t>
                  </w:r>
                  <w:r>
                    <w:rPr>
                      <w:i/>
                      <w:sz w:val="14"/>
                    </w:rPr>
                    <w:t>TELMEX  </w:t>
                  </w:r>
                  <w:r>
                    <w:rPr>
                      <w:i/>
                      <w:sz w:val="18"/>
                    </w:rPr>
                    <w:t>en el mercado de telefonía  </w:t>
                  </w:r>
                  <w:r>
                    <w:rPr>
                      <w:i/>
                      <w:spacing w:val="24"/>
                      <w:sz w:val="18"/>
                    </w:rPr>
                    <w:t> </w:t>
                  </w:r>
                  <w:r>
                    <w:rPr>
                      <w:i/>
                      <w:sz w:val="18"/>
                    </w:rPr>
                    <w:t>ﬁja</w:t>
                  </w:r>
                  <w:r>
                    <w:rPr>
                      <w:i/>
                      <w:spacing w:val="11"/>
                      <w:sz w:val="18"/>
                    </w:rPr>
                    <w:t> </w:t>
                  </w:r>
                  <w:r>
                    <w:rPr>
                      <w:i/>
                      <w:sz w:val="18"/>
                    </w:rPr>
                    <w:t>local</w:t>
                    <w:tab/>
                  </w:r>
                  <w:r>
                    <w:rPr>
                      <w:sz w:val="18"/>
                    </w:rPr>
                    <w:t>187</w:t>
                  </w:r>
                </w:p>
              </w:txbxContent>
            </v:textbox>
            <w10:wrap type="none"/>
          </v:shape>
        </w:pict>
      </w:r>
      <w:r>
        <w:rPr>
          <w:b/>
          <w:i/>
          <w:sz w:val="18"/>
        </w:rPr>
        <w:t>Análisis Económico</w:t>
      </w:r>
    </w:p>
    <w:p>
      <w:pPr>
        <w:spacing w:before="13"/>
        <w:ind w:left="437" w:right="464" w:firstLine="0"/>
        <w:jc w:val="left"/>
        <w:rPr>
          <w:sz w:val="18"/>
        </w:rPr>
      </w:pPr>
      <w:r>
        <w:rPr>
          <w:sz w:val="18"/>
        </w:rPr>
        <w:t>Núm. 42, vol. XIX</w:t>
      </w:r>
    </w:p>
    <w:p>
      <w:pPr>
        <w:spacing w:before="13"/>
        <w:ind w:left="437" w:right="464" w:firstLine="0"/>
        <w:jc w:val="left"/>
        <w:rPr>
          <w:sz w:val="18"/>
        </w:rPr>
      </w:pPr>
      <w:r>
        <w:rPr>
          <w:sz w:val="18"/>
        </w:rPr>
        <w:t>Tercer cuatrimestre de 2004</w:t>
      </w:r>
    </w:p>
    <w:p>
      <w:pPr>
        <w:pStyle w:val="BodyText"/>
        <w:rPr>
          <w:sz w:val="18"/>
        </w:rPr>
      </w:pPr>
    </w:p>
    <w:p>
      <w:pPr>
        <w:spacing w:line="576" w:lineRule="exact" w:before="127"/>
        <w:ind w:left="714" w:right="464" w:firstLine="1216"/>
        <w:jc w:val="left"/>
        <w:rPr>
          <w:sz w:val="33"/>
        </w:rPr>
      </w:pPr>
      <w:r>
        <w:rPr>
          <w:sz w:val="48"/>
        </w:rPr>
        <w:t>El costo social del monopolio de </w:t>
      </w:r>
      <w:r>
        <w:rPr>
          <w:sz w:val="38"/>
        </w:rPr>
        <w:t>TELMEX </w:t>
      </w:r>
      <w:r>
        <w:rPr>
          <w:sz w:val="48"/>
        </w:rPr>
        <w:t>en la telefonía ﬁja local</w:t>
      </w:r>
      <w:r>
        <w:rPr>
          <w:position w:val="19"/>
          <w:sz w:val="33"/>
        </w:rPr>
        <w:t>*</w:t>
      </w:r>
    </w:p>
    <w:p>
      <w:pPr>
        <w:pStyle w:val="BodyText"/>
        <w:rPr>
          <w:sz w:val="20"/>
        </w:rPr>
      </w:pPr>
    </w:p>
    <w:p>
      <w:pPr>
        <w:pStyle w:val="BodyText"/>
        <w:spacing w:before="9"/>
        <w:rPr>
          <w:sz w:val="20"/>
        </w:rPr>
      </w:pPr>
    </w:p>
    <w:p>
      <w:pPr>
        <w:spacing w:before="60"/>
        <w:ind w:left="2287" w:right="464" w:firstLine="0"/>
        <w:jc w:val="left"/>
        <w:rPr>
          <w:i/>
          <w:sz w:val="22"/>
        </w:rPr>
      </w:pPr>
      <w:r>
        <w:rPr>
          <w:i/>
          <w:sz w:val="22"/>
        </w:rPr>
        <w:t>(Recibido: abril/04-aprobado: julio/04)</w:t>
      </w:r>
    </w:p>
    <w:p>
      <w:pPr>
        <w:pStyle w:val="BodyText"/>
        <w:rPr>
          <w:i/>
          <w:sz w:val="20"/>
        </w:rPr>
      </w:pPr>
    </w:p>
    <w:p>
      <w:pPr>
        <w:pStyle w:val="BodyText"/>
        <w:spacing w:before="10"/>
        <w:rPr>
          <w:i/>
          <w:sz w:val="16"/>
        </w:rPr>
      </w:pPr>
    </w:p>
    <w:p>
      <w:pPr>
        <w:spacing w:line="249" w:lineRule="auto" w:before="60"/>
        <w:ind w:left="5351" w:right="463" w:hanging="373"/>
        <w:jc w:val="left"/>
        <w:rPr>
          <w:i/>
          <w:sz w:val="22"/>
        </w:rPr>
      </w:pPr>
      <w:r>
        <w:rPr>
          <w:i/>
          <w:sz w:val="22"/>
        </w:rPr>
        <w:t>Jesús González Lugo López** </w:t>
      </w:r>
      <w:r>
        <w:rPr>
          <w:i/>
          <w:sz w:val="22"/>
        </w:rPr>
        <w:t>Jesús Zurita González***</w:t>
      </w:r>
    </w:p>
    <w:p>
      <w:pPr>
        <w:pStyle w:val="BodyText"/>
        <w:rPr>
          <w:i/>
          <w:sz w:val="20"/>
        </w:rPr>
      </w:pPr>
    </w:p>
    <w:p>
      <w:pPr>
        <w:pStyle w:val="BodyText"/>
        <w:spacing w:before="8"/>
        <w:rPr>
          <w:i/>
          <w:sz w:val="16"/>
        </w:rPr>
      </w:pPr>
    </w:p>
    <w:p>
      <w:pPr>
        <w:spacing w:before="64"/>
        <w:ind w:left="437" w:right="0" w:firstLine="0"/>
        <w:jc w:val="both"/>
        <w:rPr>
          <w:b/>
          <w:sz w:val="20"/>
        </w:rPr>
      </w:pPr>
      <w:r>
        <w:rPr>
          <w:b/>
          <w:sz w:val="20"/>
        </w:rPr>
        <w:t>Resumen</w:t>
      </w:r>
    </w:p>
    <w:p>
      <w:pPr>
        <w:pStyle w:val="BodyText"/>
        <w:spacing w:before="7"/>
        <w:rPr>
          <w:b/>
          <w:sz w:val="23"/>
        </w:rPr>
      </w:pPr>
    </w:p>
    <w:p>
      <w:pPr>
        <w:spacing w:line="276" w:lineRule="auto" w:before="0"/>
        <w:ind w:left="436" w:right="474" w:firstLine="0"/>
        <w:jc w:val="both"/>
        <w:rPr>
          <w:sz w:val="20"/>
        </w:rPr>
      </w:pPr>
      <w:r>
        <w:rPr>
          <w:sz w:val="20"/>
        </w:rPr>
        <w:t>La</w:t>
      </w:r>
      <w:r>
        <w:rPr>
          <w:spacing w:val="-6"/>
          <w:sz w:val="20"/>
        </w:rPr>
        <w:t> </w:t>
      </w:r>
      <w:r>
        <w:rPr>
          <w:sz w:val="20"/>
        </w:rPr>
        <w:t>apertura</w:t>
      </w:r>
      <w:r>
        <w:rPr>
          <w:spacing w:val="-6"/>
          <w:sz w:val="20"/>
        </w:rPr>
        <w:t> </w:t>
      </w:r>
      <w:r>
        <w:rPr>
          <w:sz w:val="20"/>
        </w:rPr>
        <w:t>a</w:t>
      </w:r>
      <w:r>
        <w:rPr>
          <w:spacing w:val="-6"/>
          <w:sz w:val="20"/>
        </w:rPr>
        <w:t> </w:t>
      </w:r>
      <w:r>
        <w:rPr>
          <w:sz w:val="20"/>
        </w:rPr>
        <w:t>la</w:t>
      </w:r>
      <w:r>
        <w:rPr>
          <w:spacing w:val="-6"/>
          <w:sz w:val="20"/>
        </w:rPr>
        <w:t> </w:t>
      </w:r>
      <w:r>
        <w:rPr>
          <w:sz w:val="20"/>
        </w:rPr>
        <w:t>participación</w:t>
      </w:r>
      <w:r>
        <w:rPr>
          <w:spacing w:val="-6"/>
          <w:sz w:val="20"/>
        </w:rPr>
        <w:t> </w:t>
      </w:r>
      <w:r>
        <w:rPr>
          <w:sz w:val="20"/>
        </w:rPr>
        <w:t>de</w:t>
      </w:r>
      <w:r>
        <w:rPr>
          <w:spacing w:val="-6"/>
          <w:sz w:val="20"/>
        </w:rPr>
        <w:t> </w:t>
      </w:r>
      <w:r>
        <w:rPr>
          <w:sz w:val="20"/>
        </w:rPr>
        <w:t>más</w:t>
      </w:r>
      <w:r>
        <w:rPr>
          <w:spacing w:val="-6"/>
          <w:sz w:val="20"/>
        </w:rPr>
        <w:t> </w:t>
      </w:r>
      <w:r>
        <w:rPr>
          <w:sz w:val="20"/>
        </w:rPr>
        <w:t>empresas</w:t>
      </w:r>
      <w:r>
        <w:rPr>
          <w:spacing w:val="-6"/>
          <w:sz w:val="20"/>
        </w:rPr>
        <w:t> </w:t>
      </w:r>
      <w:r>
        <w:rPr>
          <w:sz w:val="20"/>
        </w:rPr>
        <w:t>en</w:t>
      </w:r>
      <w:r>
        <w:rPr>
          <w:spacing w:val="-6"/>
          <w:sz w:val="20"/>
        </w:rPr>
        <w:t> </w:t>
      </w:r>
      <w:r>
        <w:rPr>
          <w:sz w:val="20"/>
        </w:rPr>
        <w:t>los</w:t>
      </w:r>
      <w:r>
        <w:rPr>
          <w:spacing w:val="-6"/>
          <w:sz w:val="20"/>
        </w:rPr>
        <w:t> </w:t>
      </w:r>
      <w:r>
        <w:rPr>
          <w:sz w:val="20"/>
        </w:rPr>
        <w:t>mercados</w:t>
      </w:r>
      <w:r>
        <w:rPr>
          <w:spacing w:val="-6"/>
          <w:sz w:val="20"/>
        </w:rPr>
        <w:t> </w:t>
      </w:r>
      <w:r>
        <w:rPr>
          <w:sz w:val="20"/>
        </w:rPr>
        <w:t>de</w:t>
      </w:r>
      <w:r>
        <w:rPr>
          <w:spacing w:val="-6"/>
          <w:sz w:val="20"/>
        </w:rPr>
        <w:t> </w:t>
      </w:r>
      <w:r>
        <w:rPr>
          <w:sz w:val="20"/>
        </w:rPr>
        <w:t>telefonía</w:t>
      </w:r>
      <w:r>
        <w:rPr>
          <w:spacing w:val="-6"/>
          <w:sz w:val="20"/>
        </w:rPr>
        <w:t> </w:t>
      </w:r>
      <w:r>
        <w:rPr>
          <w:sz w:val="20"/>
        </w:rPr>
        <w:t>ﬁja</w:t>
      </w:r>
      <w:r>
        <w:rPr>
          <w:spacing w:val="-6"/>
          <w:sz w:val="20"/>
        </w:rPr>
        <w:t> </w:t>
      </w:r>
      <w:r>
        <w:rPr>
          <w:sz w:val="20"/>
        </w:rPr>
        <w:t>y</w:t>
      </w:r>
      <w:r>
        <w:rPr>
          <w:spacing w:val="-6"/>
          <w:sz w:val="20"/>
        </w:rPr>
        <w:t> </w:t>
      </w:r>
      <w:r>
        <w:rPr>
          <w:sz w:val="20"/>
        </w:rPr>
        <w:t>móvil</w:t>
      </w:r>
      <w:r>
        <w:rPr>
          <w:spacing w:val="-6"/>
          <w:sz w:val="20"/>
        </w:rPr>
        <w:t> </w:t>
      </w:r>
      <w:r>
        <w:rPr>
          <w:sz w:val="20"/>
        </w:rPr>
        <w:t>ha sido benéﬁca para los mexicanos. Sin embargo, aún conserva parte de su estructura</w:t>
      </w:r>
      <w:r>
        <w:rPr>
          <w:spacing w:val="-30"/>
          <w:sz w:val="20"/>
        </w:rPr>
        <w:t> </w:t>
      </w:r>
      <w:r>
        <w:rPr>
          <w:sz w:val="20"/>
        </w:rPr>
        <w:t>mono- pólica, debido a los términos en los que se negoció el título de concesión de Teléfonos de México al privatizarla. Este trabajo cuantiﬁca, con dos metodologías de equilibrio parcial, el costo social de que </w:t>
      </w:r>
      <w:r>
        <w:rPr>
          <w:sz w:val="16"/>
        </w:rPr>
        <w:t>TELMEX </w:t>
      </w:r>
      <w:r>
        <w:rPr>
          <w:sz w:val="20"/>
        </w:rPr>
        <w:t>sea la empresa proveedora casi exclusiva del servicio de telefonía</w:t>
      </w:r>
      <w:r>
        <w:rPr>
          <w:spacing w:val="-7"/>
          <w:sz w:val="20"/>
        </w:rPr>
        <w:t> </w:t>
      </w:r>
      <w:r>
        <w:rPr>
          <w:sz w:val="20"/>
        </w:rPr>
        <w:t>ﬁja</w:t>
      </w:r>
      <w:r>
        <w:rPr>
          <w:spacing w:val="-7"/>
          <w:sz w:val="20"/>
        </w:rPr>
        <w:t> </w:t>
      </w:r>
      <w:r>
        <w:rPr>
          <w:sz w:val="20"/>
        </w:rPr>
        <w:t>local.</w:t>
      </w:r>
      <w:r>
        <w:rPr>
          <w:spacing w:val="-7"/>
          <w:sz w:val="20"/>
        </w:rPr>
        <w:t> </w:t>
      </w:r>
      <w:r>
        <w:rPr>
          <w:sz w:val="20"/>
        </w:rPr>
        <w:t>Se</w:t>
      </w:r>
      <w:r>
        <w:rPr>
          <w:spacing w:val="-7"/>
          <w:sz w:val="20"/>
        </w:rPr>
        <w:t> </w:t>
      </w:r>
      <w:r>
        <w:rPr>
          <w:sz w:val="20"/>
        </w:rPr>
        <w:t>encuentra</w:t>
      </w:r>
      <w:r>
        <w:rPr>
          <w:spacing w:val="-7"/>
          <w:sz w:val="20"/>
        </w:rPr>
        <w:t> </w:t>
      </w:r>
      <w:r>
        <w:rPr>
          <w:sz w:val="20"/>
        </w:rPr>
        <w:t>que</w:t>
      </w:r>
      <w:r>
        <w:rPr>
          <w:spacing w:val="-7"/>
          <w:sz w:val="20"/>
        </w:rPr>
        <w:t> </w:t>
      </w:r>
      <w:r>
        <w:rPr>
          <w:sz w:val="20"/>
        </w:rPr>
        <w:t>dicho</w:t>
      </w:r>
      <w:r>
        <w:rPr>
          <w:spacing w:val="-7"/>
          <w:sz w:val="20"/>
        </w:rPr>
        <w:t> </w:t>
      </w:r>
      <w:r>
        <w:rPr>
          <w:sz w:val="20"/>
        </w:rPr>
        <w:t>costo</w:t>
      </w:r>
      <w:r>
        <w:rPr>
          <w:spacing w:val="-7"/>
          <w:sz w:val="20"/>
        </w:rPr>
        <w:t> </w:t>
      </w:r>
      <w:r>
        <w:rPr>
          <w:sz w:val="20"/>
        </w:rPr>
        <w:t>puede</w:t>
      </w:r>
      <w:r>
        <w:rPr>
          <w:spacing w:val="-7"/>
          <w:sz w:val="20"/>
        </w:rPr>
        <w:t> </w:t>
      </w:r>
      <w:r>
        <w:rPr>
          <w:sz w:val="20"/>
        </w:rPr>
        <w:t>alcanzar</w:t>
      </w:r>
      <w:r>
        <w:rPr>
          <w:spacing w:val="-7"/>
          <w:sz w:val="20"/>
        </w:rPr>
        <w:t> </w:t>
      </w:r>
      <w:r>
        <w:rPr>
          <w:sz w:val="20"/>
        </w:rPr>
        <w:t>poco</w:t>
      </w:r>
      <w:r>
        <w:rPr>
          <w:spacing w:val="-7"/>
          <w:sz w:val="20"/>
        </w:rPr>
        <w:t> </w:t>
      </w:r>
      <w:r>
        <w:rPr>
          <w:sz w:val="20"/>
        </w:rPr>
        <w:t>más</w:t>
      </w:r>
      <w:r>
        <w:rPr>
          <w:spacing w:val="-7"/>
          <w:sz w:val="20"/>
        </w:rPr>
        <w:t> </w:t>
      </w:r>
      <w:r>
        <w:rPr>
          <w:sz w:val="20"/>
        </w:rPr>
        <w:t>de</w:t>
      </w:r>
      <w:r>
        <w:rPr>
          <w:spacing w:val="-7"/>
          <w:sz w:val="20"/>
        </w:rPr>
        <w:t> </w:t>
      </w:r>
      <w:r>
        <w:rPr>
          <w:sz w:val="20"/>
        </w:rPr>
        <w:t>0.1%</w:t>
      </w:r>
      <w:r>
        <w:rPr>
          <w:spacing w:val="-7"/>
          <w:sz w:val="20"/>
        </w:rPr>
        <w:t> </w:t>
      </w:r>
      <w:r>
        <w:rPr>
          <w:sz w:val="20"/>
        </w:rPr>
        <w:t>del</w:t>
      </w:r>
      <w:r>
        <w:rPr>
          <w:spacing w:val="-7"/>
          <w:sz w:val="20"/>
        </w:rPr>
        <w:t> </w:t>
      </w:r>
      <w:r>
        <w:rPr>
          <w:sz w:val="20"/>
        </w:rPr>
        <w:t>PIB</w:t>
      </w:r>
    </w:p>
    <w:p>
      <w:pPr>
        <w:spacing w:before="0"/>
        <w:ind w:left="437" w:right="0" w:firstLine="0"/>
        <w:jc w:val="both"/>
        <w:rPr>
          <w:sz w:val="20"/>
        </w:rPr>
      </w:pPr>
      <w:r>
        <w:rPr>
          <w:sz w:val="20"/>
        </w:rPr>
        <w:t>–alrededor de 800 millones de dólares en 2004.</w:t>
      </w:r>
    </w:p>
    <w:p>
      <w:pPr>
        <w:pStyle w:val="BodyText"/>
        <w:spacing w:before="10"/>
        <w:rPr>
          <w:sz w:val="25"/>
        </w:rPr>
      </w:pPr>
    </w:p>
    <w:p>
      <w:pPr>
        <w:spacing w:before="0"/>
        <w:ind w:left="437" w:right="0" w:firstLine="0"/>
        <w:jc w:val="both"/>
        <w:rPr>
          <w:sz w:val="20"/>
        </w:rPr>
      </w:pPr>
      <w:r>
        <w:rPr>
          <w:b/>
          <w:sz w:val="20"/>
        </w:rPr>
        <w:t>Palabras claves</w:t>
      </w:r>
      <w:r>
        <w:rPr>
          <w:sz w:val="20"/>
        </w:rPr>
        <w:t>: monopolio, costo social, rendimiento sobre activos, excedente.</w:t>
      </w:r>
    </w:p>
    <w:p>
      <w:pPr>
        <w:spacing w:before="34"/>
        <w:ind w:left="437" w:right="0" w:firstLine="0"/>
        <w:jc w:val="both"/>
        <w:rPr>
          <w:sz w:val="20"/>
        </w:rPr>
      </w:pPr>
      <w:r>
        <w:rPr>
          <w:b/>
          <w:sz w:val="20"/>
        </w:rPr>
        <w:t>Clasiﬁcación JEL</w:t>
      </w:r>
      <w:r>
        <w:rPr>
          <w:sz w:val="20"/>
        </w:rPr>
        <w:t>: D21, L12, L96.</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line="249" w:lineRule="auto" w:before="125"/>
        <w:ind w:left="437" w:right="475" w:firstLine="170"/>
        <w:jc w:val="both"/>
        <w:rPr>
          <w:sz w:val="16"/>
        </w:rPr>
      </w:pPr>
      <w:r>
        <w:rPr>
          <w:sz w:val="16"/>
        </w:rPr>
        <w:t>* Se agradecen los comentarios de dos revisores anónimos, que fueron muy útiles para mejorar este trabajo. También se agradece la colaboración del Lic. Francisco Rodríguez Montoya en la elaboración de la información que se presenta. Por supuesto, cualquier error u omisión que permanezca es responsabilidad de los autores.</w:t>
      </w:r>
    </w:p>
    <w:p>
      <w:pPr>
        <w:spacing w:line="249" w:lineRule="auto" w:before="1"/>
        <w:ind w:left="437" w:right="475" w:firstLine="170"/>
        <w:jc w:val="both"/>
        <w:rPr>
          <w:sz w:val="16"/>
        </w:rPr>
      </w:pPr>
      <w:r>
        <w:rPr>
          <w:sz w:val="16"/>
        </w:rPr>
        <w:t>**</w:t>
      </w:r>
      <w:r>
        <w:rPr>
          <w:spacing w:val="-4"/>
          <w:sz w:val="16"/>
        </w:rPr>
        <w:t> </w:t>
      </w:r>
      <w:r>
        <w:rPr>
          <w:sz w:val="16"/>
        </w:rPr>
        <w:t>Maestro</w:t>
      </w:r>
      <w:r>
        <w:rPr>
          <w:spacing w:val="-4"/>
          <w:sz w:val="16"/>
        </w:rPr>
        <w:t> </w:t>
      </w:r>
      <w:r>
        <w:rPr>
          <w:sz w:val="16"/>
        </w:rPr>
        <w:t>en</w:t>
      </w:r>
      <w:r>
        <w:rPr>
          <w:spacing w:val="-4"/>
          <w:sz w:val="16"/>
        </w:rPr>
        <w:t> </w:t>
      </w:r>
      <w:r>
        <w:rPr>
          <w:sz w:val="16"/>
        </w:rPr>
        <w:t>Economía</w:t>
      </w:r>
      <w:r>
        <w:rPr>
          <w:spacing w:val="-4"/>
          <w:sz w:val="16"/>
        </w:rPr>
        <w:t> </w:t>
      </w:r>
      <w:r>
        <w:rPr>
          <w:sz w:val="16"/>
        </w:rPr>
        <w:t>por</w:t>
      </w:r>
      <w:r>
        <w:rPr>
          <w:spacing w:val="-4"/>
          <w:sz w:val="16"/>
        </w:rPr>
        <w:t> </w:t>
      </w:r>
      <w:r>
        <w:rPr>
          <w:sz w:val="16"/>
        </w:rPr>
        <w:t>la</w:t>
      </w:r>
      <w:r>
        <w:rPr>
          <w:spacing w:val="-4"/>
          <w:sz w:val="16"/>
        </w:rPr>
        <w:t> </w:t>
      </w:r>
      <w:r>
        <w:rPr>
          <w:sz w:val="16"/>
        </w:rPr>
        <w:t>Universidad</w:t>
      </w:r>
      <w:r>
        <w:rPr>
          <w:spacing w:val="-4"/>
          <w:sz w:val="16"/>
        </w:rPr>
        <w:t> </w:t>
      </w:r>
      <w:r>
        <w:rPr>
          <w:sz w:val="16"/>
        </w:rPr>
        <w:t>de</w:t>
      </w:r>
      <w:r>
        <w:rPr>
          <w:spacing w:val="-4"/>
          <w:sz w:val="16"/>
        </w:rPr>
        <w:t> </w:t>
      </w:r>
      <w:r>
        <w:rPr>
          <w:sz w:val="16"/>
        </w:rPr>
        <w:t>Rice.</w:t>
      </w:r>
      <w:r>
        <w:rPr>
          <w:spacing w:val="-4"/>
          <w:sz w:val="16"/>
        </w:rPr>
        <w:t> </w:t>
      </w:r>
      <w:r>
        <w:rPr>
          <w:sz w:val="16"/>
        </w:rPr>
        <w:t>Participa</w:t>
      </w:r>
      <w:r>
        <w:rPr>
          <w:spacing w:val="-4"/>
          <w:sz w:val="16"/>
        </w:rPr>
        <w:t> </w:t>
      </w:r>
      <w:r>
        <w:rPr>
          <w:sz w:val="16"/>
        </w:rPr>
        <w:t>en</w:t>
      </w:r>
      <w:r>
        <w:rPr>
          <w:spacing w:val="-4"/>
          <w:sz w:val="16"/>
        </w:rPr>
        <w:t> </w:t>
      </w:r>
      <w:r>
        <w:rPr>
          <w:sz w:val="16"/>
        </w:rPr>
        <w:t>la</w:t>
      </w:r>
      <w:r>
        <w:rPr>
          <w:spacing w:val="-4"/>
          <w:sz w:val="16"/>
        </w:rPr>
        <w:t> </w:t>
      </w:r>
      <w:r>
        <w:rPr>
          <w:sz w:val="16"/>
        </w:rPr>
        <w:t>Coordinación</w:t>
      </w:r>
      <w:r>
        <w:rPr>
          <w:spacing w:val="-4"/>
          <w:sz w:val="16"/>
        </w:rPr>
        <w:t> </w:t>
      </w:r>
      <w:r>
        <w:rPr>
          <w:sz w:val="16"/>
        </w:rPr>
        <w:t>de</w:t>
      </w:r>
      <w:r>
        <w:rPr>
          <w:spacing w:val="-13"/>
          <w:sz w:val="16"/>
        </w:rPr>
        <w:t> </w:t>
      </w:r>
      <w:r>
        <w:rPr>
          <w:sz w:val="16"/>
        </w:rPr>
        <w:t>Asesores</w:t>
      </w:r>
      <w:r>
        <w:rPr>
          <w:spacing w:val="-4"/>
          <w:sz w:val="16"/>
        </w:rPr>
        <w:t> </w:t>
      </w:r>
      <w:r>
        <w:rPr>
          <w:sz w:val="16"/>
        </w:rPr>
        <w:t>de</w:t>
      </w:r>
      <w:r>
        <w:rPr>
          <w:spacing w:val="-4"/>
          <w:sz w:val="16"/>
        </w:rPr>
        <w:t> </w:t>
      </w:r>
      <w:r>
        <w:rPr>
          <w:sz w:val="16"/>
        </w:rPr>
        <w:t>la</w:t>
      </w:r>
      <w:r>
        <w:rPr>
          <w:spacing w:val="-4"/>
          <w:sz w:val="16"/>
        </w:rPr>
        <w:t> </w:t>
      </w:r>
      <w:r>
        <w:rPr>
          <w:sz w:val="16"/>
        </w:rPr>
        <w:t>Secretaría de Economía (jglugo@economia.gob.mx).</w:t>
      </w:r>
    </w:p>
    <w:p>
      <w:pPr>
        <w:spacing w:before="1"/>
        <w:ind w:left="607" w:right="464" w:firstLine="0"/>
        <w:jc w:val="left"/>
        <w:rPr>
          <w:sz w:val="16"/>
        </w:rPr>
      </w:pPr>
      <w:r>
        <w:rPr>
          <w:sz w:val="16"/>
        </w:rPr>
        <w:t>*** Profesor-Investigador del Departamento de Economía de la </w:t>
      </w:r>
      <w:r>
        <w:rPr>
          <w:sz w:val="12"/>
        </w:rPr>
        <w:t>UAM</w:t>
      </w:r>
      <w:r>
        <w:rPr>
          <w:sz w:val="16"/>
        </w:rPr>
        <w:t>–Azcapotzalco </w:t>
      </w:r>
      <w:hyperlink r:id="rId5">
        <w:r>
          <w:rPr>
            <w:sz w:val="16"/>
          </w:rPr>
          <w:t>(jzg@correo.azc.uam.</w:t>
        </w:r>
      </w:hyperlink>
    </w:p>
    <w:p>
      <w:pPr>
        <w:spacing w:after="0"/>
        <w:jc w:val="left"/>
        <w:rPr>
          <w:sz w:val="16"/>
        </w:rPr>
        <w:sectPr>
          <w:type w:val="continuous"/>
          <w:pgSz w:w="9360" w:h="12760"/>
          <w:pgMar w:top="660" w:bottom="280" w:left="640" w:right="600"/>
        </w:sectPr>
      </w:pPr>
    </w:p>
    <w:p>
      <w:pPr>
        <w:pStyle w:val="BodyText"/>
        <w:rPr>
          <w:sz w:val="20"/>
        </w:rPr>
      </w:pPr>
    </w:p>
    <w:p>
      <w:pPr>
        <w:pStyle w:val="BodyText"/>
        <w:spacing w:before="9"/>
        <w:rPr>
          <w:sz w:val="15"/>
        </w:rPr>
      </w:pPr>
    </w:p>
    <w:p>
      <w:pPr>
        <w:pStyle w:val="Heading1"/>
        <w:spacing w:before="59"/>
        <w:jc w:val="both"/>
      </w:pPr>
      <w:r>
        <w:rPr/>
        <w:t>Introducción</w:t>
      </w:r>
    </w:p>
    <w:p>
      <w:pPr>
        <w:pStyle w:val="BodyText"/>
        <w:spacing w:before="7"/>
        <w:rPr>
          <w:b/>
          <w:sz w:val="21"/>
        </w:rPr>
      </w:pPr>
    </w:p>
    <w:p>
      <w:pPr>
        <w:pStyle w:val="BodyText"/>
        <w:spacing w:line="249" w:lineRule="auto"/>
        <w:ind w:left="116" w:right="114"/>
        <w:jc w:val="both"/>
      </w:pPr>
      <w:r>
        <w:rPr/>
        <w:t>El</w:t>
      </w:r>
      <w:r>
        <w:rPr>
          <w:spacing w:val="-14"/>
        </w:rPr>
        <w:t> </w:t>
      </w:r>
      <w:r>
        <w:rPr/>
        <w:t>servicio</w:t>
      </w:r>
      <w:r>
        <w:rPr>
          <w:spacing w:val="-14"/>
        </w:rPr>
        <w:t> </w:t>
      </w:r>
      <w:r>
        <w:rPr/>
        <w:t>telefónico</w:t>
      </w:r>
      <w:r>
        <w:rPr>
          <w:spacing w:val="-14"/>
        </w:rPr>
        <w:t> </w:t>
      </w:r>
      <w:r>
        <w:rPr/>
        <w:t>en</w:t>
      </w:r>
      <w:r>
        <w:rPr>
          <w:spacing w:val="-14"/>
        </w:rPr>
        <w:t> </w:t>
      </w:r>
      <w:r>
        <w:rPr/>
        <w:t>México</w:t>
      </w:r>
      <w:r>
        <w:rPr>
          <w:spacing w:val="-14"/>
        </w:rPr>
        <w:t> </w:t>
      </w:r>
      <w:r>
        <w:rPr/>
        <w:t>fue</w:t>
      </w:r>
      <w:r>
        <w:rPr>
          <w:spacing w:val="-14"/>
        </w:rPr>
        <w:t> </w:t>
      </w:r>
      <w:r>
        <w:rPr/>
        <w:t>provisto,</w:t>
      </w:r>
      <w:r>
        <w:rPr>
          <w:spacing w:val="-14"/>
        </w:rPr>
        <w:t> </w:t>
      </w:r>
      <w:r>
        <w:rPr/>
        <w:t>durante</w:t>
      </w:r>
      <w:r>
        <w:rPr>
          <w:spacing w:val="-14"/>
        </w:rPr>
        <w:t> </w:t>
      </w:r>
      <w:r>
        <w:rPr/>
        <w:t>muchos</w:t>
      </w:r>
      <w:r>
        <w:rPr>
          <w:spacing w:val="-14"/>
        </w:rPr>
        <w:t> </w:t>
      </w:r>
      <w:r>
        <w:rPr/>
        <w:t>años,</w:t>
      </w:r>
      <w:r>
        <w:rPr>
          <w:spacing w:val="-14"/>
        </w:rPr>
        <w:t> </w:t>
      </w:r>
      <w:r>
        <w:rPr/>
        <w:t>por</w:t>
      </w:r>
      <w:r>
        <w:rPr>
          <w:spacing w:val="-14"/>
        </w:rPr>
        <w:t> </w:t>
      </w:r>
      <w:r>
        <w:rPr/>
        <w:t>el</w:t>
      </w:r>
      <w:r>
        <w:rPr>
          <w:spacing w:val="-14"/>
        </w:rPr>
        <w:t> </w:t>
      </w:r>
      <w:r>
        <w:rPr/>
        <w:t>Estado</w:t>
      </w:r>
      <w:r>
        <w:rPr>
          <w:spacing w:val="-14"/>
        </w:rPr>
        <w:t> </w:t>
      </w:r>
      <w:r>
        <w:rPr/>
        <w:t>a través</w:t>
      </w:r>
      <w:r>
        <w:rPr>
          <w:spacing w:val="-3"/>
        </w:rPr>
        <w:t> </w:t>
      </w:r>
      <w:r>
        <w:rPr/>
        <w:t>de</w:t>
      </w:r>
      <w:r>
        <w:rPr>
          <w:spacing w:val="-3"/>
        </w:rPr>
        <w:t> </w:t>
      </w:r>
      <w:r>
        <w:rPr/>
        <w:t>una</w:t>
      </w:r>
      <w:r>
        <w:rPr>
          <w:spacing w:val="-3"/>
        </w:rPr>
        <w:t> </w:t>
      </w:r>
      <w:r>
        <w:rPr/>
        <w:t>sola</w:t>
      </w:r>
      <w:r>
        <w:rPr>
          <w:spacing w:val="-3"/>
        </w:rPr>
        <w:t> </w:t>
      </w:r>
      <w:r>
        <w:rPr/>
        <w:t>empresa:</w:t>
      </w:r>
      <w:r>
        <w:rPr>
          <w:spacing w:val="-7"/>
        </w:rPr>
        <w:t> </w:t>
      </w:r>
      <w:r>
        <w:rPr/>
        <w:t>Teléfonos</w:t>
      </w:r>
      <w:r>
        <w:rPr>
          <w:spacing w:val="-3"/>
        </w:rPr>
        <w:t> </w:t>
      </w:r>
      <w:r>
        <w:rPr/>
        <w:t>de</w:t>
      </w:r>
      <w:r>
        <w:rPr>
          <w:spacing w:val="-3"/>
        </w:rPr>
        <w:t> </w:t>
      </w:r>
      <w:r>
        <w:rPr/>
        <w:t>México</w:t>
      </w:r>
      <w:r>
        <w:rPr>
          <w:spacing w:val="-3"/>
        </w:rPr>
        <w:t> </w:t>
      </w:r>
      <w:r>
        <w:rPr/>
        <w:t>(</w:t>
      </w:r>
      <w:r>
        <w:rPr>
          <w:sz w:val="17"/>
        </w:rPr>
        <w:t>TELMEX</w:t>
      </w:r>
      <w:r>
        <w:rPr/>
        <w:t>).</w:t>
      </w:r>
      <w:r>
        <w:rPr>
          <w:spacing w:val="-15"/>
        </w:rPr>
        <w:t> </w:t>
      </w:r>
      <w:r>
        <w:rPr/>
        <w:t>Al</w:t>
      </w:r>
      <w:r>
        <w:rPr>
          <w:spacing w:val="-3"/>
        </w:rPr>
        <w:t> </w:t>
      </w:r>
      <w:r>
        <w:rPr/>
        <w:t>existir</w:t>
      </w:r>
      <w:r>
        <w:rPr>
          <w:spacing w:val="-3"/>
        </w:rPr>
        <w:t> </w:t>
      </w:r>
      <w:r>
        <w:rPr/>
        <w:t>únicamente la telefonía ﬁja, es posible aﬁrmar que un solo productor suministraba un servicio homogéneo,</w:t>
      </w:r>
      <w:r>
        <w:rPr>
          <w:spacing w:val="-8"/>
        </w:rPr>
        <w:t> </w:t>
      </w:r>
      <w:r>
        <w:rPr/>
        <w:t>además</w:t>
      </w:r>
      <w:r>
        <w:rPr>
          <w:spacing w:val="-8"/>
        </w:rPr>
        <w:t> </w:t>
      </w:r>
      <w:r>
        <w:rPr/>
        <w:t>no</w:t>
      </w:r>
      <w:r>
        <w:rPr>
          <w:spacing w:val="-8"/>
        </w:rPr>
        <w:t> </w:t>
      </w:r>
      <w:r>
        <w:rPr/>
        <w:t>tenía</w:t>
      </w:r>
      <w:r>
        <w:rPr>
          <w:spacing w:val="-8"/>
        </w:rPr>
        <w:t> </w:t>
      </w:r>
      <w:r>
        <w:rPr/>
        <w:t>sustitutos</w:t>
      </w:r>
      <w:r>
        <w:rPr>
          <w:spacing w:val="-8"/>
        </w:rPr>
        <w:t> </w:t>
      </w:r>
      <w:r>
        <w:rPr/>
        <w:t>cercanos.</w:t>
      </w:r>
      <w:r>
        <w:rPr>
          <w:spacing w:val="-20"/>
        </w:rPr>
        <w:t> </w:t>
      </w:r>
      <w:r>
        <w:rPr/>
        <w:t>Así,</w:t>
      </w:r>
      <w:r>
        <w:rPr>
          <w:spacing w:val="-8"/>
        </w:rPr>
        <w:t> </w:t>
      </w:r>
      <w:r>
        <w:rPr/>
        <w:t>es</w:t>
      </w:r>
      <w:r>
        <w:rPr>
          <w:spacing w:val="-8"/>
        </w:rPr>
        <w:t> </w:t>
      </w:r>
      <w:r>
        <w:rPr/>
        <w:t>posible</w:t>
      </w:r>
      <w:r>
        <w:rPr>
          <w:spacing w:val="-8"/>
        </w:rPr>
        <w:t> </w:t>
      </w:r>
      <w:r>
        <w:rPr/>
        <w:t>caracterizar</w:t>
      </w:r>
      <w:r>
        <w:rPr>
          <w:spacing w:val="-8"/>
        </w:rPr>
        <w:t> </w:t>
      </w:r>
      <w:r>
        <w:rPr/>
        <w:t>a</w:t>
      </w:r>
      <w:r>
        <w:rPr>
          <w:spacing w:val="-8"/>
        </w:rPr>
        <w:t> </w:t>
      </w:r>
      <w:r>
        <w:rPr/>
        <w:t>esta empresa</w:t>
      </w:r>
      <w:r>
        <w:rPr>
          <w:spacing w:val="-10"/>
        </w:rPr>
        <w:t> </w:t>
      </w:r>
      <w:r>
        <w:rPr/>
        <w:t>como</w:t>
      </w:r>
      <w:r>
        <w:rPr>
          <w:spacing w:val="-10"/>
        </w:rPr>
        <w:t> </w:t>
      </w:r>
      <w:r>
        <w:rPr/>
        <w:t>un</w:t>
      </w:r>
      <w:r>
        <w:rPr>
          <w:spacing w:val="-10"/>
        </w:rPr>
        <w:t> </w:t>
      </w:r>
      <w:r>
        <w:rPr/>
        <w:t>monopolio,</w:t>
      </w:r>
      <w:r>
        <w:rPr>
          <w:spacing w:val="-10"/>
        </w:rPr>
        <w:t> </w:t>
      </w:r>
      <w:r>
        <w:rPr/>
        <w:t>es</w:t>
      </w:r>
      <w:r>
        <w:rPr>
          <w:spacing w:val="-10"/>
        </w:rPr>
        <w:t> </w:t>
      </w:r>
      <w:r>
        <w:rPr/>
        <w:t>decir,</w:t>
      </w:r>
      <w:r>
        <w:rPr>
          <w:spacing w:val="-10"/>
        </w:rPr>
        <w:t> </w:t>
      </w:r>
      <w:r>
        <w:rPr/>
        <w:t>como</w:t>
      </w:r>
      <w:r>
        <w:rPr>
          <w:spacing w:val="-10"/>
        </w:rPr>
        <w:t> </w:t>
      </w:r>
      <w:r>
        <w:rPr/>
        <w:t>el</w:t>
      </w:r>
      <w:r>
        <w:rPr>
          <w:spacing w:val="-10"/>
        </w:rPr>
        <w:t> </w:t>
      </w:r>
      <w:r>
        <w:rPr/>
        <w:t>único</w:t>
      </w:r>
      <w:r>
        <w:rPr>
          <w:spacing w:val="-10"/>
        </w:rPr>
        <w:t> </w:t>
      </w:r>
      <w:r>
        <w:rPr/>
        <w:t>productor</w:t>
      </w:r>
      <w:r>
        <w:rPr>
          <w:spacing w:val="-10"/>
        </w:rPr>
        <w:t> </w:t>
      </w:r>
      <w:r>
        <w:rPr/>
        <w:t>en</w:t>
      </w:r>
      <w:r>
        <w:rPr>
          <w:spacing w:val="-10"/>
        </w:rPr>
        <w:t> </w:t>
      </w:r>
      <w:r>
        <w:rPr/>
        <w:t>nuestro</w:t>
      </w:r>
      <w:r>
        <w:rPr>
          <w:spacing w:val="-10"/>
        </w:rPr>
        <w:t> </w:t>
      </w:r>
      <w:r>
        <w:rPr/>
        <w:t>país</w:t>
      </w:r>
      <w:r>
        <w:rPr>
          <w:spacing w:val="-10"/>
        </w:rPr>
        <w:t> </w:t>
      </w:r>
      <w:r>
        <w:rPr/>
        <w:t>del servicio telefónico.</w:t>
      </w:r>
    </w:p>
    <w:p>
      <w:pPr>
        <w:pStyle w:val="BodyText"/>
        <w:spacing w:line="247" w:lineRule="auto" w:before="1"/>
        <w:ind w:left="116" w:right="114" w:firstLine="850"/>
        <w:jc w:val="both"/>
      </w:pPr>
      <w:r>
        <w:rPr/>
        <w:t>Con el surgimiento de la telefonía móvil a nivel mundial, junto con los procesos</w:t>
      </w:r>
      <w:r>
        <w:rPr>
          <w:spacing w:val="-6"/>
        </w:rPr>
        <w:t> </w:t>
      </w:r>
      <w:r>
        <w:rPr/>
        <w:t>de</w:t>
      </w:r>
      <w:r>
        <w:rPr>
          <w:spacing w:val="-6"/>
        </w:rPr>
        <w:t> </w:t>
      </w:r>
      <w:r>
        <w:rPr/>
        <w:t>apertura</w:t>
      </w:r>
      <w:r>
        <w:rPr>
          <w:spacing w:val="-6"/>
        </w:rPr>
        <w:t> </w:t>
      </w:r>
      <w:r>
        <w:rPr/>
        <w:t>y</w:t>
      </w:r>
      <w:r>
        <w:rPr>
          <w:spacing w:val="-6"/>
        </w:rPr>
        <w:t> </w:t>
      </w:r>
      <w:r>
        <w:rPr/>
        <w:t>privatización</w:t>
      </w:r>
      <w:r>
        <w:rPr>
          <w:spacing w:val="-6"/>
        </w:rPr>
        <w:t> </w:t>
      </w:r>
      <w:r>
        <w:rPr/>
        <w:t>emprendidos</w:t>
      </w:r>
      <w:r>
        <w:rPr>
          <w:spacing w:val="-6"/>
        </w:rPr>
        <w:t> </w:t>
      </w:r>
      <w:r>
        <w:rPr/>
        <w:t>por</w:t>
      </w:r>
      <w:r>
        <w:rPr>
          <w:spacing w:val="-6"/>
        </w:rPr>
        <w:t> </w:t>
      </w:r>
      <w:r>
        <w:rPr/>
        <w:t>nuestro</w:t>
      </w:r>
      <w:r>
        <w:rPr>
          <w:spacing w:val="-6"/>
        </w:rPr>
        <w:t> </w:t>
      </w:r>
      <w:r>
        <w:rPr/>
        <w:t>país,</w:t>
      </w:r>
      <w:r>
        <w:rPr>
          <w:spacing w:val="-6"/>
        </w:rPr>
        <w:t> </w:t>
      </w:r>
      <w:r>
        <w:rPr/>
        <w:t>aparecen</w:t>
      </w:r>
      <w:r>
        <w:rPr>
          <w:spacing w:val="-6"/>
        </w:rPr>
        <w:t> </w:t>
      </w:r>
      <w:r>
        <w:rPr/>
        <w:t>susti- tutos relativamente cercanos a la telefonía ﬁja en el mercado mexicano de teleco- municaciones</w:t>
      </w:r>
      <w:r>
        <w:rPr>
          <w:spacing w:val="-18"/>
        </w:rPr>
        <w:t> </w:t>
      </w:r>
      <w:r>
        <w:rPr/>
        <w:t>y</w:t>
      </w:r>
      <w:r>
        <w:rPr>
          <w:spacing w:val="-18"/>
        </w:rPr>
        <w:t> </w:t>
      </w:r>
      <w:r>
        <w:rPr/>
        <w:t>esto</w:t>
      </w:r>
      <w:r>
        <w:rPr>
          <w:spacing w:val="-18"/>
        </w:rPr>
        <w:t> </w:t>
      </w:r>
      <w:r>
        <w:rPr/>
        <w:t>sin</w:t>
      </w:r>
      <w:r>
        <w:rPr>
          <w:spacing w:val="-18"/>
        </w:rPr>
        <w:t> </w:t>
      </w:r>
      <w:r>
        <w:rPr/>
        <w:t>duda</w:t>
      </w:r>
      <w:r>
        <w:rPr>
          <w:spacing w:val="-18"/>
        </w:rPr>
        <w:t> </w:t>
      </w:r>
      <w:r>
        <w:rPr/>
        <w:t>contribuyó</w:t>
      </w:r>
      <w:r>
        <w:rPr>
          <w:spacing w:val="-18"/>
        </w:rPr>
        <w:t> </w:t>
      </w:r>
      <w:r>
        <w:rPr/>
        <w:t>a</w:t>
      </w:r>
      <w:r>
        <w:rPr>
          <w:spacing w:val="-18"/>
        </w:rPr>
        <w:t> </w:t>
      </w:r>
      <w:r>
        <w:rPr/>
        <w:t>reducir</w:t>
      </w:r>
      <w:r>
        <w:rPr>
          <w:spacing w:val="-18"/>
        </w:rPr>
        <w:t> </w:t>
      </w:r>
      <w:r>
        <w:rPr/>
        <w:t>el</w:t>
      </w:r>
      <w:r>
        <w:rPr>
          <w:spacing w:val="-18"/>
        </w:rPr>
        <w:t> </w:t>
      </w:r>
      <w:r>
        <w:rPr/>
        <w:t>poder</w:t>
      </w:r>
      <w:r>
        <w:rPr>
          <w:spacing w:val="-18"/>
        </w:rPr>
        <w:t> </w:t>
      </w:r>
      <w:r>
        <w:rPr/>
        <w:t>monopólico</w:t>
      </w:r>
      <w:r>
        <w:rPr>
          <w:spacing w:val="-18"/>
        </w:rPr>
        <w:t> </w:t>
      </w:r>
      <w:r>
        <w:rPr/>
        <w:t>de</w:t>
      </w:r>
      <w:r>
        <w:rPr>
          <w:spacing w:val="-17"/>
        </w:rPr>
        <w:t> </w:t>
      </w:r>
      <w:r>
        <w:rPr/>
        <w:t>t</w:t>
      </w:r>
      <w:r>
        <w:rPr>
          <w:spacing w:val="-13"/>
        </w:rPr>
        <w:t> </w:t>
      </w:r>
      <w:r>
        <w:rPr>
          <w:spacing w:val="4"/>
        </w:rPr>
        <w:t>el</w:t>
      </w:r>
      <w:r>
        <w:rPr>
          <w:spacing w:val="-13"/>
        </w:rPr>
        <w:t> </w:t>
      </w:r>
      <w:r>
        <w:rPr>
          <w:spacing w:val="2"/>
        </w:rPr>
        <w:t>mex, </w:t>
      </w:r>
      <w:r>
        <w:rPr/>
        <w:t>entendido como la capacidad de cobrar un precio del servicio por encima de</w:t>
      </w:r>
      <w:r>
        <w:rPr>
          <w:spacing w:val="-34"/>
        </w:rPr>
        <w:t> </w:t>
      </w:r>
      <w:r>
        <w:rPr/>
        <w:t>aquél que</w:t>
      </w:r>
      <w:r>
        <w:rPr>
          <w:spacing w:val="-11"/>
        </w:rPr>
        <w:t> </w:t>
      </w:r>
      <w:r>
        <w:rPr/>
        <w:t>existiría</w:t>
      </w:r>
      <w:r>
        <w:rPr>
          <w:spacing w:val="-11"/>
        </w:rPr>
        <w:t> </w:t>
      </w:r>
      <w:r>
        <w:rPr/>
        <w:t>en</w:t>
      </w:r>
      <w:r>
        <w:rPr>
          <w:spacing w:val="-11"/>
        </w:rPr>
        <w:t> </w:t>
      </w:r>
      <w:r>
        <w:rPr/>
        <w:t>un</w:t>
      </w:r>
      <w:r>
        <w:rPr>
          <w:spacing w:val="-11"/>
        </w:rPr>
        <w:t> </w:t>
      </w:r>
      <w:r>
        <w:rPr/>
        <w:t>mercado</w:t>
      </w:r>
      <w:r>
        <w:rPr>
          <w:spacing w:val="-11"/>
        </w:rPr>
        <w:t> </w:t>
      </w:r>
      <w:r>
        <w:rPr/>
        <w:t>competitivo.</w:t>
      </w:r>
      <w:r>
        <w:rPr>
          <w:position w:val="9"/>
          <w:sz w:val="15"/>
        </w:rPr>
        <w:t>1</w:t>
      </w:r>
      <w:r>
        <w:rPr>
          <w:spacing w:val="6"/>
          <w:position w:val="9"/>
          <w:sz w:val="15"/>
        </w:rPr>
        <w:t> </w:t>
      </w:r>
      <w:r>
        <w:rPr/>
        <w:t>Sin</w:t>
      </w:r>
      <w:r>
        <w:rPr>
          <w:spacing w:val="-11"/>
        </w:rPr>
        <w:t> </w:t>
      </w:r>
      <w:r>
        <w:rPr/>
        <w:t>embargo,</w:t>
      </w:r>
      <w:r>
        <w:rPr>
          <w:spacing w:val="-11"/>
        </w:rPr>
        <w:t> </w:t>
      </w:r>
      <w:r>
        <w:rPr/>
        <w:t>toda</w:t>
      </w:r>
      <w:r>
        <w:rPr>
          <w:spacing w:val="-11"/>
        </w:rPr>
        <w:t> </w:t>
      </w:r>
      <w:r>
        <w:rPr/>
        <w:t>vez</w:t>
      </w:r>
      <w:r>
        <w:rPr>
          <w:spacing w:val="-11"/>
        </w:rPr>
        <w:t> </w:t>
      </w:r>
      <w:r>
        <w:rPr/>
        <w:t>que</w:t>
      </w:r>
      <w:r>
        <w:rPr>
          <w:spacing w:val="-11"/>
        </w:rPr>
        <w:t> </w:t>
      </w:r>
      <w:r>
        <w:rPr/>
        <w:t>la</w:t>
      </w:r>
      <w:r>
        <w:rPr>
          <w:spacing w:val="-11"/>
        </w:rPr>
        <w:t> </w:t>
      </w:r>
      <w:r>
        <w:rPr/>
        <w:t>empresa</w:t>
      </w:r>
      <w:r>
        <w:rPr>
          <w:spacing w:val="-11"/>
        </w:rPr>
        <w:t> </w:t>
      </w:r>
      <w:r>
        <w:rPr/>
        <w:t>en cuestión continúa siendo un participante central en el mercado de la telefonía ﬁja, con cerca de 95% de participación de mercado (número de líneas telefónicas ﬁjas en 2003), y es además un protagonista importante en la telefonía móvil, el poder de monopolio que posee continúa siendo importante.</w:t>
      </w:r>
    </w:p>
    <w:p>
      <w:pPr>
        <w:pStyle w:val="BodyText"/>
        <w:spacing w:line="247" w:lineRule="auto" w:before="3"/>
        <w:ind w:left="117" w:right="113" w:firstLine="850"/>
        <w:jc w:val="both"/>
        <w:rPr>
          <w:sz w:val="15"/>
        </w:rPr>
      </w:pPr>
      <w:r>
        <w:rPr/>
        <w:t>Una característica distintiva del servicio de telefonía ﬁja es que parte importante del capital (las instalaciones necesarias para otorgar este servicio) re- querido</w:t>
      </w:r>
      <w:r>
        <w:rPr>
          <w:spacing w:val="-20"/>
        </w:rPr>
        <w:t> </w:t>
      </w:r>
      <w:r>
        <w:rPr/>
        <w:t>para</w:t>
      </w:r>
      <w:r>
        <w:rPr>
          <w:spacing w:val="-20"/>
        </w:rPr>
        <w:t> </w:t>
      </w:r>
      <w:r>
        <w:rPr/>
        <w:t>operar,</w:t>
      </w:r>
      <w:r>
        <w:rPr>
          <w:spacing w:val="-20"/>
        </w:rPr>
        <w:t> </w:t>
      </w:r>
      <w:r>
        <w:rPr/>
        <w:t>representa</w:t>
      </w:r>
      <w:r>
        <w:rPr>
          <w:spacing w:val="-20"/>
        </w:rPr>
        <w:t> </w:t>
      </w:r>
      <w:r>
        <w:rPr/>
        <w:t>un</w:t>
      </w:r>
      <w:r>
        <w:rPr>
          <w:spacing w:val="-20"/>
        </w:rPr>
        <w:t> </w:t>
      </w:r>
      <w:r>
        <w:rPr/>
        <w:t>costo</w:t>
      </w:r>
      <w:r>
        <w:rPr>
          <w:spacing w:val="-20"/>
        </w:rPr>
        <w:t> </w:t>
      </w:r>
      <w:r>
        <w:rPr/>
        <w:t>hundido</w:t>
      </w:r>
      <w:r>
        <w:rPr>
          <w:spacing w:val="-20"/>
        </w:rPr>
        <w:t> </w:t>
      </w:r>
      <w:r>
        <w:rPr/>
        <w:t>que</w:t>
      </w:r>
      <w:r>
        <w:rPr>
          <w:spacing w:val="-20"/>
        </w:rPr>
        <w:t> </w:t>
      </w:r>
      <w:r>
        <w:rPr/>
        <w:t>puede</w:t>
      </w:r>
      <w:r>
        <w:rPr>
          <w:spacing w:val="-20"/>
        </w:rPr>
        <w:t> </w:t>
      </w:r>
      <w:r>
        <w:rPr/>
        <w:t>ser</w:t>
      </w:r>
      <w:r>
        <w:rPr>
          <w:spacing w:val="-20"/>
        </w:rPr>
        <w:t> </w:t>
      </w:r>
      <w:r>
        <w:rPr/>
        <w:t>considerable,</w:t>
      </w:r>
      <w:r>
        <w:rPr>
          <w:spacing w:val="-20"/>
        </w:rPr>
        <w:t> </w:t>
      </w:r>
      <w:r>
        <w:rPr/>
        <w:t>lo</w:t>
      </w:r>
      <w:r>
        <w:rPr>
          <w:spacing w:val="-20"/>
        </w:rPr>
        <w:t> </w:t>
      </w:r>
      <w:r>
        <w:rPr/>
        <w:t>que constituye un elemento importante para concebir a la provisión del servicio como un monopolio natural (Newbery, 1999: 1). Más aún, los competidores deben</w:t>
      </w:r>
      <w:r>
        <w:rPr>
          <w:spacing w:val="-15"/>
        </w:rPr>
        <w:t> </w:t>
      </w:r>
      <w:r>
        <w:rPr/>
        <w:t>utili- zar la red de </w:t>
      </w:r>
      <w:r>
        <w:rPr>
          <w:spacing w:val="-3"/>
        </w:rPr>
        <w:t>Telmex </w:t>
      </w:r>
      <w:r>
        <w:rPr/>
        <w:t>para realizar sus operaciones de telefonía ﬁja, lo que otorga</w:t>
      </w:r>
      <w:r>
        <w:rPr>
          <w:spacing w:val="-32"/>
        </w:rPr>
        <w:t> </w:t>
      </w:r>
      <w:r>
        <w:rPr/>
        <w:t>a dicha empresa la posibilidad de abusar de esta condición y mantener una posición privilegiada que no poseen sus</w:t>
      </w:r>
      <w:r>
        <w:rPr>
          <w:spacing w:val="1"/>
        </w:rPr>
        <w:t> </w:t>
      </w:r>
      <w:r>
        <w:rPr/>
        <w:t>competidores.</w:t>
      </w:r>
      <w:r>
        <w:rPr>
          <w:position w:val="9"/>
          <w:sz w:val="15"/>
        </w:rPr>
        <w:t>2</w:t>
      </w:r>
    </w:p>
    <w:p>
      <w:pPr>
        <w:pStyle w:val="BodyText"/>
        <w:spacing w:before="9"/>
        <w:rPr>
          <w:sz w:val="20"/>
        </w:rPr>
      </w:pPr>
    </w:p>
    <w:p>
      <w:pPr>
        <w:spacing w:line="181" w:lineRule="exact" w:before="1"/>
        <w:ind w:left="117" w:right="0" w:firstLine="0"/>
        <w:jc w:val="both"/>
        <w:rPr>
          <w:sz w:val="16"/>
        </w:rPr>
      </w:pPr>
      <w:r>
        <w:rPr>
          <w:sz w:val="16"/>
        </w:rPr>
        <w:t>mx).</w:t>
      </w:r>
    </w:p>
    <w:p>
      <w:pPr>
        <w:spacing w:line="247" w:lineRule="auto" w:before="0"/>
        <w:ind w:left="116" w:right="113" w:firstLine="170"/>
        <w:jc w:val="both"/>
        <w:rPr>
          <w:sz w:val="16"/>
        </w:rPr>
      </w:pPr>
      <w:r>
        <w:rPr>
          <w:position w:val="6"/>
          <w:sz w:val="11"/>
        </w:rPr>
        <w:t>1 </w:t>
      </w:r>
      <w:r>
        <w:rPr>
          <w:sz w:val="16"/>
        </w:rPr>
        <w:t>El índice de Lerner es útil para entender este concepto, al medir qué tanto el precio del bien o servicio es mayor al costo marginal (recordemos que en un mercado competitivo el precio es igual al costo marginal), como porcentaje del precio. Esta medición es exactamente igual al recíproco del valor absoluto de la elasticidad de la demanda, lo que provee una forma sencilla de evaluar el poder de monopolio en función de la elasticidad de la demanda</w:t>
      </w:r>
      <w:r>
        <w:rPr>
          <w:spacing w:val="-9"/>
          <w:sz w:val="16"/>
        </w:rPr>
        <w:t> </w:t>
      </w:r>
      <w:r>
        <w:rPr>
          <w:sz w:val="16"/>
        </w:rPr>
        <w:t>(en</w:t>
      </w:r>
      <w:r>
        <w:rPr>
          <w:spacing w:val="-9"/>
          <w:sz w:val="16"/>
        </w:rPr>
        <w:t> </w:t>
      </w:r>
      <w:r>
        <w:rPr>
          <w:sz w:val="16"/>
        </w:rPr>
        <w:t>valor</w:t>
      </w:r>
      <w:r>
        <w:rPr>
          <w:spacing w:val="-9"/>
          <w:sz w:val="16"/>
        </w:rPr>
        <w:t> </w:t>
      </w:r>
      <w:r>
        <w:rPr>
          <w:spacing w:val="-4"/>
          <w:sz w:val="16"/>
        </w:rPr>
        <w:t>absoluto).</w:t>
      </w:r>
      <w:r>
        <w:rPr>
          <w:spacing w:val="-15"/>
          <w:sz w:val="16"/>
        </w:rPr>
        <w:t> </w:t>
      </w:r>
      <w:r>
        <w:rPr>
          <w:spacing w:val="-3"/>
          <w:sz w:val="16"/>
        </w:rPr>
        <w:t>Como</w:t>
      </w:r>
      <w:r>
        <w:rPr>
          <w:spacing w:val="-15"/>
          <w:sz w:val="16"/>
        </w:rPr>
        <w:t> </w:t>
      </w:r>
      <w:r>
        <w:rPr>
          <w:sz w:val="16"/>
        </w:rPr>
        <w:t>el</w:t>
      </w:r>
      <w:r>
        <w:rPr>
          <w:spacing w:val="-15"/>
          <w:sz w:val="16"/>
        </w:rPr>
        <w:t> </w:t>
      </w:r>
      <w:r>
        <w:rPr>
          <w:spacing w:val="-4"/>
          <w:sz w:val="16"/>
        </w:rPr>
        <w:t>monopolio</w:t>
      </w:r>
      <w:r>
        <w:rPr>
          <w:spacing w:val="-15"/>
          <w:sz w:val="16"/>
        </w:rPr>
        <w:t> </w:t>
      </w:r>
      <w:r>
        <w:rPr>
          <w:spacing w:val="-4"/>
          <w:sz w:val="16"/>
        </w:rPr>
        <w:t>necesariamente</w:t>
      </w:r>
      <w:r>
        <w:rPr>
          <w:spacing w:val="-15"/>
          <w:sz w:val="16"/>
        </w:rPr>
        <w:t> </w:t>
      </w:r>
      <w:r>
        <w:rPr>
          <w:spacing w:val="-4"/>
          <w:sz w:val="16"/>
        </w:rPr>
        <w:t>produce</w:t>
      </w:r>
      <w:r>
        <w:rPr>
          <w:spacing w:val="-15"/>
          <w:sz w:val="16"/>
        </w:rPr>
        <w:t> </w:t>
      </w:r>
      <w:r>
        <w:rPr>
          <w:sz w:val="16"/>
        </w:rPr>
        <w:t>en</w:t>
      </w:r>
      <w:r>
        <w:rPr>
          <w:spacing w:val="-15"/>
          <w:sz w:val="16"/>
        </w:rPr>
        <w:t> </w:t>
      </w:r>
      <w:r>
        <w:rPr>
          <w:sz w:val="16"/>
        </w:rPr>
        <w:t>el</w:t>
      </w:r>
      <w:r>
        <w:rPr>
          <w:spacing w:val="-15"/>
          <w:sz w:val="16"/>
        </w:rPr>
        <w:t> </w:t>
      </w:r>
      <w:r>
        <w:rPr>
          <w:spacing w:val="-4"/>
          <w:sz w:val="16"/>
        </w:rPr>
        <w:t>tramo</w:t>
      </w:r>
      <w:r>
        <w:rPr>
          <w:spacing w:val="-15"/>
          <w:sz w:val="16"/>
        </w:rPr>
        <w:t> </w:t>
      </w:r>
      <w:r>
        <w:rPr>
          <w:spacing w:val="-4"/>
          <w:sz w:val="16"/>
        </w:rPr>
        <w:t>elástico</w:t>
      </w:r>
      <w:r>
        <w:rPr>
          <w:spacing w:val="-15"/>
          <w:sz w:val="16"/>
        </w:rPr>
        <w:t> </w:t>
      </w:r>
      <w:r>
        <w:rPr>
          <w:sz w:val="16"/>
        </w:rPr>
        <w:t>de</w:t>
      </w:r>
      <w:r>
        <w:rPr>
          <w:spacing w:val="-15"/>
          <w:sz w:val="16"/>
        </w:rPr>
        <w:t> </w:t>
      </w:r>
      <w:r>
        <w:rPr>
          <w:sz w:val="16"/>
        </w:rPr>
        <w:t>la</w:t>
      </w:r>
      <w:r>
        <w:rPr>
          <w:spacing w:val="-15"/>
          <w:sz w:val="16"/>
        </w:rPr>
        <w:t> </w:t>
      </w:r>
      <w:r>
        <w:rPr>
          <w:spacing w:val="-4"/>
          <w:sz w:val="16"/>
        </w:rPr>
        <w:t>curva</w:t>
      </w:r>
      <w:r>
        <w:rPr>
          <w:spacing w:val="-15"/>
          <w:sz w:val="16"/>
        </w:rPr>
        <w:t> </w:t>
      </w:r>
      <w:r>
        <w:rPr>
          <w:sz w:val="16"/>
        </w:rPr>
        <w:t>de</w:t>
      </w:r>
      <w:r>
        <w:rPr>
          <w:spacing w:val="-15"/>
          <w:sz w:val="16"/>
        </w:rPr>
        <w:t> </w:t>
      </w:r>
      <w:r>
        <w:rPr>
          <w:spacing w:val="-4"/>
          <w:sz w:val="16"/>
        </w:rPr>
        <w:t>demanda, </w:t>
      </w:r>
      <w:r>
        <w:rPr>
          <w:sz w:val="16"/>
        </w:rPr>
        <w:t>el</w:t>
      </w:r>
      <w:r>
        <w:rPr>
          <w:spacing w:val="-12"/>
          <w:sz w:val="16"/>
        </w:rPr>
        <w:t> </w:t>
      </w:r>
      <w:r>
        <w:rPr>
          <w:spacing w:val="-4"/>
          <w:sz w:val="16"/>
        </w:rPr>
        <w:t>valor</w:t>
      </w:r>
      <w:r>
        <w:rPr>
          <w:spacing w:val="-12"/>
          <w:sz w:val="16"/>
        </w:rPr>
        <w:t> </w:t>
      </w:r>
      <w:r>
        <w:rPr>
          <w:sz w:val="16"/>
        </w:rPr>
        <w:t>absoluto</w:t>
      </w:r>
      <w:r>
        <w:rPr>
          <w:spacing w:val="-5"/>
          <w:sz w:val="16"/>
        </w:rPr>
        <w:t> </w:t>
      </w:r>
      <w:r>
        <w:rPr>
          <w:sz w:val="16"/>
        </w:rPr>
        <w:t>de</w:t>
      </w:r>
      <w:r>
        <w:rPr>
          <w:spacing w:val="-5"/>
          <w:sz w:val="16"/>
        </w:rPr>
        <w:t> </w:t>
      </w:r>
      <w:r>
        <w:rPr>
          <w:sz w:val="16"/>
        </w:rPr>
        <w:t>la</w:t>
      </w:r>
      <w:r>
        <w:rPr>
          <w:spacing w:val="-5"/>
          <w:sz w:val="16"/>
        </w:rPr>
        <w:t> </w:t>
      </w:r>
      <w:r>
        <w:rPr>
          <w:sz w:val="16"/>
        </w:rPr>
        <w:t>elasticidad</w:t>
      </w:r>
      <w:r>
        <w:rPr>
          <w:spacing w:val="-5"/>
          <w:sz w:val="16"/>
        </w:rPr>
        <w:t> </w:t>
      </w:r>
      <w:r>
        <w:rPr>
          <w:sz w:val="16"/>
        </w:rPr>
        <w:t>de</w:t>
      </w:r>
      <w:r>
        <w:rPr>
          <w:spacing w:val="-5"/>
          <w:sz w:val="16"/>
        </w:rPr>
        <w:t> </w:t>
      </w:r>
      <w:r>
        <w:rPr>
          <w:sz w:val="16"/>
        </w:rPr>
        <w:t>la</w:t>
      </w:r>
      <w:r>
        <w:rPr>
          <w:spacing w:val="-5"/>
          <w:sz w:val="16"/>
        </w:rPr>
        <w:t> </w:t>
      </w:r>
      <w:r>
        <w:rPr>
          <w:sz w:val="16"/>
        </w:rPr>
        <w:t>demanda</w:t>
      </w:r>
      <w:r>
        <w:rPr>
          <w:spacing w:val="-5"/>
          <w:sz w:val="16"/>
        </w:rPr>
        <w:t> </w:t>
      </w:r>
      <w:r>
        <w:rPr>
          <w:sz w:val="16"/>
        </w:rPr>
        <w:t>(digamos</w:t>
      </w:r>
      <w:r>
        <w:rPr>
          <w:spacing w:val="-5"/>
          <w:sz w:val="16"/>
        </w:rPr>
        <w:t> </w:t>
      </w:r>
      <w:r>
        <w:rPr>
          <w:rFonts w:ascii="Symbol" w:hAnsi="Symbol"/>
          <w:sz w:val="16"/>
        </w:rPr>
        <w:t></w:t>
      </w:r>
      <w:r>
        <w:rPr>
          <w:sz w:val="16"/>
        </w:rPr>
        <w:t>),</w:t>
      </w:r>
      <w:r>
        <w:rPr>
          <w:spacing w:val="-5"/>
          <w:sz w:val="16"/>
        </w:rPr>
        <w:t> </w:t>
      </w:r>
      <w:r>
        <w:rPr>
          <w:sz w:val="16"/>
        </w:rPr>
        <w:t>oscila</w:t>
      </w:r>
      <w:r>
        <w:rPr>
          <w:spacing w:val="-5"/>
          <w:sz w:val="16"/>
        </w:rPr>
        <w:t> </w:t>
      </w:r>
      <w:r>
        <w:rPr>
          <w:sz w:val="16"/>
        </w:rPr>
        <w:t>entre</w:t>
      </w:r>
      <w:r>
        <w:rPr>
          <w:spacing w:val="-5"/>
          <w:sz w:val="16"/>
        </w:rPr>
        <w:t> </w:t>
      </w:r>
      <w:r>
        <w:rPr>
          <w:sz w:val="16"/>
        </w:rPr>
        <w:t>cero</w:t>
      </w:r>
      <w:r>
        <w:rPr>
          <w:spacing w:val="-5"/>
          <w:sz w:val="16"/>
        </w:rPr>
        <w:t> </w:t>
      </w:r>
      <w:r>
        <w:rPr>
          <w:sz w:val="16"/>
        </w:rPr>
        <w:t>conforme</w:t>
      </w:r>
      <w:r>
        <w:rPr>
          <w:spacing w:val="-5"/>
          <w:sz w:val="16"/>
        </w:rPr>
        <w:t> </w:t>
      </w:r>
      <w:r>
        <w:rPr>
          <w:rFonts w:ascii="Symbol" w:hAnsi="Symbol"/>
          <w:sz w:val="16"/>
        </w:rPr>
        <w:t></w:t>
      </w:r>
      <w:r>
        <w:rPr>
          <w:spacing w:val="-5"/>
          <w:sz w:val="16"/>
        </w:rPr>
        <w:t> </w:t>
      </w:r>
      <w:r>
        <w:rPr>
          <w:sz w:val="16"/>
        </w:rPr>
        <w:t>tiende</w:t>
      </w:r>
      <w:r>
        <w:rPr>
          <w:spacing w:val="-5"/>
          <w:sz w:val="16"/>
        </w:rPr>
        <w:t> </w:t>
      </w:r>
      <w:r>
        <w:rPr>
          <w:sz w:val="16"/>
        </w:rPr>
        <w:t>a</w:t>
      </w:r>
      <w:r>
        <w:rPr>
          <w:spacing w:val="-5"/>
          <w:sz w:val="16"/>
        </w:rPr>
        <w:t> </w:t>
      </w:r>
      <w:r>
        <w:rPr>
          <w:sz w:val="16"/>
        </w:rPr>
        <w:t>inﬁnito,</w:t>
      </w:r>
      <w:r>
        <w:rPr>
          <w:spacing w:val="-5"/>
          <w:sz w:val="16"/>
        </w:rPr>
        <w:t> </w:t>
      </w:r>
      <w:r>
        <w:rPr>
          <w:sz w:val="16"/>
        </w:rPr>
        <w:t>y</w:t>
      </w:r>
      <w:r>
        <w:rPr>
          <w:spacing w:val="-5"/>
          <w:sz w:val="16"/>
        </w:rPr>
        <w:t> </w:t>
      </w:r>
      <w:r>
        <w:rPr>
          <w:sz w:val="16"/>
        </w:rPr>
        <w:t>uno, conforme</w:t>
      </w:r>
      <w:r>
        <w:rPr>
          <w:spacing w:val="-15"/>
          <w:sz w:val="16"/>
        </w:rPr>
        <w:t> </w:t>
      </w:r>
      <w:r>
        <w:rPr>
          <w:rFonts w:ascii="Symbol" w:hAnsi="Symbol"/>
          <w:sz w:val="16"/>
        </w:rPr>
        <w:t></w:t>
      </w:r>
      <w:r>
        <w:rPr>
          <w:spacing w:val="-15"/>
          <w:sz w:val="16"/>
        </w:rPr>
        <w:t> </w:t>
      </w:r>
      <w:r>
        <w:rPr>
          <w:sz w:val="16"/>
        </w:rPr>
        <w:t>tiende</w:t>
      </w:r>
      <w:r>
        <w:rPr>
          <w:spacing w:val="-15"/>
          <w:sz w:val="16"/>
        </w:rPr>
        <w:t> </w:t>
      </w:r>
      <w:r>
        <w:rPr>
          <w:sz w:val="16"/>
        </w:rPr>
        <w:t>a</w:t>
      </w:r>
      <w:r>
        <w:rPr>
          <w:spacing w:val="-15"/>
          <w:sz w:val="16"/>
        </w:rPr>
        <w:t> </w:t>
      </w:r>
      <w:r>
        <w:rPr>
          <w:sz w:val="16"/>
        </w:rPr>
        <w:t>uno</w:t>
      </w:r>
      <w:r>
        <w:rPr>
          <w:spacing w:val="-15"/>
          <w:sz w:val="16"/>
        </w:rPr>
        <w:t> </w:t>
      </w:r>
      <w:r>
        <w:rPr>
          <w:sz w:val="16"/>
        </w:rPr>
        <w:t>(por</w:t>
      </w:r>
      <w:r>
        <w:rPr>
          <w:spacing w:val="-15"/>
          <w:sz w:val="16"/>
        </w:rPr>
        <w:t> </w:t>
      </w:r>
      <w:r>
        <w:rPr>
          <w:sz w:val="16"/>
        </w:rPr>
        <w:t>la</w:t>
      </w:r>
      <w:r>
        <w:rPr>
          <w:spacing w:val="-15"/>
          <w:sz w:val="16"/>
        </w:rPr>
        <w:t> </w:t>
      </w:r>
      <w:r>
        <w:rPr>
          <w:sz w:val="16"/>
        </w:rPr>
        <w:t>derecha).</w:t>
      </w:r>
      <w:r>
        <w:rPr>
          <w:spacing w:val="-23"/>
          <w:sz w:val="16"/>
        </w:rPr>
        <w:t> </w:t>
      </w:r>
      <w:r>
        <w:rPr>
          <w:sz w:val="16"/>
        </w:rPr>
        <w:t>Así,</w:t>
      </w:r>
      <w:r>
        <w:rPr>
          <w:spacing w:val="-15"/>
          <w:sz w:val="16"/>
        </w:rPr>
        <w:t> </w:t>
      </w:r>
      <w:r>
        <w:rPr>
          <w:sz w:val="16"/>
        </w:rPr>
        <w:t>a</w:t>
      </w:r>
      <w:r>
        <w:rPr>
          <w:spacing w:val="-15"/>
          <w:sz w:val="16"/>
        </w:rPr>
        <w:t> </w:t>
      </w:r>
      <w:r>
        <w:rPr>
          <w:sz w:val="16"/>
        </w:rPr>
        <w:t>menor</w:t>
      </w:r>
      <w:r>
        <w:rPr>
          <w:spacing w:val="-15"/>
          <w:sz w:val="16"/>
        </w:rPr>
        <w:t> </w:t>
      </w:r>
      <w:r>
        <w:rPr>
          <w:sz w:val="16"/>
        </w:rPr>
        <w:t>elasticidad</w:t>
      </w:r>
      <w:r>
        <w:rPr>
          <w:spacing w:val="-15"/>
          <w:sz w:val="16"/>
        </w:rPr>
        <w:t> </w:t>
      </w:r>
      <w:r>
        <w:rPr>
          <w:sz w:val="16"/>
        </w:rPr>
        <w:t>de</w:t>
      </w:r>
      <w:r>
        <w:rPr>
          <w:spacing w:val="-15"/>
          <w:sz w:val="16"/>
        </w:rPr>
        <w:t> </w:t>
      </w:r>
      <w:r>
        <w:rPr>
          <w:sz w:val="16"/>
        </w:rPr>
        <w:t>la</w:t>
      </w:r>
      <w:r>
        <w:rPr>
          <w:spacing w:val="-15"/>
          <w:sz w:val="16"/>
        </w:rPr>
        <w:t> </w:t>
      </w:r>
      <w:r>
        <w:rPr>
          <w:sz w:val="16"/>
        </w:rPr>
        <w:t>demanda</w:t>
      </w:r>
      <w:r>
        <w:rPr>
          <w:spacing w:val="-15"/>
          <w:sz w:val="16"/>
        </w:rPr>
        <w:t> </w:t>
      </w:r>
      <w:r>
        <w:rPr>
          <w:sz w:val="16"/>
        </w:rPr>
        <w:t>mayor</w:t>
      </w:r>
      <w:r>
        <w:rPr>
          <w:spacing w:val="-15"/>
          <w:sz w:val="16"/>
        </w:rPr>
        <w:t> </w:t>
      </w:r>
      <w:r>
        <w:rPr>
          <w:sz w:val="16"/>
        </w:rPr>
        <w:t>será</w:t>
      </w:r>
      <w:r>
        <w:rPr>
          <w:spacing w:val="-15"/>
          <w:sz w:val="16"/>
        </w:rPr>
        <w:t> </w:t>
      </w:r>
      <w:r>
        <w:rPr>
          <w:sz w:val="16"/>
        </w:rPr>
        <w:t>el</w:t>
      </w:r>
      <w:r>
        <w:rPr>
          <w:spacing w:val="-15"/>
          <w:sz w:val="16"/>
        </w:rPr>
        <w:t> </w:t>
      </w:r>
      <w:r>
        <w:rPr>
          <w:sz w:val="16"/>
        </w:rPr>
        <w:t>poder</w:t>
      </w:r>
      <w:r>
        <w:rPr>
          <w:spacing w:val="-15"/>
          <w:sz w:val="16"/>
        </w:rPr>
        <w:t> </w:t>
      </w:r>
      <w:r>
        <w:rPr>
          <w:sz w:val="16"/>
        </w:rPr>
        <w:t>de</w:t>
      </w:r>
      <w:r>
        <w:rPr>
          <w:spacing w:val="-15"/>
          <w:sz w:val="16"/>
        </w:rPr>
        <w:t> </w:t>
      </w:r>
      <w:r>
        <w:rPr>
          <w:sz w:val="16"/>
        </w:rPr>
        <w:t>monopolio. Un índice alternativo al de Lerner es el de Bain, que mide las ganancias económicas de la empresa incluyendo  el costo de oportunidad de la inversión (un monopolio tendría ganancias excesivas), sin embargo, no es utilizado comúnmente por la diﬁcultad que presenta su estimación a partir de información</w:t>
      </w:r>
      <w:r>
        <w:rPr>
          <w:spacing w:val="-1"/>
          <w:sz w:val="16"/>
        </w:rPr>
        <w:t> </w:t>
      </w:r>
      <w:r>
        <w:rPr>
          <w:sz w:val="16"/>
        </w:rPr>
        <w:t>contable.</w:t>
      </w:r>
    </w:p>
    <w:p>
      <w:pPr>
        <w:spacing w:line="187" w:lineRule="exact" w:before="0"/>
        <w:ind w:left="116" w:right="0" w:firstLine="170"/>
        <w:jc w:val="both"/>
        <w:rPr>
          <w:sz w:val="16"/>
        </w:rPr>
      </w:pPr>
      <w:r>
        <w:rPr>
          <w:position w:val="6"/>
          <w:sz w:val="11"/>
        </w:rPr>
        <w:t>2 </w:t>
      </w:r>
      <w:r>
        <w:rPr>
          <w:sz w:val="16"/>
        </w:rPr>
        <w:t>En el mundo real es difícil observar monopolios con productos homogéneos y con barreras explícitas a la</w:t>
      </w:r>
    </w:p>
    <w:p>
      <w:pPr>
        <w:spacing w:line="249" w:lineRule="auto" w:before="8"/>
        <w:ind w:left="116" w:right="114" w:firstLine="0"/>
        <w:jc w:val="both"/>
        <w:rPr>
          <w:sz w:val="16"/>
        </w:rPr>
      </w:pPr>
      <w:r>
        <w:rPr>
          <w:sz w:val="16"/>
        </w:rPr>
        <w:t>entrada</w:t>
      </w:r>
      <w:r>
        <w:rPr>
          <w:spacing w:val="-7"/>
          <w:sz w:val="16"/>
        </w:rPr>
        <w:t> </w:t>
      </w:r>
      <w:r>
        <w:rPr>
          <w:sz w:val="16"/>
        </w:rPr>
        <w:t>que</w:t>
      </w:r>
      <w:r>
        <w:rPr>
          <w:spacing w:val="-7"/>
          <w:sz w:val="16"/>
        </w:rPr>
        <w:t> </w:t>
      </w:r>
      <w:r>
        <w:rPr>
          <w:sz w:val="16"/>
        </w:rPr>
        <w:t>impidan</w:t>
      </w:r>
      <w:r>
        <w:rPr>
          <w:spacing w:val="-7"/>
          <w:sz w:val="16"/>
        </w:rPr>
        <w:t> </w:t>
      </w:r>
      <w:r>
        <w:rPr>
          <w:sz w:val="16"/>
        </w:rPr>
        <w:t>ingresar</w:t>
      </w:r>
      <w:r>
        <w:rPr>
          <w:spacing w:val="-7"/>
          <w:sz w:val="16"/>
        </w:rPr>
        <w:t> </w:t>
      </w:r>
      <w:r>
        <w:rPr>
          <w:sz w:val="16"/>
        </w:rPr>
        <w:t>a</w:t>
      </w:r>
      <w:r>
        <w:rPr>
          <w:spacing w:val="-7"/>
          <w:sz w:val="16"/>
        </w:rPr>
        <w:t> </w:t>
      </w:r>
      <w:r>
        <w:rPr>
          <w:sz w:val="16"/>
        </w:rPr>
        <w:t>nuevos</w:t>
      </w:r>
      <w:r>
        <w:rPr>
          <w:spacing w:val="-7"/>
          <w:sz w:val="16"/>
        </w:rPr>
        <w:t> </w:t>
      </w:r>
      <w:r>
        <w:rPr>
          <w:sz w:val="16"/>
        </w:rPr>
        <w:t>participantes.</w:t>
      </w:r>
      <w:r>
        <w:rPr>
          <w:spacing w:val="-7"/>
          <w:sz w:val="16"/>
        </w:rPr>
        <w:t> </w:t>
      </w:r>
      <w:r>
        <w:rPr>
          <w:sz w:val="16"/>
        </w:rPr>
        <w:t>Más</w:t>
      </w:r>
      <w:r>
        <w:rPr>
          <w:spacing w:val="-7"/>
          <w:sz w:val="16"/>
        </w:rPr>
        <w:t> </w:t>
      </w:r>
      <w:r>
        <w:rPr>
          <w:sz w:val="16"/>
        </w:rPr>
        <w:t>bien,</w:t>
      </w:r>
      <w:r>
        <w:rPr>
          <w:spacing w:val="-7"/>
          <w:sz w:val="16"/>
        </w:rPr>
        <w:t> </w:t>
      </w:r>
      <w:r>
        <w:rPr>
          <w:sz w:val="16"/>
        </w:rPr>
        <w:t>se</w:t>
      </w:r>
      <w:r>
        <w:rPr>
          <w:spacing w:val="-7"/>
          <w:sz w:val="16"/>
        </w:rPr>
        <w:t> </w:t>
      </w:r>
      <w:r>
        <w:rPr>
          <w:sz w:val="16"/>
        </w:rPr>
        <w:t>observan</w:t>
      </w:r>
      <w:r>
        <w:rPr>
          <w:spacing w:val="-7"/>
          <w:sz w:val="16"/>
        </w:rPr>
        <w:t> </w:t>
      </w:r>
      <w:r>
        <w:rPr>
          <w:sz w:val="16"/>
        </w:rPr>
        <w:t>empresas</w:t>
      </w:r>
      <w:r>
        <w:rPr>
          <w:spacing w:val="-7"/>
          <w:sz w:val="16"/>
        </w:rPr>
        <w:t> </w:t>
      </w:r>
      <w:r>
        <w:rPr>
          <w:sz w:val="16"/>
        </w:rPr>
        <w:t>con</w:t>
      </w:r>
      <w:r>
        <w:rPr>
          <w:spacing w:val="-7"/>
          <w:sz w:val="16"/>
        </w:rPr>
        <w:t> </w:t>
      </w:r>
      <w:r>
        <w:rPr>
          <w:sz w:val="16"/>
        </w:rPr>
        <w:t>grandes</w:t>
      </w:r>
      <w:r>
        <w:rPr>
          <w:spacing w:val="-7"/>
          <w:sz w:val="16"/>
        </w:rPr>
        <w:t> </w:t>
      </w:r>
      <w:r>
        <w:rPr>
          <w:sz w:val="16"/>
        </w:rPr>
        <w:t>participaciones en</w:t>
      </w:r>
      <w:r>
        <w:rPr>
          <w:spacing w:val="-10"/>
          <w:sz w:val="16"/>
        </w:rPr>
        <w:t> </w:t>
      </w:r>
      <w:r>
        <w:rPr>
          <w:sz w:val="16"/>
        </w:rPr>
        <w:t>mercados</w:t>
      </w:r>
      <w:r>
        <w:rPr>
          <w:spacing w:val="-10"/>
          <w:sz w:val="16"/>
        </w:rPr>
        <w:t> </w:t>
      </w:r>
      <w:r>
        <w:rPr>
          <w:sz w:val="16"/>
        </w:rPr>
        <w:t>que</w:t>
      </w:r>
      <w:r>
        <w:rPr>
          <w:spacing w:val="-10"/>
          <w:sz w:val="16"/>
        </w:rPr>
        <w:t> </w:t>
      </w:r>
      <w:r>
        <w:rPr>
          <w:sz w:val="16"/>
        </w:rPr>
        <w:t>contienen</w:t>
      </w:r>
      <w:r>
        <w:rPr>
          <w:spacing w:val="-10"/>
          <w:sz w:val="16"/>
        </w:rPr>
        <w:t> </w:t>
      </w:r>
      <w:r>
        <w:rPr>
          <w:sz w:val="16"/>
        </w:rPr>
        <w:t>varios</w:t>
      </w:r>
      <w:r>
        <w:rPr>
          <w:spacing w:val="-10"/>
          <w:sz w:val="16"/>
        </w:rPr>
        <w:t> </w:t>
      </w:r>
      <w:r>
        <w:rPr>
          <w:sz w:val="16"/>
        </w:rPr>
        <w:t>productos</w:t>
      </w:r>
      <w:r>
        <w:rPr>
          <w:spacing w:val="-10"/>
          <w:sz w:val="16"/>
        </w:rPr>
        <w:t> </w:t>
      </w:r>
      <w:r>
        <w:rPr>
          <w:sz w:val="16"/>
        </w:rPr>
        <w:t>los</w:t>
      </w:r>
      <w:r>
        <w:rPr>
          <w:spacing w:val="-10"/>
          <w:sz w:val="16"/>
        </w:rPr>
        <w:t> </w:t>
      </w:r>
      <w:r>
        <w:rPr>
          <w:sz w:val="16"/>
        </w:rPr>
        <w:t>cuales</w:t>
      </w:r>
      <w:r>
        <w:rPr>
          <w:spacing w:val="-10"/>
          <w:sz w:val="16"/>
        </w:rPr>
        <w:t> </w:t>
      </w:r>
      <w:r>
        <w:rPr>
          <w:sz w:val="16"/>
        </w:rPr>
        <w:t>son</w:t>
      </w:r>
      <w:r>
        <w:rPr>
          <w:spacing w:val="-10"/>
          <w:sz w:val="16"/>
        </w:rPr>
        <w:t> </w:t>
      </w:r>
      <w:r>
        <w:rPr>
          <w:sz w:val="16"/>
        </w:rPr>
        <w:t>sustitutos</w:t>
      </w:r>
      <w:r>
        <w:rPr>
          <w:spacing w:val="-10"/>
          <w:sz w:val="16"/>
        </w:rPr>
        <w:t> </w:t>
      </w:r>
      <w:r>
        <w:rPr>
          <w:sz w:val="16"/>
        </w:rPr>
        <w:t>imperfectos.</w:t>
      </w:r>
      <w:r>
        <w:rPr>
          <w:spacing w:val="-10"/>
          <w:sz w:val="16"/>
        </w:rPr>
        <w:t> </w:t>
      </w:r>
      <w:r>
        <w:rPr>
          <w:sz w:val="16"/>
        </w:rPr>
        <w:t>Incluso</w:t>
      </w:r>
      <w:r>
        <w:rPr>
          <w:spacing w:val="-10"/>
          <w:sz w:val="16"/>
        </w:rPr>
        <w:t> </w:t>
      </w:r>
      <w:r>
        <w:rPr>
          <w:sz w:val="16"/>
        </w:rPr>
        <w:t>en</w:t>
      </w:r>
      <w:r>
        <w:rPr>
          <w:spacing w:val="-10"/>
          <w:sz w:val="16"/>
        </w:rPr>
        <w:t> </w:t>
      </w:r>
      <w:r>
        <w:rPr>
          <w:sz w:val="16"/>
        </w:rPr>
        <w:t>muchas</w:t>
      </w:r>
      <w:r>
        <w:rPr>
          <w:spacing w:val="-10"/>
          <w:sz w:val="16"/>
        </w:rPr>
        <w:t> </w:t>
      </w:r>
      <w:r>
        <w:rPr>
          <w:sz w:val="16"/>
        </w:rPr>
        <w:t>ocasiones</w:t>
      </w:r>
      <w:r>
        <w:rPr>
          <w:spacing w:val="-9"/>
          <w:sz w:val="16"/>
        </w:rPr>
        <w:t> </w:t>
      </w:r>
      <w:r>
        <w:rPr>
          <w:sz w:val="16"/>
        </w:rPr>
        <w:t>es difícil</w:t>
      </w:r>
      <w:r>
        <w:rPr>
          <w:spacing w:val="8"/>
          <w:sz w:val="16"/>
        </w:rPr>
        <w:t> </w:t>
      </w:r>
      <w:r>
        <w:rPr>
          <w:sz w:val="16"/>
        </w:rPr>
        <w:t>deﬁnir</w:t>
      </w:r>
      <w:r>
        <w:rPr>
          <w:spacing w:val="8"/>
          <w:sz w:val="16"/>
        </w:rPr>
        <w:t> </w:t>
      </w:r>
      <w:r>
        <w:rPr>
          <w:sz w:val="16"/>
        </w:rPr>
        <w:t>lo</w:t>
      </w:r>
      <w:r>
        <w:rPr>
          <w:spacing w:val="8"/>
          <w:sz w:val="16"/>
        </w:rPr>
        <w:t> </w:t>
      </w:r>
      <w:r>
        <w:rPr>
          <w:sz w:val="16"/>
        </w:rPr>
        <w:t>que</w:t>
      </w:r>
      <w:r>
        <w:rPr>
          <w:spacing w:val="8"/>
          <w:sz w:val="16"/>
        </w:rPr>
        <w:t> </w:t>
      </w:r>
      <w:r>
        <w:rPr>
          <w:sz w:val="16"/>
        </w:rPr>
        <w:t>constituye</w:t>
      </w:r>
      <w:r>
        <w:rPr>
          <w:spacing w:val="8"/>
          <w:sz w:val="16"/>
        </w:rPr>
        <w:t> </w:t>
      </w:r>
      <w:r>
        <w:rPr>
          <w:sz w:val="16"/>
        </w:rPr>
        <w:t>el</w:t>
      </w:r>
      <w:r>
        <w:rPr>
          <w:spacing w:val="8"/>
          <w:sz w:val="16"/>
        </w:rPr>
        <w:t> </w:t>
      </w:r>
      <w:r>
        <w:rPr>
          <w:sz w:val="16"/>
        </w:rPr>
        <w:t>mercado</w:t>
      </w:r>
      <w:r>
        <w:rPr>
          <w:spacing w:val="8"/>
          <w:sz w:val="16"/>
        </w:rPr>
        <w:t> </w:t>
      </w:r>
      <w:r>
        <w:rPr>
          <w:sz w:val="16"/>
        </w:rPr>
        <w:t>relevante.</w:t>
      </w:r>
      <w:r>
        <w:rPr>
          <w:spacing w:val="8"/>
          <w:sz w:val="16"/>
        </w:rPr>
        <w:t> </w:t>
      </w:r>
      <w:r>
        <w:rPr>
          <w:sz w:val="16"/>
        </w:rPr>
        <w:t>En</w:t>
      </w:r>
      <w:r>
        <w:rPr>
          <w:spacing w:val="8"/>
          <w:sz w:val="16"/>
        </w:rPr>
        <w:t> </w:t>
      </w:r>
      <w:r>
        <w:rPr>
          <w:sz w:val="16"/>
        </w:rPr>
        <w:t>este</w:t>
      </w:r>
      <w:r>
        <w:rPr>
          <w:spacing w:val="8"/>
          <w:sz w:val="16"/>
        </w:rPr>
        <w:t> </w:t>
      </w:r>
      <w:r>
        <w:rPr>
          <w:sz w:val="16"/>
        </w:rPr>
        <w:t>trabajo</w:t>
      </w:r>
      <w:r>
        <w:rPr>
          <w:spacing w:val="8"/>
          <w:sz w:val="16"/>
        </w:rPr>
        <w:t> </w:t>
      </w:r>
      <w:r>
        <w:rPr>
          <w:sz w:val="16"/>
        </w:rPr>
        <w:t>se</w:t>
      </w:r>
      <w:r>
        <w:rPr>
          <w:spacing w:val="8"/>
          <w:sz w:val="16"/>
        </w:rPr>
        <w:t> </w:t>
      </w:r>
      <w:r>
        <w:rPr>
          <w:sz w:val="16"/>
        </w:rPr>
        <w:t>asume</w:t>
      </w:r>
      <w:r>
        <w:rPr>
          <w:spacing w:val="8"/>
          <w:sz w:val="16"/>
        </w:rPr>
        <w:t> </w:t>
      </w:r>
      <w:r>
        <w:rPr>
          <w:sz w:val="16"/>
        </w:rPr>
        <w:t>que</w:t>
      </w:r>
      <w:r>
        <w:rPr>
          <w:spacing w:val="8"/>
          <w:sz w:val="16"/>
        </w:rPr>
        <w:t> </w:t>
      </w:r>
      <w:r>
        <w:rPr>
          <w:sz w:val="16"/>
        </w:rPr>
        <w:t>el</w:t>
      </w:r>
      <w:r>
        <w:rPr>
          <w:spacing w:val="8"/>
          <w:sz w:val="16"/>
        </w:rPr>
        <w:t> </w:t>
      </w:r>
      <w:r>
        <w:rPr>
          <w:sz w:val="16"/>
        </w:rPr>
        <w:t>mercado</w:t>
      </w:r>
      <w:r>
        <w:rPr>
          <w:spacing w:val="8"/>
          <w:sz w:val="16"/>
        </w:rPr>
        <w:t> </w:t>
      </w:r>
      <w:r>
        <w:rPr>
          <w:sz w:val="16"/>
        </w:rPr>
        <w:t>de</w:t>
      </w:r>
      <w:r>
        <w:rPr>
          <w:spacing w:val="8"/>
          <w:sz w:val="16"/>
        </w:rPr>
        <w:t> </w:t>
      </w:r>
      <w:r>
        <w:rPr>
          <w:sz w:val="16"/>
        </w:rPr>
        <w:t>telefonía</w:t>
      </w:r>
      <w:r>
        <w:rPr>
          <w:spacing w:val="8"/>
          <w:sz w:val="16"/>
        </w:rPr>
        <w:t> </w:t>
      </w:r>
      <w:r>
        <w:rPr>
          <w:sz w:val="16"/>
        </w:rPr>
        <w:t>ﬁja</w:t>
      </w:r>
    </w:p>
    <w:p>
      <w:pPr>
        <w:spacing w:after="0" w:line="249" w:lineRule="auto"/>
        <w:jc w:val="both"/>
        <w:rPr>
          <w:sz w:val="16"/>
        </w:rPr>
        <w:sectPr>
          <w:headerReference w:type="even" r:id="rId6"/>
          <w:headerReference w:type="default" r:id="rId7"/>
          <w:pgSz w:w="9360" w:h="12760"/>
          <w:pgMar w:header="771" w:footer="0" w:top="980" w:bottom="280" w:left="960" w:right="960"/>
          <w:pgNumType w:start="188"/>
        </w:sectPr>
      </w:pPr>
    </w:p>
    <w:p>
      <w:pPr>
        <w:pStyle w:val="BodyText"/>
        <w:rPr>
          <w:sz w:val="20"/>
        </w:rPr>
      </w:pPr>
    </w:p>
    <w:p>
      <w:pPr>
        <w:pStyle w:val="BodyText"/>
        <w:spacing w:before="9"/>
        <w:rPr>
          <w:sz w:val="15"/>
        </w:rPr>
      </w:pPr>
    </w:p>
    <w:p>
      <w:pPr>
        <w:pStyle w:val="BodyText"/>
        <w:spacing w:line="249" w:lineRule="auto" w:before="59"/>
        <w:ind w:left="116" w:right="114" w:firstLine="850"/>
        <w:jc w:val="both"/>
      </w:pPr>
      <w:r>
        <w:rPr/>
        <w:t>La existencia de un monopolio o empresa que opera con un poder mo- nopólico sustancial posee costos para la sociedad: las cantidades producidas son inferiores,</w:t>
      </w:r>
      <w:r>
        <w:rPr>
          <w:spacing w:val="-12"/>
        </w:rPr>
        <w:t> </w:t>
      </w:r>
      <w:r>
        <w:rPr/>
        <w:t>y</w:t>
      </w:r>
      <w:r>
        <w:rPr>
          <w:spacing w:val="-12"/>
        </w:rPr>
        <w:t> </w:t>
      </w:r>
      <w:r>
        <w:rPr/>
        <w:t>los</w:t>
      </w:r>
      <w:r>
        <w:rPr>
          <w:spacing w:val="-12"/>
        </w:rPr>
        <w:t> </w:t>
      </w:r>
      <w:r>
        <w:rPr/>
        <w:t>precios</w:t>
      </w:r>
      <w:r>
        <w:rPr>
          <w:spacing w:val="-12"/>
        </w:rPr>
        <w:t> </w:t>
      </w:r>
      <w:r>
        <w:rPr/>
        <w:t>son</w:t>
      </w:r>
      <w:r>
        <w:rPr>
          <w:spacing w:val="-12"/>
        </w:rPr>
        <w:t> </w:t>
      </w:r>
      <w:r>
        <w:rPr/>
        <w:t>superiores</w:t>
      </w:r>
      <w:r>
        <w:rPr>
          <w:spacing w:val="-12"/>
        </w:rPr>
        <w:t> </w:t>
      </w:r>
      <w:r>
        <w:rPr/>
        <w:t>a</w:t>
      </w:r>
      <w:r>
        <w:rPr>
          <w:spacing w:val="-12"/>
        </w:rPr>
        <w:t> </w:t>
      </w:r>
      <w:r>
        <w:rPr/>
        <w:t>los</w:t>
      </w:r>
      <w:r>
        <w:rPr>
          <w:spacing w:val="-12"/>
        </w:rPr>
        <w:t> </w:t>
      </w:r>
      <w:r>
        <w:rPr/>
        <w:t>que</w:t>
      </w:r>
      <w:r>
        <w:rPr>
          <w:spacing w:val="-12"/>
        </w:rPr>
        <w:t> </w:t>
      </w:r>
      <w:r>
        <w:rPr/>
        <w:t>existirían</w:t>
      </w:r>
      <w:r>
        <w:rPr>
          <w:spacing w:val="-12"/>
        </w:rPr>
        <w:t> </w:t>
      </w:r>
      <w:r>
        <w:rPr/>
        <w:t>bajo</w:t>
      </w:r>
      <w:r>
        <w:rPr>
          <w:spacing w:val="-12"/>
        </w:rPr>
        <w:t> </w:t>
      </w:r>
      <w:r>
        <w:rPr/>
        <w:t>competencia,</w:t>
      </w:r>
      <w:r>
        <w:rPr>
          <w:spacing w:val="-12"/>
        </w:rPr>
        <w:t> </w:t>
      </w:r>
      <w:r>
        <w:rPr/>
        <w:t>lo</w:t>
      </w:r>
      <w:r>
        <w:rPr>
          <w:spacing w:val="-12"/>
        </w:rPr>
        <w:t> </w:t>
      </w:r>
      <w:r>
        <w:rPr/>
        <w:t>que provoca una pérdida de</w:t>
      </w:r>
      <w:r>
        <w:rPr>
          <w:spacing w:val="-13"/>
        </w:rPr>
        <w:t> </w:t>
      </w:r>
      <w:r>
        <w:rPr/>
        <w:t>bienestar.</w:t>
      </w:r>
    </w:p>
    <w:p>
      <w:pPr>
        <w:pStyle w:val="BodyText"/>
        <w:spacing w:line="249" w:lineRule="auto" w:before="1"/>
        <w:ind w:left="116" w:right="114" w:firstLine="850"/>
        <w:jc w:val="both"/>
      </w:pPr>
      <w:r>
        <w:rPr/>
        <w:t>El</w:t>
      </w:r>
      <w:r>
        <w:rPr>
          <w:spacing w:val="-14"/>
        </w:rPr>
        <w:t> </w:t>
      </w:r>
      <w:r>
        <w:rPr/>
        <w:t>objetivo</w:t>
      </w:r>
      <w:r>
        <w:rPr>
          <w:spacing w:val="-14"/>
        </w:rPr>
        <w:t> </w:t>
      </w:r>
      <w:r>
        <w:rPr/>
        <w:t>del</w:t>
      </w:r>
      <w:r>
        <w:rPr>
          <w:spacing w:val="-14"/>
        </w:rPr>
        <w:t> </w:t>
      </w:r>
      <w:r>
        <w:rPr/>
        <w:t>presente</w:t>
      </w:r>
      <w:r>
        <w:rPr>
          <w:spacing w:val="-14"/>
        </w:rPr>
        <w:t> </w:t>
      </w:r>
      <w:r>
        <w:rPr/>
        <w:t>trabajo</w:t>
      </w:r>
      <w:r>
        <w:rPr>
          <w:spacing w:val="-14"/>
        </w:rPr>
        <w:t> </w:t>
      </w:r>
      <w:r>
        <w:rPr/>
        <w:t>es</w:t>
      </w:r>
      <w:r>
        <w:rPr>
          <w:spacing w:val="-13"/>
        </w:rPr>
        <w:t> </w:t>
      </w:r>
      <w:r>
        <w:rPr/>
        <w:t>realizar</w:t>
      </w:r>
      <w:r>
        <w:rPr>
          <w:spacing w:val="-14"/>
        </w:rPr>
        <w:t> </w:t>
      </w:r>
      <w:r>
        <w:rPr/>
        <w:t>una</w:t>
      </w:r>
      <w:r>
        <w:rPr>
          <w:spacing w:val="-14"/>
        </w:rPr>
        <w:t> </w:t>
      </w:r>
      <w:r>
        <w:rPr/>
        <w:t>estimación</w:t>
      </w:r>
      <w:r>
        <w:rPr>
          <w:spacing w:val="-14"/>
        </w:rPr>
        <w:t> </w:t>
      </w:r>
      <w:r>
        <w:rPr/>
        <w:t>del</w:t>
      </w:r>
      <w:r>
        <w:rPr>
          <w:spacing w:val="-14"/>
        </w:rPr>
        <w:t> </w:t>
      </w:r>
      <w:r>
        <w:rPr/>
        <w:t>costo</w:t>
      </w:r>
      <w:r>
        <w:rPr>
          <w:spacing w:val="-14"/>
        </w:rPr>
        <w:t> </w:t>
      </w:r>
      <w:r>
        <w:rPr/>
        <w:t>social del poder monopólico ejercido por t </w:t>
      </w:r>
      <w:r>
        <w:rPr>
          <w:spacing w:val="4"/>
        </w:rPr>
        <w:t>el </w:t>
      </w:r>
      <w:r>
        <w:rPr/>
        <w:t>mex en el mercado de telefonía ﬁja local, utilizando información de sus estados ﬁnancieros, así como de otras empresas te- lefónicas que operan en diversos países.</w:t>
      </w:r>
    </w:p>
    <w:p>
      <w:pPr>
        <w:pStyle w:val="BodyText"/>
        <w:spacing w:before="9"/>
        <w:rPr>
          <w:sz w:val="20"/>
        </w:rPr>
      </w:pPr>
    </w:p>
    <w:p>
      <w:pPr>
        <w:pStyle w:val="Heading1"/>
        <w:numPr>
          <w:ilvl w:val="0"/>
          <w:numId w:val="1"/>
        </w:numPr>
        <w:tabs>
          <w:tab w:pos="337" w:val="left" w:leader="none"/>
        </w:tabs>
        <w:spacing w:line="240" w:lineRule="auto" w:before="0" w:after="0"/>
        <w:ind w:left="117" w:right="0" w:firstLine="0"/>
        <w:jc w:val="left"/>
      </w:pPr>
      <w:r>
        <w:rPr/>
        <w:t>El costo social de un monopolio</w:t>
      </w:r>
    </w:p>
    <w:p>
      <w:pPr>
        <w:pStyle w:val="BodyText"/>
        <w:spacing w:before="7"/>
        <w:rPr>
          <w:b/>
          <w:sz w:val="21"/>
        </w:rPr>
      </w:pPr>
    </w:p>
    <w:p>
      <w:pPr>
        <w:pStyle w:val="BodyText"/>
        <w:spacing w:line="249" w:lineRule="auto"/>
        <w:ind w:left="116" w:right="115"/>
      </w:pPr>
      <w:r>
        <w:rPr/>
        <w:t>El</w:t>
      </w:r>
      <w:r>
        <w:rPr>
          <w:spacing w:val="-26"/>
        </w:rPr>
        <w:t> </w:t>
      </w:r>
      <w:r>
        <w:rPr/>
        <w:t>costo</w:t>
      </w:r>
      <w:r>
        <w:rPr>
          <w:spacing w:val="-26"/>
        </w:rPr>
        <w:t> </w:t>
      </w:r>
      <w:r>
        <w:rPr/>
        <w:t>social</w:t>
      </w:r>
      <w:r>
        <w:rPr>
          <w:spacing w:val="-26"/>
        </w:rPr>
        <w:t> </w:t>
      </w:r>
      <w:r>
        <w:rPr/>
        <w:t>de</w:t>
      </w:r>
      <w:r>
        <w:rPr>
          <w:spacing w:val="-26"/>
        </w:rPr>
        <w:t> </w:t>
      </w:r>
      <w:r>
        <w:rPr/>
        <w:t>un</w:t>
      </w:r>
      <w:r>
        <w:rPr>
          <w:spacing w:val="-26"/>
        </w:rPr>
        <w:t> </w:t>
      </w:r>
      <w:r>
        <w:rPr/>
        <w:t>monopolio</w:t>
      </w:r>
      <w:r>
        <w:rPr>
          <w:spacing w:val="-26"/>
        </w:rPr>
        <w:t> </w:t>
      </w:r>
      <w:r>
        <w:rPr/>
        <w:t>puede</w:t>
      </w:r>
      <w:r>
        <w:rPr>
          <w:spacing w:val="-26"/>
        </w:rPr>
        <w:t> </w:t>
      </w:r>
      <w:r>
        <w:rPr/>
        <w:t>ilustrarse</w:t>
      </w:r>
      <w:r>
        <w:rPr>
          <w:spacing w:val="-26"/>
        </w:rPr>
        <w:t> </w:t>
      </w:r>
      <w:r>
        <w:rPr/>
        <w:t>con</w:t>
      </w:r>
      <w:r>
        <w:rPr>
          <w:spacing w:val="-26"/>
        </w:rPr>
        <w:t> </w:t>
      </w:r>
      <w:r>
        <w:rPr/>
        <w:t>la</w:t>
      </w:r>
      <w:r>
        <w:rPr>
          <w:spacing w:val="-26"/>
        </w:rPr>
        <w:t> </w:t>
      </w:r>
      <w:r>
        <w:rPr/>
        <w:t>siguiente</w:t>
      </w:r>
      <w:r>
        <w:rPr>
          <w:spacing w:val="-26"/>
        </w:rPr>
        <w:t> </w:t>
      </w:r>
      <w:r>
        <w:rPr/>
        <w:t>gráﬁca,</w:t>
      </w:r>
      <w:r>
        <w:rPr>
          <w:spacing w:val="-26"/>
        </w:rPr>
        <w:t> </w:t>
      </w:r>
      <w:r>
        <w:rPr/>
        <w:t>suponiendo que el costo marginal de producción es constante y la demanda es</w:t>
      </w:r>
      <w:r>
        <w:rPr>
          <w:spacing w:val="-5"/>
        </w:rPr>
        <w:t> </w:t>
      </w:r>
      <w:r>
        <w:rPr/>
        <w:t>lineal.</w:t>
      </w:r>
    </w:p>
    <w:p>
      <w:pPr>
        <w:pStyle w:val="BodyText"/>
        <w:spacing w:before="4"/>
        <w:rPr>
          <w:sz w:val="20"/>
        </w:rPr>
      </w:pPr>
    </w:p>
    <w:p>
      <w:pPr>
        <w:pStyle w:val="Heading1"/>
        <w:spacing w:before="60"/>
        <w:ind w:left="778" w:right="787"/>
      </w:pPr>
      <w:r>
        <w:rPr/>
        <w:t>Gráﬁca 1</w:t>
      </w:r>
    </w:p>
    <w:p>
      <w:pPr>
        <w:spacing w:before="11"/>
        <w:ind w:left="778" w:right="787" w:firstLine="0"/>
        <w:jc w:val="center"/>
        <w:rPr>
          <w:b/>
          <w:sz w:val="22"/>
        </w:rPr>
      </w:pPr>
      <w:r>
        <w:rPr>
          <w:b/>
          <w:sz w:val="22"/>
        </w:rPr>
        <w:t>Descripción del costo social del monopolio</w:t>
      </w:r>
    </w:p>
    <w:p>
      <w:pPr>
        <w:pStyle w:val="BodyText"/>
        <w:spacing w:before="9"/>
        <w:rPr>
          <w:b/>
          <w:sz w:val="11"/>
        </w:rPr>
      </w:pPr>
      <w:r>
        <w:rPr/>
        <w:drawing>
          <wp:anchor distT="0" distB="0" distL="0" distR="0" allowOverlap="1" layoutInCell="1" locked="0" behindDoc="0" simplePos="0" relativeHeight="1072">
            <wp:simplePos x="0" y="0"/>
            <wp:positionH relativeFrom="page">
              <wp:posOffset>1368399</wp:posOffset>
            </wp:positionH>
            <wp:positionV relativeFrom="paragraph">
              <wp:posOffset>111411</wp:posOffset>
            </wp:positionV>
            <wp:extent cx="3177665" cy="2715768"/>
            <wp:effectExtent l="0" t="0" r="0" b="0"/>
            <wp:wrapTopAndBottom/>
            <wp:docPr id="1" name="image1.jpeg" descr=""/>
            <wp:cNvGraphicFramePr>
              <a:graphicFrameLocks noChangeAspect="1"/>
            </wp:cNvGraphicFramePr>
            <a:graphic>
              <a:graphicData uri="http://schemas.openxmlformats.org/drawingml/2006/picture">
                <pic:pic>
                  <pic:nvPicPr>
                    <pic:cNvPr id="2" name="image1.jpeg"/>
                    <pic:cNvPicPr/>
                  </pic:nvPicPr>
                  <pic:blipFill>
                    <a:blip r:embed="rId8" cstate="print"/>
                    <a:stretch>
                      <a:fillRect/>
                    </a:stretch>
                  </pic:blipFill>
                  <pic:spPr>
                    <a:xfrm>
                      <a:off x="0" y="0"/>
                      <a:ext cx="3177665" cy="2715768"/>
                    </a:xfrm>
                    <a:prstGeom prst="rect">
                      <a:avLst/>
                    </a:prstGeom>
                  </pic:spPr>
                </pic:pic>
              </a:graphicData>
            </a:graphic>
          </wp:anchor>
        </w:drawing>
      </w:r>
    </w:p>
    <w:p>
      <w:pPr>
        <w:pStyle w:val="BodyText"/>
        <w:rPr>
          <w:b/>
        </w:rPr>
      </w:pPr>
    </w:p>
    <w:p>
      <w:pPr>
        <w:pStyle w:val="BodyText"/>
        <w:spacing w:line="249" w:lineRule="auto" w:before="131"/>
        <w:ind w:left="116" w:right="114" w:firstLine="850"/>
        <w:jc w:val="both"/>
      </w:pPr>
      <w:r>
        <w:rPr/>
        <w:t>En un mercado competitivo, la empresa produciría al precio (en donde el</w:t>
      </w:r>
      <w:r>
        <w:rPr>
          <w:spacing w:val="-5"/>
        </w:rPr>
        <w:t> </w:t>
      </w:r>
      <w:r>
        <w:rPr/>
        <w:t>costo</w:t>
      </w:r>
      <w:r>
        <w:rPr>
          <w:spacing w:val="-5"/>
        </w:rPr>
        <w:t> </w:t>
      </w:r>
      <w:r>
        <w:rPr/>
        <w:t>marginal</w:t>
      </w:r>
      <w:r>
        <w:rPr>
          <w:spacing w:val="-5"/>
        </w:rPr>
        <w:t> </w:t>
      </w:r>
      <w:r>
        <w:rPr/>
        <w:t>=</w:t>
      </w:r>
      <w:r>
        <w:rPr>
          <w:spacing w:val="-5"/>
        </w:rPr>
        <w:t> </w:t>
      </w:r>
      <w:r>
        <w:rPr/>
        <w:t>ingreso</w:t>
      </w:r>
      <w:r>
        <w:rPr>
          <w:spacing w:val="-5"/>
        </w:rPr>
        <w:t> </w:t>
      </w:r>
      <w:r>
        <w:rPr/>
        <w:t>marginal</w:t>
      </w:r>
      <w:r>
        <w:rPr>
          <w:spacing w:val="-5"/>
        </w:rPr>
        <w:t> </w:t>
      </w:r>
      <w:r>
        <w:rPr/>
        <w:t>=</w:t>
      </w:r>
      <w:r>
        <w:rPr>
          <w:spacing w:val="-5"/>
        </w:rPr>
        <w:t> </w:t>
      </w:r>
      <w:r>
        <w:rPr/>
        <w:t>ingreso</w:t>
      </w:r>
      <w:r>
        <w:rPr>
          <w:spacing w:val="-5"/>
        </w:rPr>
        <w:t> </w:t>
      </w:r>
      <w:r>
        <w:rPr/>
        <w:t>medio</w:t>
      </w:r>
      <w:r>
        <w:rPr>
          <w:spacing w:val="-5"/>
        </w:rPr>
        <w:t> </w:t>
      </w:r>
      <w:r>
        <w:rPr/>
        <w:t>=</w:t>
      </w:r>
      <w:r>
        <w:rPr>
          <w:spacing w:val="-5"/>
        </w:rPr>
        <w:t> </w:t>
      </w:r>
      <w:r>
        <w:rPr/>
        <w:t>precio),</w:t>
      </w:r>
      <w:r>
        <w:rPr>
          <w:spacing w:val="-5"/>
        </w:rPr>
        <w:t> </w:t>
      </w:r>
      <w:r>
        <w:rPr/>
        <w:t>mientras</w:t>
      </w:r>
      <w:r>
        <w:rPr>
          <w:spacing w:val="-5"/>
        </w:rPr>
        <w:t> </w:t>
      </w:r>
      <w:r>
        <w:rPr/>
        <w:t>que</w:t>
      </w:r>
      <w:r>
        <w:rPr>
          <w:spacing w:val="-5"/>
        </w:rPr>
        <w:t> </w:t>
      </w:r>
      <w:r>
        <w:rPr/>
        <w:t>si</w:t>
      </w:r>
      <w:r>
        <w:rPr>
          <w:spacing w:val="-5"/>
        </w:rPr>
        <w:t> </w:t>
      </w:r>
      <w:r>
        <w:rPr/>
        <w:t>es un monopolio producirá </w:t>
      </w:r>
      <w:r>
        <w:rPr>
          <w:i/>
        </w:rPr>
        <w:t>q</w:t>
      </w:r>
      <w:r>
        <w:rPr/>
        <w:t>* al precio </w:t>
      </w:r>
      <w:r>
        <w:rPr>
          <w:i/>
        </w:rPr>
        <w:t>p</w:t>
      </w:r>
      <w:r>
        <w:rPr/>
        <w:t>* (en donde maximiza sus ganancias </w:t>
      </w:r>
      <w:r>
        <w:rPr>
          <w:spacing w:val="53"/>
        </w:rPr>
        <w:t> </w:t>
      </w:r>
      <w:r>
        <w:rPr/>
        <w:t>dado</w:t>
      </w:r>
    </w:p>
    <w:p>
      <w:pPr>
        <w:spacing w:after="0" w:line="249" w:lineRule="auto"/>
        <w:jc w:val="both"/>
        <w:sectPr>
          <w:pgSz w:w="9360" w:h="12760"/>
          <w:pgMar w:header="771" w:footer="0" w:top="980" w:bottom="280" w:left="960" w:right="960"/>
        </w:sectPr>
      </w:pPr>
    </w:p>
    <w:p>
      <w:pPr>
        <w:pStyle w:val="BodyText"/>
        <w:rPr>
          <w:sz w:val="20"/>
        </w:rPr>
      </w:pPr>
    </w:p>
    <w:p>
      <w:pPr>
        <w:pStyle w:val="BodyText"/>
        <w:spacing w:before="9"/>
        <w:rPr>
          <w:sz w:val="15"/>
        </w:rPr>
      </w:pPr>
    </w:p>
    <w:p>
      <w:pPr>
        <w:pStyle w:val="BodyText"/>
        <w:spacing w:line="249" w:lineRule="auto" w:before="59"/>
        <w:ind w:left="117" w:right="114"/>
        <w:jc w:val="both"/>
      </w:pPr>
      <w:r>
        <w:rPr/>
        <w:t>que costo marginal = ingreso marginal, aunque este último es menor al precio).</w:t>
      </w:r>
      <w:r>
        <w:rPr>
          <w:spacing w:val="-20"/>
        </w:rPr>
        <w:t> </w:t>
      </w:r>
      <w:r>
        <w:rPr/>
        <w:t>El monopolio genera una ganancia adicional, por encima de la ganancia normal bajo competencia</w:t>
      </w:r>
      <w:r>
        <w:rPr>
          <w:spacing w:val="-12"/>
        </w:rPr>
        <w:t> </w:t>
      </w:r>
      <w:r>
        <w:rPr/>
        <w:t>(mayor</w:t>
      </w:r>
      <w:r>
        <w:rPr>
          <w:spacing w:val="-12"/>
        </w:rPr>
        <w:t> </w:t>
      </w:r>
      <w:r>
        <w:rPr/>
        <w:t>excedente</w:t>
      </w:r>
      <w:r>
        <w:rPr>
          <w:spacing w:val="-12"/>
        </w:rPr>
        <w:t> </w:t>
      </w:r>
      <w:r>
        <w:rPr/>
        <w:t>del</w:t>
      </w:r>
      <w:r>
        <w:rPr>
          <w:spacing w:val="-12"/>
        </w:rPr>
        <w:t> </w:t>
      </w:r>
      <w:r>
        <w:rPr/>
        <w:t>productor)</w:t>
      </w:r>
      <w:r>
        <w:rPr>
          <w:spacing w:val="-12"/>
        </w:rPr>
        <w:t> </w:t>
      </w:r>
      <w:r>
        <w:rPr/>
        <w:t>dada</w:t>
      </w:r>
      <w:r>
        <w:rPr>
          <w:spacing w:val="-12"/>
        </w:rPr>
        <w:t> </w:t>
      </w:r>
      <w:r>
        <w:rPr/>
        <w:t>por</w:t>
      </w:r>
      <w:r>
        <w:rPr>
          <w:spacing w:val="-12"/>
        </w:rPr>
        <w:t> </w:t>
      </w:r>
      <w:r>
        <w:rPr/>
        <w:t>el</w:t>
      </w:r>
      <w:r>
        <w:rPr>
          <w:spacing w:val="-12"/>
        </w:rPr>
        <w:t> </w:t>
      </w:r>
      <w:r>
        <w:rPr/>
        <w:t>área</w:t>
      </w:r>
      <w:r>
        <w:rPr>
          <w:spacing w:val="-12"/>
        </w:rPr>
        <w:t> </w:t>
      </w:r>
      <w:r>
        <w:rPr>
          <w:i/>
        </w:rPr>
        <w:t>p</w:t>
      </w:r>
      <w:r>
        <w:rPr/>
        <w:t>*</w:t>
      </w:r>
      <w:r>
        <w:rPr>
          <w:spacing w:val="-12"/>
        </w:rPr>
        <w:t> </w:t>
      </w:r>
      <w:r>
        <w:rPr/>
        <w:t>b</w:t>
      </w:r>
      <w:r>
        <w:rPr>
          <w:spacing w:val="-12"/>
        </w:rPr>
        <w:t> </w:t>
      </w:r>
      <w:r>
        <w:rPr/>
        <w:t>a,</w:t>
      </w:r>
      <w:r>
        <w:rPr>
          <w:spacing w:val="-12"/>
        </w:rPr>
        <w:t> </w:t>
      </w:r>
      <w:r>
        <w:rPr/>
        <w:t>así</w:t>
      </w:r>
      <w:r>
        <w:rPr>
          <w:spacing w:val="-12"/>
        </w:rPr>
        <w:t> </w:t>
      </w:r>
      <w:r>
        <w:rPr/>
        <w:t>como</w:t>
      </w:r>
      <w:r>
        <w:rPr>
          <w:spacing w:val="-12"/>
        </w:rPr>
        <w:t> </w:t>
      </w:r>
      <w:r>
        <w:rPr/>
        <w:t>una reducción</w:t>
      </w:r>
      <w:r>
        <w:rPr>
          <w:spacing w:val="-32"/>
        </w:rPr>
        <w:t> </w:t>
      </w:r>
      <w:r>
        <w:rPr/>
        <w:t>del</w:t>
      </w:r>
      <w:r>
        <w:rPr>
          <w:spacing w:val="-32"/>
        </w:rPr>
        <w:t> </w:t>
      </w:r>
      <w:r>
        <w:rPr/>
        <w:t>bienestar</w:t>
      </w:r>
      <w:r>
        <w:rPr>
          <w:spacing w:val="-32"/>
        </w:rPr>
        <w:t> </w:t>
      </w:r>
      <w:r>
        <w:rPr/>
        <w:t>del</w:t>
      </w:r>
      <w:r>
        <w:rPr>
          <w:spacing w:val="-32"/>
        </w:rPr>
        <w:t> </w:t>
      </w:r>
      <w:r>
        <w:rPr/>
        <w:t>consumidor</w:t>
      </w:r>
      <w:r>
        <w:rPr>
          <w:spacing w:val="-32"/>
        </w:rPr>
        <w:t> </w:t>
      </w:r>
      <w:r>
        <w:rPr/>
        <w:t>(disminución</w:t>
      </w:r>
      <w:r>
        <w:rPr>
          <w:spacing w:val="-32"/>
        </w:rPr>
        <w:t> </w:t>
      </w:r>
      <w:r>
        <w:rPr/>
        <w:t>del</w:t>
      </w:r>
      <w:r>
        <w:rPr>
          <w:spacing w:val="-32"/>
        </w:rPr>
        <w:t> </w:t>
      </w:r>
      <w:r>
        <w:rPr/>
        <w:t>excedente</w:t>
      </w:r>
      <w:r>
        <w:rPr>
          <w:spacing w:val="-32"/>
        </w:rPr>
        <w:t> </w:t>
      </w:r>
      <w:r>
        <w:rPr/>
        <w:t>del</w:t>
      </w:r>
      <w:r>
        <w:rPr>
          <w:spacing w:val="-32"/>
        </w:rPr>
        <w:t> </w:t>
      </w:r>
      <w:r>
        <w:rPr/>
        <w:t>consumidor), equivalente</w:t>
      </w:r>
      <w:r>
        <w:rPr>
          <w:spacing w:val="-6"/>
        </w:rPr>
        <w:t> </w:t>
      </w:r>
      <w:r>
        <w:rPr/>
        <w:t>al</w:t>
      </w:r>
      <w:r>
        <w:rPr>
          <w:spacing w:val="-6"/>
        </w:rPr>
        <w:t> </w:t>
      </w:r>
      <w:r>
        <w:rPr/>
        <w:t>área</w:t>
      </w:r>
      <w:r>
        <w:rPr>
          <w:spacing w:val="-6"/>
        </w:rPr>
        <w:t> </w:t>
      </w:r>
      <w:r>
        <w:rPr>
          <w:i/>
        </w:rPr>
        <w:t>p</w:t>
      </w:r>
      <w:r>
        <w:rPr/>
        <w:t>*</w:t>
      </w:r>
      <w:r>
        <w:rPr>
          <w:spacing w:val="-6"/>
        </w:rPr>
        <w:t> </w:t>
      </w:r>
      <w:r>
        <w:rPr>
          <w:i/>
        </w:rPr>
        <w:t>c</w:t>
      </w:r>
      <w:r>
        <w:rPr>
          <w:i/>
          <w:spacing w:val="-6"/>
        </w:rPr>
        <w:t> </w:t>
      </w:r>
      <w:r>
        <w:rPr>
          <w:i/>
        </w:rPr>
        <w:t>a</w:t>
      </w:r>
      <w:r>
        <w:rPr/>
        <w:t>,</w:t>
      </w:r>
      <w:r>
        <w:rPr>
          <w:spacing w:val="-6"/>
        </w:rPr>
        <w:t> </w:t>
      </w:r>
      <w:r>
        <w:rPr/>
        <w:t>que</w:t>
      </w:r>
      <w:r>
        <w:rPr>
          <w:spacing w:val="-6"/>
        </w:rPr>
        <w:t> </w:t>
      </w:r>
      <w:r>
        <w:rPr/>
        <w:t>es</w:t>
      </w:r>
      <w:r>
        <w:rPr>
          <w:spacing w:val="-6"/>
        </w:rPr>
        <w:t> </w:t>
      </w:r>
      <w:r>
        <w:rPr/>
        <w:t>igual</w:t>
      </w:r>
      <w:r>
        <w:rPr>
          <w:spacing w:val="-6"/>
        </w:rPr>
        <w:t> </w:t>
      </w:r>
      <w:r>
        <w:rPr/>
        <w:t>a</w:t>
      </w:r>
      <w:r>
        <w:rPr>
          <w:spacing w:val="-6"/>
        </w:rPr>
        <w:t> </w:t>
      </w:r>
      <w:r>
        <w:rPr/>
        <w:t>la</w:t>
      </w:r>
      <w:r>
        <w:rPr>
          <w:spacing w:val="-6"/>
        </w:rPr>
        <w:t> </w:t>
      </w:r>
      <w:r>
        <w:rPr/>
        <w:t>ganancia</w:t>
      </w:r>
      <w:r>
        <w:rPr>
          <w:spacing w:val="-6"/>
        </w:rPr>
        <w:t> </w:t>
      </w:r>
      <w:r>
        <w:rPr/>
        <w:t>adicional</w:t>
      </w:r>
      <w:r>
        <w:rPr>
          <w:spacing w:val="-6"/>
        </w:rPr>
        <w:t> </w:t>
      </w:r>
      <w:r>
        <w:rPr/>
        <w:t>del</w:t>
      </w:r>
      <w:r>
        <w:rPr>
          <w:spacing w:val="-6"/>
        </w:rPr>
        <w:t> </w:t>
      </w:r>
      <w:r>
        <w:rPr/>
        <w:t>monopolista</w:t>
      </w:r>
      <w:r>
        <w:rPr>
          <w:spacing w:val="-6"/>
        </w:rPr>
        <w:t> </w:t>
      </w:r>
      <w:r>
        <w:rPr/>
        <w:t>(</w:t>
      </w:r>
      <w:r>
        <w:rPr>
          <w:i/>
        </w:rPr>
        <w:t>p</w:t>
      </w:r>
      <w:r>
        <w:rPr/>
        <w:t>* </w:t>
      </w:r>
      <w:r>
        <w:rPr>
          <w:i/>
        </w:rPr>
        <w:t>b a</w:t>
      </w:r>
      <w:r>
        <w:rPr/>
        <w:t>) más el área dada por el triángulo abc.</w:t>
      </w:r>
    </w:p>
    <w:p>
      <w:pPr>
        <w:pStyle w:val="BodyText"/>
        <w:spacing w:line="249" w:lineRule="auto" w:before="1"/>
        <w:ind w:left="117" w:right="114" w:firstLine="850"/>
        <w:jc w:val="both"/>
      </w:pPr>
      <w:r>
        <w:rPr/>
        <w:t>Esto signiﬁca que el área del triángulo abc es una pérdida neta para la sociedad</w:t>
      </w:r>
      <w:r>
        <w:rPr>
          <w:spacing w:val="-10"/>
        </w:rPr>
        <w:t> </w:t>
      </w:r>
      <w:r>
        <w:rPr/>
        <w:t>provocada</w:t>
      </w:r>
      <w:r>
        <w:rPr>
          <w:spacing w:val="-10"/>
        </w:rPr>
        <w:t> </w:t>
      </w:r>
      <w:r>
        <w:rPr/>
        <w:t>por</w:t>
      </w:r>
      <w:r>
        <w:rPr>
          <w:spacing w:val="-10"/>
        </w:rPr>
        <w:t> </w:t>
      </w:r>
      <w:r>
        <w:rPr/>
        <w:t>la</w:t>
      </w:r>
      <w:r>
        <w:rPr>
          <w:spacing w:val="-10"/>
        </w:rPr>
        <w:t> </w:t>
      </w:r>
      <w:r>
        <w:rPr/>
        <w:t>existencia</w:t>
      </w:r>
      <w:r>
        <w:rPr>
          <w:spacing w:val="-10"/>
        </w:rPr>
        <w:t> </w:t>
      </w:r>
      <w:r>
        <w:rPr/>
        <w:t>del</w:t>
      </w:r>
      <w:r>
        <w:rPr>
          <w:spacing w:val="-10"/>
        </w:rPr>
        <w:t> </w:t>
      </w:r>
      <w:r>
        <w:rPr/>
        <w:t>monopolio,</w:t>
      </w:r>
      <w:r>
        <w:rPr>
          <w:spacing w:val="-10"/>
        </w:rPr>
        <w:t> </w:t>
      </w:r>
      <w:r>
        <w:rPr/>
        <w:t>ya</w:t>
      </w:r>
      <w:r>
        <w:rPr>
          <w:spacing w:val="-10"/>
        </w:rPr>
        <w:t> </w:t>
      </w:r>
      <w:r>
        <w:rPr/>
        <w:t>que</w:t>
      </w:r>
      <w:r>
        <w:rPr>
          <w:spacing w:val="-10"/>
        </w:rPr>
        <w:t> </w:t>
      </w:r>
      <w:r>
        <w:rPr/>
        <w:t>representa</w:t>
      </w:r>
      <w:r>
        <w:rPr>
          <w:spacing w:val="-10"/>
        </w:rPr>
        <w:t> </w:t>
      </w:r>
      <w:r>
        <w:rPr/>
        <w:t>una</w:t>
      </w:r>
      <w:r>
        <w:rPr>
          <w:spacing w:val="-10"/>
        </w:rPr>
        <w:t> </w:t>
      </w:r>
      <w:r>
        <w:rPr/>
        <w:t>pérdida de excedente del consumidor, del cual nadie se</w:t>
      </w:r>
      <w:r>
        <w:rPr>
          <w:spacing w:val="-9"/>
        </w:rPr>
        <w:t> </w:t>
      </w:r>
      <w:r>
        <w:rPr/>
        <w:t>apropia.</w:t>
      </w:r>
    </w:p>
    <w:p>
      <w:pPr>
        <w:pStyle w:val="BodyText"/>
        <w:spacing w:line="249" w:lineRule="auto" w:before="1"/>
        <w:ind w:left="117" w:right="114" w:firstLine="850"/>
        <w:jc w:val="both"/>
      </w:pPr>
      <w:r>
        <w:rPr/>
        <w:t>En la literatura económica existen varios procedimientos sugeridos para el cálculo de esta área de “pérdida de bienestar”. Se describen a continuación las metodologías de Harberger y de Cowling y Mueller, utilizadas en este trabajo.</w:t>
      </w:r>
    </w:p>
    <w:p>
      <w:pPr>
        <w:pStyle w:val="BodyText"/>
        <w:spacing w:before="7"/>
        <w:rPr>
          <w:sz w:val="18"/>
        </w:rPr>
      </w:pPr>
    </w:p>
    <w:p>
      <w:pPr>
        <w:pStyle w:val="Heading1"/>
        <w:numPr>
          <w:ilvl w:val="0"/>
          <w:numId w:val="1"/>
        </w:numPr>
        <w:tabs>
          <w:tab w:pos="337" w:val="left" w:leader="none"/>
        </w:tabs>
        <w:spacing w:line="240" w:lineRule="auto" w:before="0" w:after="0"/>
        <w:ind w:left="337" w:right="0" w:hanging="220"/>
        <w:jc w:val="both"/>
        <w:rPr>
          <w:sz w:val="15"/>
        </w:rPr>
      </w:pPr>
      <w:r>
        <w:rPr/>
        <w:t>Metodología de Harberger para calcular el costo social del</w:t>
      </w:r>
      <w:r>
        <w:rPr>
          <w:spacing w:val="-8"/>
        </w:rPr>
        <w:t> </w:t>
      </w:r>
      <w:r>
        <w:rPr/>
        <w:t>monopolio</w:t>
      </w:r>
      <w:r>
        <w:rPr>
          <w:position w:val="9"/>
          <w:sz w:val="15"/>
        </w:rPr>
        <w:t>3</w:t>
      </w:r>
    </w:p>
    <w:p>
      <w:pPr>
        <w:pStyle w:val="BodyText"/>
        <w:spacing w:before="7"/>
        <w:rPr>
          <w:b/>
          <w:sz w:val="21"/>
        </w:rPr>
      </w:pPr>
    </w:p>
    <w:p>
      <w:pPr>
        <w:pStyle w:val="BodyText"/>
        <w:spacing w:line="249" w:lineRule="auto"/>
        <w:ind w:left="117" w:right="114"/>
        <w:jc w:val="both"/>
      </w:pPr>
      <w:r>
        <w:rPr/>
        <w:t>Suponiendo un costo marginal constante, como en la Gráﬁca 1, Harberger calculó el costo social del monopolio como el área triangular que se genera al sustraer el excedente del consumidor, disminuido a causa de la existencia del monopolio, las ganancias del monopolista. Así:</w:t>
      </w:r>
    </w:p>
    <w:p>
      <w:pPr>
        <w:pStyle w:val="BodyText"/>
        <w:tabs>
          <w:tab w:pos="7060" w:val="left" w:leader="none"/>
        </w:tabs>
        <w:spacing w:line="412" w:lineRule="auto" w:before="171"/>
        <w:ind w:left="967" w:right="115" w:firstLine="851"/>
      </w:pPr>
      <w:r>
        <w:rPr/>
        <w:t>Costo social del monopolio =</w:t>
        <w:tab/>
        <w:t>(1) Si la elasticidad de la demanda en valor absoluto se deﬁne</w:t>
      </w:r>
      <w:r>
        <w:rPr>
          <w:spacing w:val="-1"/>
        </w:rPr>
        <w:t> </w:t>
      </w:r>
      <w:r>
        <w:rPr/>
        <w:t>como:</w:t>
      </w:r>
    </w:p>
    <w:p>
      <w:pPr>
        <w:pStyle w:val="BodyText"/>
        <w:tabs>
          <w:tab w:pos="7060" w:val="left" w:leader="none"/>
        </w:tabs>
        <w:spacing w:before="5"/>
        <w:ind w:left="1818" w:right="51"/>
      </w:pPr>
      <w:r>
        <w:rPr/>
        <w:t>*</w:t>
        <w:tab/>
        <w:t>(2)</w:t>
      </w:r>
    </w:p>
    <w:p>
      <w:pPr>
        <w:pStyle w:val="BodyText"/>
        <w:spacing w:before="181"/>
        <w:ind w:left="967" w:right="115"/>
      </w:pPr>
      <w:r>
        <w:rPr/>
        <w:t>Entonces (1) se transforma en:</w:t>
      </w:r>
    </w:p>
    <w:p>
      <w:pPr>
        <w:pStyle w:val="BodyText"/>
        <w:spacing w:before="7"/>
        <w:rPr>
          <w:sz w:val="21"/>
        </w:rPr>
      </w:pPr>
    </w:p>
    <w:p>
      <w:pPr>
        <w:pStyle w:val="BodyText"/>
        <w:tabs>
          <w:tab w:pos="6319" w:val="left" w:leader="none"/>
        </w:tabs>
        <w:ind w:right="115"/>
        <w:jc w:val="right"/>
      </w:pPr>
      <w:r>
        <w:rPr>
          <w:position w:val="-5"/>
        </w:rPr>
        <w:t>**  </w:t>
      </w:r>
      <w:r>
        <w:rPr>
          <w:i/>
        </w:rPr>
        <w:t>pq</w:t>
      </w:r>
      <w:r>
        <w:rPr/>
        <w:t>;  si deﬁnimos, , entonces</w:t>
        <w:tab/>
        <w:t>(3)</w:t>
      </w:r>
    </w:p>
    <w:p>
      <w:pPr>
        <w:pStyle w:val="BodyText"/>
        <w:spacing w:before="1"/>
        <w:rPr>
          <w:sz w:val="37"/>
        </w:rPr>
      </w:pPr>
    </w:p>
    <w:p>
      <w:pPr>
        <w:pStyle w:val="BodyText"/>
        <w:ind w:right="115"/>
        <w:jc w:val="right"/>
      </w:pPr>
      <w:r>
        <w:rPr/>
        <w:t>(4)</w:t>
      </w:r>
    </w:p>
    <w:p>
      <w:pPr>
        <w:pStyle w:val="BodyText"/>
        <w:spacing w:before="7"/>
        <w:rPr>
          <w:sz w:val="21"/>
        </w:rPr>
      </w:pPr>
    </w:p>
    <w:p>
      <w:pPr>
        <w:pStyle w:val="BodyText"/>
        <w:ind w:left="116"/>
        <w:jc w:val="both"/>
      </w:pPr>
      <w:r>
        <w:rPr/>
        <w:t>es la fórmula que Harberger utilizó para medir el costo social del monopolio.</w:t>
      </w:r>
    </w:p>
    <w:p>
      <w:pPr>
        <w:pStyle w:val="BodyText"/>
        <w:spacing w:before="4"/>
        <w:rPr>
          <w:sz w:val="23"/>
        </w:rPr>
      </w:pPr>
    </w:p>
    <w:p>
      <w:pPr>
        <w:pStyle w:val="BodyText"/>
        <w:spacing w:line="264" w:lineRule="exact"/>
        <w:ind w:left="116" w:right="115" w:firstLine="850"/>
        <w:jc w:val="both"/>
        <w:rPr>
          <w:sz w:val="15"/>
        </w:rPr>
      </w:pPr>
      <w:r>
        <w:rPr/>
        <w:t>Es importante señalar que el cálculo numérico de la siguiente sección considera,</w:t>
      </w:r>
      <w:r>
        <w:rPr>
          <w:spacing w:val="-19"/>
        </w:rPr>
        <w:t> </w:t>
      </w:r>
      <w:r>
        <w:rPr/>
        <w:t>al</w:t>
      </w:r>
      <w:r>
        <w:rPr>
          <w:spacing w:val="-19"/>
        </w:rPr>
        <w:t> </w:t>
      </w:r>
      <w:r>
        <w:rPr/>
        <w:t>igual</w:t>
      </w:r>
      <w:r>
        <w:rPr>
          <w:spacing w:val="-19"/>
        </w:rPr>
        <w:t> </w:t>
      </w:r>
      <w:r>
        <w:rPr/>
        <w:t>que</w:t>
      </w:r>
      <w:r>
        <w:rPr>
          <w:spacing w:val="-19"/>
        </w:rPr>
        <w:t> </w:t>
      </w:r>
      <w:r>
        <w:rPr/>
        <w:t>Harberger,</w:t>
      </w:r>
      <w:r>
        <w:rPr>
          <w:spacing w:val="-19"/>
        </w:rPr>
        <w:t> </w:t>
      </w:r>
      <w:r>
        <w:rPr>
          <w:rFonts w:ascii="Symbol" w:hAnsi="Symbol"/>
        </w:rPr>
        <w:t></w:t>
      </w:r>
      <w:r>
        <w:rPr/>
        <w:t>=1</w:t>
      </w:r>
      <w:r>
        <w:rPr>
          <w:spacing w:val="-19"/>
        </w:rPr>
        <w:t> </w:t>
      </w:r>
      <w:r>
        <w:rPr/>
        <w:t>y</w:t>
      </w:r>
      <w:r>
        <w:rPr>
          <w:spacing w:val="-19"/>
        </w:rPr>
        <w:t> </w:t>
      </w:r>
      <w:r>
        <w:rPr/>
        <w:t>que</w:t>
      </w:r>
      <w:r>
        <w:rPr>
          <w:spacing w:val="-19"/>
        </w:rPr>
        <w:t> </w:t>
      </w:r>
      <w:r>
        <w:rPr>
          <w:i/>
        </w:rPr>
        <w:t>d</w:t>
      </w:r>
      <w:r>
        <w:rPr>
          <w:i/>
          <w:spacing w:val="-19"/>
        </w:rPr>
        <w:t> </w:t>
      </w:r>
      <w:r>
        <w:rPr/>
        <w:t>está</w:t>
      </w:r>
      <w:r>
        <w:rPr>
          <w:spacing w:val="-19"/>
        </w:rPr>
        <w:t> </w:t>
      </w:r>
      <w:r>
        <w:rPr/>
        <w:t>dada</w:t>
      </w:r>
      <w:r>
        <w:rPr>
          <w:spacing w:val="-19"/>
        </w:rPr>
        <w:t> </w:t>
      </w:r>
      <w:r>
        <w:rPr/>
        <w:t>por</w:t>
      </w:r>
      <w:r>
        <w:rPr>
          <w:spacing w:val="-19"/>
        </w:rPr>
        <w:t> </w:t>
      </w:r>
      <w:r>
        <w:rPr/>
        <w:t>el</w:t>
      </w:r>
      <w:r>
        <w:rPr>
          <w:spacing w:val="-19"/>
        </w:rPr>
        <w:t> </w:t>
      </w:r>
      <w:r>
        <w:rPr/>
        <w:t>retorno</w:t>
      </w:r>
      <w:r>
        <w:rPr>
          <w:spacing w:val="-19"/>
        </w:rPr>
        <w:t> </w:t>
      </w:r>
      <w:r>
        <w:rPr/>
        <w:t>sobre</w:t>
      </w:r>
      <w:r>
        <w:rPr>
          <w:spacing w:val="-19"/>
        </w:rPr>
        <w:t> </w:t>
      </w:r>
      <w:r>
        <w:rPr/>
        <w:t>activos de Telmex en exceso del retorno sobre activos de la </w:t>
      </w:r>
      <w:r>
        <w:rPr>
          <w:i/>
        </w:rPr>
        <w:t>Baby Bell </w:t>
      </w:r>
      <w:r>
        <w:rPr/>
        <w:t>del sur de Estados Unidos o </w:t>
      </w:r>
      <w:r>
        <w:rPr>
          <w:spacing w:val="6"/>
        </w:rPr>
        <w:t>sbc </w:t>
      </w:r>
      <w:r>
        <w:rPr/>
        <w:t>(Southwestern Bell Communications</w:t>
      </w:r>
      <w:r>
        <w:rPr>
          <w:spacing w:val="15"/>
        </w:rPr>
        <w:t> </w:t>
      </w:r>
      <w:r>
        <w:rPr/>
        <w:t>Inc.).</w:t>
      </w:r>
      <w:r>
        <w:rPr>
          <w:position w:val="9"/>
          <w:sz w:val="15"/>
        </w:rPr>
        <w:t>4</w:t>
      </w:r>
    </w:p>
    <w:p>
      <w:pPr>
        <w:spacing w:before="5"/>
        <w:ind w:left="117" w:right="0" w:firstLine="0"/>
        <w:jc w:val="both"/>
        <w:rPr>
          <w:sz w:val="16"/>
        </w:rPr>
      </w:pPr>
      <w:r>
        <w:rPr>
          <w:sz w:val="16"/>
        </w:rPr>
        <w:t>local es el relevante (Tirole, 1998).</w:t>
      </w:r>
    </w:p>
    <w:p>
      <w:pPr>
        <w:spacing w:after="0"/>
        <w:jc w:val="both"/>
        <w:rPr>
          <w:sz w:val="16"/>
        </w:rPr>
        <w:sectPr>
          <w:pgSz w:w="9360" w:h="12760"/>
          <w:pgMar w:header="771" w:footer="0" w:top="980" w:bottom="280" w:left="960" w:right="960"/>
        </w:sectPr>
      </w:pPr>
    </w:p>
    <w:p>
      <w:pPr>
        <w:pStyle w:val="BodyText"/>
        <w:rPr>
          <w:sz w:val="20"/>
        </w:rPr>
      </w:pPr>
    </w:p>
    <w:p>
      <w:pPr>
        <w:pStyle w:val="BodyText"/>
        <w:spacing w:before="9"/>
        <w:rPr>
          <w:sz w:val="15"/>
        </w:rPr>
      </w:pPr>
    </w:p>
    <w:p>
      <w:pPr>
        <w:pStyle w:val="BodyText"/>
        <w:spacing w:line="249" w:lineRule="auto" w:before="59"/>
        <w:ind w:left="116" w:right="114" w:firstLine="850"/>
        <w:jc w:val="both"/>
      </w:pPr>
      <w:r>
        <w:rPr/>
        <w:t>Se</w:t>
      </w:r>
      <w:r>
        <w:rPr>
          <w:spacing w:val="-12"/>
        </w:rPr>
        <w:t> </w:t>
      </w:r>
      <w:r>
        <w:rPr/>
        <w:t>consideró</w:t>
      </w:r>
      <w:r>
        <w:rPr>
          <w:spacing w:val="-12"/>
        </w:rPr>
        <w:t> </w:t>
      </w:r>
      <w:r>
        <w:rPr/>
        <w:t>a</w:t>
      </w:r>
      <w:r>
        <w:rPr>
          <w:spacing w:val="-12"/>
        </w:rPr>
        <w:t> </w:t>
      </w:r>
      <w:r>
        <w:rPr>
          <w:spacing w:val="6"/>
        </w:rPr>
        <w:t>sbc</w:t>
      </w:r>
      <w:r>
        <w:rPr>
          <w:spacing w:val="7"/>
        </w:rPr>
        <w:t> </w:t>
      </w:r>
      <w:r>
        <w:rPr/>
        <w:t>como</w:t>
      </w:r>
      <w:r>
        <w:rPr>
          <w:spacing w:val="-12"/>
        </w:rPr>
        <w:t> </w:t>
      </w:r>
      <w:r>
        <w:rPr/>
        <w:t>parámetro</w:t>
      </w:r>
      <w:r>
        <w:rPr>
          <w:spacing w:val="-12"/>
        </w:rPr>
        <w:t> </w:t>
      </w:r>
      <w:r>
        <w:rPr/>
        <w:t>de</w:t>
      </w:r>
      <w:r>
        <w:rPr>
          <w:spacing w:val="-12"/>
        </w:rPr>
        <w:t> </w:t>
      </w:r>
      <w:r>
        <w:rPr/>
        <w:t>comparación</w:t>
      </w:r>
      <w:r>
        <w:rPr>
          <w:spacing w:val="-12"/>
        </w:rPr>
        <w:t> </w:t>
      </w:r>
      <w:r>
        <w:rPr/>
        <w:t>porque</w:t>
      </w:r>
      <w:r>
        <w:rPr>
          <w:spacing w:val="-12"/>
        </w:rPr>
        <w:t> </w:t>
      </w:r>
      <w:r>
        <w:rPr/>
        <w:t>esta</w:t>
      </w:r>
      <w:r>
        <w:rPr>
          <w:spacing w:val="-12"/>
        </w:rPr>
        <w:t> </w:t>
      </w:r>
      <w:r>
        <w:rPr/>
        <w:t>empresa ofrece sus servicios en un mercado muy competitivo, por ejemplo, en el estado de </w:t>
      </w:r>
      <w:r>
        <w:rPr>
          <w:spacing w:val="-4"/>
        </w:rPr>
        <w:t>Texas </w:t>
      </w:r>
      <w:r>
        <w:rPr/>
        <w:t>operan más de 700 empresas de telecomunicaciones. Además, los estados ﬁnancieros consolidados de </w:t>
      </w:r>
      <w:r>
        <w:rPr>
          <w:spacing w:val="6"/>
        </w:rPr>
        <w:t>sbc </w:t>
      </w:r>
      <w:r>
        <w:rPr/>
        <w:t>permiten excluir los ingresos generados por la telefonía celular y esto los hace comparables a los estados ﬁnancieros de </w:t>
      </w:r>
      <w:r>
        <w:rPr>
          <w:spacing w:val="-3"/>
        </w:rPr>
        <w:t>Telmex. </w:t>
      </w:r>
      <w:r>
        <w:rPr/>
        <w:t>Finalmente, en la información de la Comisión Federal de Comunicaciones </w:t>
      </w:r>
      <w:r>
        <w:rPr>
          <w:spacing w:val="10"/>
        </w:rPr>
        <w:t>(fcc </w:t>
      </w:r>
      <w:r>
        <w:rPr/>
        <w:t>por sus siglas en inglés) de Estados Unidos, no se encontró evidencia de acciones legales de ésta, en contra de </w:t>
      </w:r>
      <w:r>
        <w:rPr>
          <w:spacing w:val="6"/>
        </w:rPr>
        <w:t>sbc </w:t>
      </w:r>
      <w:r>
        <w:rPr/>
        <w:t>que hubiesen sido instrumentadas para eliminar prácticas monopólicas.</w:t>
      </w:r>
    </w:p>
    <w:p>
      <w:pPr>
        <w:pStyle w:val="BodyText"/>
        <w:spacing w:before="3"/>
        <w:rPr>
          <w:sz w:val="20"/>
        </w:rPr>
      </w:pPr>
    </w:p>
    <w:p>
      <w:pPr>
        <w:pStyle w:val="Heading1"/>
        <w:numPr>
          <w:ilvl w:val="0"/>
          <w:numId w:val="1"/>
        </w:numPr>
        <w:tabs>
          <w:tab w:pos="337" w:val="left" w:leader="none"/>
        </w:tabs>
        <w:spacing w:line="264" w:lineRule="exact" w:before="0" w:after="0"/>
        <w:ind w:left="117" w:right="882" w:firstLine="0"/>
        <w:jc w:val="left"/>
        <w:rPr>
          <w:sz w:val="15"/>
        </w:rPr>
      </w:pPr>
      <w:r>
        <w:rPr/>
        <w:t>Metodología de Cowling y Mueller para calcular el costo social</w:t>
      </w:r>
      <w:r>
        <w:rPr>
          <w:spacing w:val="-9"/>
        </w:rPr>
        <w:t> </w:t>
      </w:r>
      <w:r>
        <w:rPr/>
        <w:t>del monopolio</w:t>
      </w:r>
      <w:r>
        <w:rPr>
          <w:position w:val="9"/>
          <w:sz w:val="15"/>
        </w:rPr>
        <w:t>5</w:t>
      </w:r>
    </w:p>
    <w:p>
      <w:pPr>
        <w:pStyle w:val="BodyText"/>
        <w:spacing w:before="2"/>
        <w:rPr>
          <w:b/>
          <w:sz w:val="21"/>
        </w:rPr>
      </w:pPr>
    </w:p>
    <w:p>
      <w:pPr>
        <w:pStyle w:val="BodyText"/>
        <w:spacing w:line="249" w:lineRule="auto"/>
        <w:ind w:left="116" w:right="115"/>
      </w:pPr>
      <w:r>
        <w:rPr/>
        <w:t>Se parte de que el monopolio maximiza beneﬁcios escogiendo el precio del bien que vende:</w:t>
      </w:r>
    </w:p>
    <w:p>
      <w:pPr>
        <w:pStyle w:val="BodyText"/>
        <w:spacing w:before="9"/>
        <w:rPr>
          <w:sz w:val="20"/>
        </w:rPr>
      </w:pPr>
    </w:p>
    <w:p>
      <w:pPr>
        <w:pStyle w:val="BodyText"/>
        <w:spacing w:line="249" w:lineRule="auto"/>
        <w:ind w:left="2582" w:right="4445"/>
        <w:jc w:val="center"/>
      </w:pPr>
      <w:r>
        <w:rPr/>
        <w:t>Max P</w:t>
      </w:r>
    </w:p>
    <w:p>
      <w:pPr>
        <w:pStyle w:val="BodyText"/>
        <w:spacing w:before="9"/>
        <w:rPr>
          <w:sz w:val="20"/>
        </w:rPr>
      </w:pPr>
    </w:p>
    <w:p>
      <w:pPr>
        <w:pStyle w:val="BodyText"/>
        <w:ind w:left="116" w:right="115"/>
      </w:pPr>
      <w:r>
        <w:rPr/>
        <w:t>Donde:</w:t>
      </w:r>
    </w:p>
    <w:p>
      <w:pPr>
        <w:pStyle w:val="BodyText"/>
        <w:tabs>
          <w:tab w:pos="836" w:val="left" w:leader="none"/>
        </w:tabs>
        <w:spacing w:line="249" w:lineRule="auto" w:before="11"/>
        <w:ind w:left="116" w:right="942"/>
      </w:pPr>
      <w:r>
        <w:rPr>
          <w:i/>
        </w:rPr>
        <w:t>f(P)</w:t>
        <w:tab/>
      </w:r>
      <w:r>
        <w:rPr/>
        <w:t>= representa la cantidad que el monopolista produce al</w:t>
      </w:r>
      <w:r>
        <w:rPr>
          <w:spacing w:val="-1"/>
        </w:rPr>
        <w:t> </w:t>
      </w:r>
      <w:r>
        <w:rPr/>
        <w:t>precio</w:t>
      </w:r>
      <w:r>
        <w:rPr>
          <w:spacing w:val="-1"/>
        </w:rPr>
        <w:t> </w:t>
      </w:r>
      <w:r>
        <w:rPr>
          <w:i/>
        </w:rPr>
        <w:t>P</w:t>
      </w:r>
      <w:r>
        <w:rPr/>
        <w:t>. C[</w:t>
      </w:r>
      <w:r>
        <w:rPr>
          <w:i/>
        </w:rPr>
        <w:t>f(P)</w:t>
      </w:r>
      <w:r>
        <w:rPr/>
        <w:t>] = es el costo de producir la cantidad</w:t>
      </w:r>
      <w:r>
        <w:rPr>
          <w:spacing w:val="-3"/>
        </w:rPr>
        <w:t> </w:t>
      </w:r>
      <w:r>
        <w:rPr>
          <w:i/>
        </w:rPr>
        <w:t>f(P)</w:t>
      </w:r>
      <w:r>
        <w:rPr/>
        <w:t>.</w:t>
      </w:r>
    </w:p>
    <w:p>
      <w:pPr>
        <w:pStyle w:val="BodyText"/>
        <w:spacing w:before="1"/>
        <w:ind w:left="950" w:right="787"/>
        <w:jc w:val="center"/>
      </w:pPr>
      <w:r>
        <w:rPr/>
        <w:t>La condición de primer orden de maximización de ganancias es:</w:t>
      </w:r>
    </w:p>
    <w:p>
      <w:pPr>
        <w:pStyle w:val="BodyText"/>
        <w:spacing w:before="7"/>
        <w:rPr>
          <w:sz w:val="21"/>
        </w:rPr>
      </w:pPr>
    </w:p>
    <w:p>
      <w:pPr>
        <w:pStyle w:val="BodyText"/>
        <w:jc w:val="center"/>
      </w:pPr>
      <w:r>
        <w:rPr/>
        <w:t>,</w:t>
      </w:r>
    </w:p>
    <w:p>
      <w:pPr>
        <w:pStyle w:val="BodyText"/>
        <w:spacing w:before="7"/>
        <w:rPr>
          <w:sz w:val="21"/>
        </w:rPr>
      </w:pPr>
    </w:p>
    <w:p>
      <w:pPr>
        <w:pStyle w:val="BodyText"/>
        <w:ind w:left="116" w:right="115"/>
      </w:pPr>
      <w:r>
        <w:rPr/>
        <w:t>Donde:</w:t>
      </w:r>
    </w:p>
    <w:p>
      <w:pPr>
        <w:pStyle w:val="BodyText"/>
        <w:spacing w:line="249" w:lineRule="auto" w:before="11"/>
        <w:ind w:left="116" w:right="1635"/>
      </w:pPr>
      <w:r>
        <w:rPr/>
        <w:t>el lado izquierdo de la ecuación representa el ingreso marginal y el lado derecho el costo marginal.</w:t>
      </w:r>
    </w:p>
    <w:p>
      <w:pPr>
        <w:pStyle w:val="BodyText"/>
        <w:rPr>
          <w:sz w:val="23"/>
        </w:rPr>
      </w:pPr>
    </w:p>
    <w:p>
      <w:pPr>
        <w:pStyle w:val="BodyText"/>
        <w:ind w:left="966" w:right="115"/>
      </w:pPr>
      <w:r>
        <w:rPr/>
        <w:t>Rescribiendo:</w:t>
      </w:r>
    </w:p>
    <w:p>
      <w:pPr>
        <w:pStyle w:val="BodyText"/>
      </w:pPr>
    </w:p>
    <w:p>
      <w:pPr>
        <w:pStyle w:val="BodyText"/>
      </w:pPr>
    </w:p>
    <w:p>
      <w:pPr>
        <w:pStyle w:val="BodyText"/>
      </w:pPr>
    </w:p>
    <w:p>
      <w:pPr>
        <w:pStyle w:val="BodyText"/>
      </w:pPr>
    </w:p>
    <w:p>
      <w:pPr>
        <w:pStyle w:val="BodyText"/>
        <w:spacing w:before="3"/>
        <w:rPr>
          <w:sz w:val="29"/>
        </w:rPr>
      </w:pPr>
    </w:p>
    <w:p>
      <w:pPr>
        <w:spacing w:line="195" w:lineRule="exact" w:before="0"/>
        <w:ind w:left="286" w:right="115" w:firstLine="0"/>
        <w:jc w:val="left"/>
        <w:rPr>
          <w:sz w:val="16"/>
        </w:rPr>
      </w:pPr>
      <w:r>
        <w:rPr>
          <w:position w:val="6"/>
          <w:sz w:val="11"/>
        </w:rPr>
        <w:t>3 </w:t>
      </w:r>
      <w:r>
        <w:rPr>
          <w:sz w:val="16"/>
        </w:rPr>
        <w:t>Harberger (1954: 77-87).</w:t>
      </w:r>
    </w:p>
    <w:p>
      <w:pPr>
        <w:spacing w:line="192" w:lineRule="exact" w:before="6"/>
        <w:ind w:left="116" w:right="115" w:firstLine="170"/>
        <w:jc w:val="left"/>
        <w:rPr>
          <w:sz w:val="16"/>
        </w:rPr>
      </w:pPr>
      <w:r>
        <w:rPr>
          <w:position w:val="6"/>
          <w:sz w:val="11"/>
        </w:rPr>
        <w:t>4 </w:t>
      </w:r>
      <w:r>
        <w:rPr>
          <w:sz w:val="16"/>
        </w:rPr>
        <w:t>Aunque el monopolista siempre opera en la parte elástica de la curva de demanda, se consideró </w:t>
      </w:r>
      <w:r>
        <w:rPr>
          <w:rFonts w:ascii="Symbol" w:hAnsi="Symbol"/>
          <w:sz w:val="16"/>
        </w:rPr>
        <w:t></w:t>
      </w:r>
      <w:r>
        <w:rPr>
          <w:sz w:val="16"/>
        </w:rPr>
        <w:t>=1 para facilitar el cálculo. Realizando el cálculo con </w:t>
      </w:r>
      <w:r>
        <w:rPr>
          <w:rFonts w:ascii="Symbol" w:hAnsi="Symbol"/>
          <w:sz w:val="16"/>
        </w:rPr>
        <w:t></w:t>
      </w:r>
      <w:r>
        <w:rPr>
          <w:sz w:val="16"/>
        </w:rPr>
        <w:t>=1 es muy fácil considerar casos en que </w:t>
      </w:r>
      <w:r>
        <w:rPr>
          <w:rFonts w:ascii="Symbol" w:hAnsi="Symbol"/>
          <w:sz w:val="16"/>
        </w:rPr>
        <w:t></w:t>
      </w:r>
      <w:r>
        <w:rPr>
          <w:sz w:val="16"/>
        </w:rPr>
        <w:t>&gt;1.</w:t>
      </w:r>
    </w:p>
    <w:p>
      <w:pPr>
        <w:spacing w:after="0" w:line="192" w:lineRule="exact"/>
        <w:jc w:val="left"/>
        <w:rPr>
          <w:sz w:val="16"/>
        </w:rPr>
        <w:sectPr>
          <w:pgSz w:w="9360" w:h="12760"/>
          <w:pgMar w:header="771" w:footer="0" w:top="980" w:bottom="280" w:left="960" w:right="960"/>
        </w:sectPr>
      </w:pPr>
    </w:p>
    <w:p>
      <w:pPr>
        <w:pStyle w:val="BodyText"/>
        <w:rPr>
          <w:sz w:val="20"/>
        </w:rPr>
      </w:pPr>
    </w:p>
    <w:p>
      <w:pPr>
        <w:pStyle w:val="BodyText"/>
        <w:spacing w:before="9"/>
        <w:rPr>
          <w:sz w:val="15"/>
        </w:rPr>
      </w:pPr>
    </w:p>
    <w:p>
      <w:pPr>
        <w:pStyle w:val="BodyText"/>
        <w:spacing w:before="59"/>
        <w:ind w:left="1022" w:right="115"/>
      </w:pPr>
      <w:r>
        <w:rPr/>
        <w:t>y dividiendo entre </w:t>
      </w:r>
      <w:r>
        <w:rPr>
          <w:i/>
        </w:rPr>
        <w:t>P </w:t>
      </w:r>
      <w:r>
        <w:rPr/>
        <w:t>ambos lados de la ecuación se obtiene:</w:t>
      </w:r>
    </w:p>
    <w:p>
      <w:pPr>
        <w:pStyle w:val="BodyText"/>
      </w:pPr>
    </w:p>
    <w:p>
      <w:pPr>
        <w:pStyle w:val="BodyText"/>
      </w:pPr>
    </w:p>
    <w:p>
      <w:pPr>
        <w:pStyle w:val="BodyText"/>
        <w:spacing w:before="3"/>
        <w:rPr>
          <w:sz w:val="21"/>
        </w:rPr>
      </w:pPr>
    </w:p>
    <w:p>
      <w:pPr>
        <w:pStyle w:val="BodyText"/>
        <w:spacing w:line="249" w:lineRule="auto"/>
        <w:ind w:left="117" w:right="115"/>
        <w:jc w:val="both"/>
      </w:pPr>
      <w:r>
        <w:rPr/>
        <w:t>lo cual indica que el </w:t>
      </w:r>
      <w:r>
        <w:rPr>
          <w:i/>
        </w:rPr>
        <w:t>mark up </w:t>
      </w:r>
      <w:r>
        <w:rPr/>
        <w:t>o margen de ganancia del monopolio, como por- centaje del precio, es igual al recíproco de la elasticidad de la demanda (en valor absoluto).</w:t>
      </w:r>
    </w:p>
    <w:p>
      <w:pPr>
        <w:pStyle w:val="BodyText"/>
        <w:spacing w:before="1"/>
        <w:ind w:left="967" w:right="115"/>
      </w:pPr>
      <w:r>
        <w:rPr/>
        <w:t>Si  = margen de ganancia, esto implica que</w:t>
      </w:r>
    </w:p>
    <w:p>
      <w:pPr>
        <w:pStyle w:val="BodyText"/>
        <w:spacing w:line="249" w:lineRule="auto" w:before="11"/>
        <w:ind w:left="117" w:right="115" w:firstLine="850"/>
        <w:jc w:val="both"/>
      </w:pPr>
      <w:r>
        <w:rPr/>
        <w:t>Sustituyendo en la ecuación (4) se obtiene que el costo social del mono- polio se aproxima a:</w:t>
      </w:r>
    </w:p>
    <w:p>
      <w:pPr>
        <w:pStyle w:val="BodyText"/>
      </w:pPr>
    </w:p>
    <w:p>
      <w:pPr>
        <w:pStyle w:val="BodyText"/>
      </w:pPr>
    </w:p>
    <w:p>
      <w:pPr>
        <w:pStyle w:val="BodyText"/>
        <w:spacing w:before="5"/>
        <w:rPr>
          <w:sz w:val="20"/>
        </w:rPr>
      </w:pPr>
    </w:p>
    <w:p>
      <w:pPr>
        <w:pStyle w:val="BodyText"/>
        <w:ind w:left="117"/>
        <w:jc w:val="both"/>
      </w:pPr>
      <w:r>
        <w:rPr/>
        <w:t>Donde:</w:t>
      </w:r>
    </w:p>
    <w:p>
      <w:pPr>
        <w:pStyle w:val="BodyText"/>
        <w:spacing w:before="11"/>
        <w:ind w:left="117"/>
        <w:jc w:val="both"/>
      </w:pPr>
      <w:r>
        <w:rPr>
          <w:i/>
        </w:rPr>
        <w:t>P</w:t>
      </w:r>
      <w:r>
        <w:rPr/>
        <w:t>* = representa el precio al que vende el monopolio para maximizar ganancias.</w:t>
      </w:r>
    </w:p>
    <w:p>
      <w:pPr>
        <w:pStyle w:val="BodyText"/>
        <w:spacing w:line="251" w:lineRule="exact" w:before="11"/>
        <w:ind w:left="117"/>
        <w:jc w:val="both"/>
      </w:pPr>
      <w:r>
        <w:rPr>
          <w:i/>
        </w:rPr>
        <w:t>Q*  = </w:t>
      </w:r>
      <w:r>
        <w:rPr/>
        <w:t>es la cantidad que produce en el máximo.</w:t>
      </w:r>
    </w:p>
    <w:p>
      <w:pPr>
        <w:pStyle w:val="BodyText"/>
        <w:spacing w:line="267" w:lineRule="exact"/>
        <w:ind w:left="117"/>
        <w:jc w:val="both"/>
      </w:pPr>
      <w:r>
        <w:rPr>
          <w:rFonts w:ascii="Symbol" w:hAnsi="Symbol"/>
        </w:rPr>
        <w:t></w:t>
      </w:r>
      <w:r>
        <w:rPr/>
        <w:t>*   =  las ganancias máximas.</w:t>
      </w:r>
    </w:p>
    <w:p>
      <w:pPr>
        <w:pStyle w:val="BodyText"/>
        <w:spacing w:before="5"/>
      </w:pPr>
    </w:p>
    <w:p>
      <w:pPr>
        <w:pStyle w:val="BodyText"/>
        <w:spacing w:line="249" w:lineRule="auto"/>
        <w:ind w:left="117" w:right="114" w:firstLine="850"/>
        <w:jc w:val="both"/>
      </w:pPr>
      <w:r>
        <w:rPr/>
        <w:t>La </w:t>
      </w:r>
      <w:r>
        <w:rPr>
          <w:spacing w:val="-3"/>
        </w:rPr>
        <w:t>evaluación </w:t>
      </w:r>
      <w:r>
        <w:rPr/>
        <w:t>del </w:t>
      </w:r>
      <w:r>
        <w:rPr>
          <w:spacing w:val="-3"/>
        </w:rPr>
        <w:t>costo social </w:t>
      </w:r>
      <w:r>
        <w:rPr/>
        <w:t>se </w:t>
      </w:r>
      <w:r>
        <w:rPr>
          <w:spacing w:val="-3"/>
        </w:rPr>
        <w:t>realizó considerando </w:t>
      </w:r>
      <w:r>
        <w:rPr/>
        <w:t>que </w:t>
      </w:r>
      <w:r>
        <w:rPr>
          <w:rFonts w:ascii="Symbol" w:hAnsi="Symbol"/>
        </w:rPr>
        <w:t></w:t>
      </w:r>
      <w:r>
        <w:rPr/>
        <w:t>* representa los beneﬁcios económicos del monopolio, en este caso t </w:t>
      </w:r>
      <w:r>
        <w:rPr>
          <w:spacing w:val="4"/>
        </w:rPr>
        <w:t>el </w:t>
      </w:r>
      <w:r>
        <w:rPr>
          <w:spacing w:val="2"/>
        </w:rPr>
        <w:t>mex, </w:t>
      </w:r>
      <w:r>
        <w:rPr/>
        <w:t>en exceso de los beneﬁcios que se hubieran obtenido con la tasa de retorno sobre activos de </w:t>
      </w:r>
      <w:r>
        <w:rPr>
          <w:spacing w:val="9"/>
        </w:rPr>
        <w:t>sbc.</w:t>
      </w:r>
    </w:p>
    <w:p>
      <w:pPr>
        <w:pStyle w:val="BodyText"/>
        <w:spacing w:before="9"/>
        <w:rPr>
          <w:sz w:val="20"/>
        </w:rPr>
      </w:pPr>
    </w:p>
    <w:p>
      <w:pPr>
        <w:pStyle w:val="Heading1"/>
        <w:numPr>
          <w:ilvl w:val="0"/>
          <w:numId w:val="1"/>
        </w:numPr>
        <w:tabs>
          <w:tab w:pos="337" w:val="left" w:leader="none"/>
        </w:tabs>
        <w:spacing w:line="249" w:lineRule="auto" w:before="0" w:after="0"/>
        <w:ind w:left="117" w:right="115" w:firstLine="0"/>
        <w:jc w:val="both"/>
        <w:rPr>
          <w:sz w:val="17"/>
        </w:rPr>
      </w:pPr>
      <w:r>
        <w:rPr/>
        <w:t>Estimación del costo social del monopolio de </w:t>
      </w:r>
      <w:r>
        <w:rPr>
          <w:spacing w:val="-4"/>
        </w:rPr>
        <w:t>Telmex </w:t>
      </w:r>
      <w:r>
        <w:rPr/>
        <w:t>con base en el retorno sobre activos de</w:t>
      </w:r>
      <w:r>
        <w:rPr>
          <w:spacing w:val="6"/>
        </w:rPr>
        <w:t> </w:t>
      </w:r>
      <w:r>
        <w:rPr>
          <w:sz w:val="17"/>
        </w:rPr>
        <w:t>SBC</w:t>
      </w:r>
    </w:p>
    <w:p>
      <w:pPr>
        <w:pStyle w:val="BodyText"/>
        <w:spacing w:before="9"/>
        <w:rPr>
          <w:b/>
          <w:sz w:val="20"/>
        </w:rPr>
      </w:pPr>
    </w:p>
    <w:p>
      <w:pPr>
        <w:pStyle w:val="BodyText"/>
        <w:spacing w:line="249" w:lineRule="auto"/>
        <w:ind w:left="117" w:right="114"/>
        <w:jc w:val="both"/>
      </w:pPr>
      <w:r>
        <w:rPr/>
        <w:t>Las</w:t>
      </w:r>
      <w:r>
        <w:rPr>
          <w:spacing w:val="-13"/>
        </w:rPr>
        <w:t> </w:t>
      </w:r>
      <w:r>
        <w:rPr>
          <w:spacing w:val="-3"/>
        </w:rPr>
        <w:t>diferencias</w:t>
      </w:r>
      <w:r>
        <w:rPr>
          <w:spacing w:val="-13"/>
        </w:rPr>
        <w:t> </w:t>
      </w:r>
      <w:r>
        <w:rPr/>
        <w:t>de</w:t>
      </w:r>
      <w:r>
        <w:rPr>
          <w:spacing w:val="-13"/>
        </w:rPr>
        <w:t> </w:t>
      </w:r>
      <w:r>
        <w:rPr>
          <w:spacing w:val="-3"/>
        </w:rPr>
        <w:t>escala</w:t>
      </w:r>
      <w:r>
        <w:rPr>
          <w:spacing w:val="-13"/>
        </w:rPr>
        <w:t> </w:t>
      </w:r>
      <w:r>
        <w:rPr>
          <w:spacing w:val="-3"/>
        </w:rPr>
        <w:t>entre</w:t>
      </w:r>
      <w:r>
        <w:rPr>
          <w:spacing w:val="-14"/>
        </w:rPr>
        <w:t> </w:t>
      </w:r>
      <w:r>
        <w:rPr>
          <w:sz w:val="17"/>
        </w:rPr>
        <w:t>TELMEX</w:t>
      </w:r>
      <w:r>
        <w:rPr>
          <w:spacing w:val="4"/>
          <w:sz w:val="17"/>
        </w:rPr>
        <w:t> </w:t>
      </w:r>
      <w:r>
        <w:rPr/>
        <w:t>y</w:t>
      </w:r>
      <w:r>
        <w:rPr>
          <w:spacing w:val="-9"/>
        </w:rPr>
        <w:t> </w:t>
      </w:r>
      <w:r>
        <w:rPr>
          <w:sz w:val="17"/>
        </w:rPr>
        <w:t>SBC</w:t>
      </w:r>
      <w:r>
        <w:rPr>
          <w:spacing w:val="4"/>
          <w:sz w:val="17"/>
        </w:rPr>
        <w:t> </w:t>
      </w:r>
      <w:r>
        <w:rPr/>
        <w:t>diﬁcultan</w:t>
      </w:r>
      <w:r>
        <w:rPr>
          <w:spacing w:val="-9"/>
        </w:rPr>
        <w:t> </w:t>
      </w:r>
      <w:r>
        <w:rPr/>
        <w:t>la</w:t>
      </w:r>
      <w:r>
        <w:rPr>
          <w:spacing w:val="-9"/>
        </w:rPr>
        <w:t> </w:t>
      </w:r>
      <w:r>
        <w:rPr/>
        <w:t>comparación</w:t>
      </w:r>
      <w:r>
        <w:rPr>
          <w:spacing w:val="-9"/>
        </w:rPr>
        <w:t> </w:t>
      </w:r>
      <w:r>
        <w:rPr/>
        <w:t>de</w:t>
      </w:r>
      <w:r>
        <w:rPr>
          <w:spacing w:val="-9"/>
        </w:rPr>
        <w:t> </w:t>
      </w:r>
      <w:r>
        <w:rPr/>
        <w:t>las</w:t>
      </w:r>
      <w:r>
        <w:rPr>
          <w:spacing w:val="-9"/>
        </w:rPr>
        <w:t> </w:t>
      </w:r>
      <w:r>
        <w:rPr/>
        <w:t>cifras absolutas,</w:t>
      </w:r>
      <w:r>
        <w:rPr>
          <w:spacing w:val="-6"/>
        </w:rPr>
        <w:t> </w:t>
      </w:r>
      <w:r>
        <w:rPr/>
        <w:t>sin</w:t>
      </w:r>
      <w:r>
        <w:rPr>
          <w:spacing w:val="-6"/>
        </w:rPr>
        <w:t> </w:t>
      </w:r>
      <w:r>
        <w:rPr/>
        <w:t>embargo,</w:t>
      </w:r>
      <w:r>
        <w:rPr>
          <w:spacing w:val="-6"/>
        </w:rPr>
        <w:t> </w:t>
      </w:r>
      <w:r>
        <w:rPr/>
        <w:t>el</w:t>
      </w:r>
      <w:r>
        <w:rPr>
          <w:spacing w:val="-6"/>
        </w:rPr>
        <w:t> </w:t>
      </w:r>
      <w:r>
        <w:rPr/>
        <w:t>rendimiento</w:t>
      </w:r>
      <w:r>
        <w:rPr>
          <w:spacing w:val="-7"/>
        </w:rPr>
        <w:t> </w:t>
      </w:r>
      <w:r>
        <w:rPr/>
        <w:t>relativo</w:t>
      </w:r>
      <w:r>
        <w:rPr>
          <w:spacing w:val="-6"/>
        </w:rPr>
        <w:t> </w:t>
      </w:r>
      <w:r>
        <w:rPr/>
        <w:t>de</w:t>
      </w:r>
      <w:r>
        <w:rPr>
          <w:spacing w:val="-6"/>
        </w:rPr>
        <w:t> </w:t>
      </w:r>
      <w:r>
        <w:rPr/>
        <w:t>ambas</w:t>
      </w:r>
      <w:r>
        <w:rPr>
          <w:spacing w:val="-6"/>
        </w:rPr>
        <w:t> </w:t>
      </w:r>
      <w:r>
        <w:rPr/>
        <w:t>empresas</w:t>
      </w:r>
      <w:r>
        <w:rPr>
          <w:spacing w:val="-6"/>
        </w:rPr>
        <w:t> </w:t>
      </w:r>
      <w:r>
        <w:rPr/>
        <w:t>es</w:t>
      </w:r>
      <w:r>
        <w:rPr>
          <w:spacing w:val="-6"/>
        </w:rPr>
        <w:t> </w:t>
      </w:r>
      <w:r>
        <w:rPr/>
        <w:t>comparable. Más aún, si la empresa norteamericana tuviese algún grado de poder monopólico, el rendimiento sobre sus activos, reportado en el Cuadro 1, sobreestimaría el ren- dimiento que cualquier empresa tendría en un mercado</w:t>
      </w:r>
      <w:r>
        <w:rPr>
          <w:spacing w:val="1"/>
        </w:rPr>
        <w:t> </w:t>
      </w:r>
      <w:r>
        <w:rPr/>
        <w:t>competitivo.</w:t>
      </w:r>
    </w:p>
    <w:p>
      <w:pPr>
        <w:pStyle w:val="BodyText"/>
        <w:spacing w:line="247" w:lineRule="auto" w:before="1"/>
        <w:ind w:left="116" w:right="114" w:firstLine="850"/>
        <w:jc w:val="both"/>
      </w:pPr>
      <w:r>
        <w:rPr/>
        <w:t>Cuando se utiliza la medición de Harberger, el diferencial entre el</w:t>
      </w:r>
      <w:r>
        <w:rPr>
          <w:spacing w:val="-35"/>
        </w:rPr>
        <w:t> </w:t>
      </w:r>
      <w:r>
        <w:rPr/>
        <w:t>rendi- miento</w:t>
      </w:r>
      <w:r>
        <w:rPr>
          <w:spacing w:val="-19"/>
        </w:rPr>
        <w:t> </w:t>
      </w:r>
      <w:r>
        <w:rPr>
          <w:spacing w:val="-3"/>
        </w:rPr>
        <w:t>sobre</w:t>
      </w:r>
      <w:r>
        <w:rPr>
          <w:spacing w:val="-23"/>
        </w:rPr>
        <w:t> </w:t>
      </w:r>
      <w:r>
        <w:rPr>
          <w:spacing w:val="-3"/>
        </w:rPr>
        <w:t>los</w:t>
      </w:r>
      <w:r>
        <w:rPr>
          <w:spacing w:val="-23"/>
        </w:rPr>
        <w:t> </w:t>
      </w:r>
      <w:r>
        <w:rPr>
          <w:spacing w:val="-4"/>
        </w:rPr>
        <w:t>activos</w:t>
      </w:r>
      <w:r>
        <w:rPr>
          <w:spacing w:val="-23"/>
        </w:rPr>
        <w:t> </w:t>
      </w:r>
      <w:r>
        <w:rPr/>
        <w:t>(r</w:t>
      </w:r>
      <w:r>
        <w:rPr>
          <w:spacing w:val="-15"/>
        </w:rPr>
        <w:t> </w:t>
      </w:r>
      <w:r>
        <w:rPr>
          <w:spacing w:val="8"/>
        </w:rPr>
        <w:t>oa</w:t>
      </w:r>
      <w:r>
        <w:rPr>
          <w:spacing w:val="9"/>
        </w:rPr>
        <w:t> </w:t>
      </w:r>
      <w:r>
        <w:rPr/>
        <w:t>por</w:t>
      </w:r>
      <w:r>
        <w:rPr>
          <w:spacing w:val="-19"/>
        </w:rPr>
        <w:t> </w:t>
      </w:r>
      <w:r>
        <w:rPr/>
        <w:t>sus</w:t>
      </w:r>
      <w:r>
        <w:rPr>
          <w:spacing w:val="-19"/>
        </w:rPr>
        <w:t> </w:t>
      </w:r>
      <w:r>
        <w:rPr/>
        <w:t>siglas</w:t>
      </w:r>
      <w:r>
        <w:rPr>
          <w:spacing w:val="-19"/>
        </w:rPr>
        <w:t> </w:t>
      </w:r>
      <w:r>
        <w:rPr/>
        <w:t>en</w:t>
      </w:r>
      <w:r>
        <w:rPr>
          <w:spacing w:val="-19"/>
        </w:rPr>
        <w:t> </w:t>
      </w:r>
      <w:r>
        <w:rPr/>
        <w:t>inglés)</w:t>
      </w:r>
      <w:r>
        <w:rPr>
          <w:spacing w:val="-19"/>
        </w:rPr>
        <w:t> </w:t>
      </w:r>
      <w:r>
        <w:rPr/>
        <w:t>de</w:t>
      </w:r>
      <w:r>
        <w:rPr>
          <w:spacing w:val="-19"/>
        </w:rPr>
        <w:t> </w:t>
      </w:r>
      <w:r>
        <w:rPr/>
        <w:t>ambas</w:t>
      </w:r>
      <w:r>
        <w:rPr>
          <w:spacing w:val="-19"/>
        </w:rPr>
        <w:t> </w:t>
      </w:r>
      <w:r>
        <w:rPr/>
        <w:t>empresas,</w:t>
      </w:r>
      <w:r>
        <w:rPr>
          <w:spacing w:val="-19"/>
        </w:rPr>
        <w:t> </w:t>
      </w:r>
      <w:r>
        <w:rPr/>
        <w:t>aproxima la</w:t>
      </w:r>
      <w:r>
        <w:rPr>
          <w:spacing w:val="-27"/>
        </w:rPr>
        <w:t> </w:t>
      </w:r>
      <w:r>
        <w:rPr>
          <w:i/>
        </w:rPr>
        <w:t>d</w:t>
      </w:r>
      <w:r>
        <w:rPr/>
        <w:t>.</w:t>
      </w:r>
      <w:r>
        <w:rPr>
          <w:spacing w:val="-36"/>
        </w:rPr>
        <w:t> </w:t>
      </w:r>
      <w:r>
        <w:rPr/>
        <w:t>Alternativamente,</w:t>
      </w:r>
      <w:r>
        <w:rPr>
          <w:spacing w:val="-27"/>
        </w:rPr>
        <w:t> </w:t>
      </w:r>
      <w:r>
        <w:rPr/>
        <w:t>cuando</w:t>
      </w:r>
      <w:r>
        <w:rPr>
          <w:spacing w:val="-27"/>
        </w:rPr>
        <w:t> </w:t>
      </w:r>
      <w:r>
        <w:rPr/>
        <w:t>el</w:t>
      </w:r>
      <w:r>
        <w:rPr>
          <w:spacing w:val="-27"/>
        </w:rPr>
        <w:t> </w:t>
      </w:r>
      <w:r>
        <w:rPr/>
        <w:t>costo</w:t>
      </w:r>
      <w:r>
        <w:rPr>
          <w:spacing w:val="-27"/>
        </w:rPr>
        <w:t> </w:t>
      </w:r>
      <w:r>
        <w:rPr/>
        <w:t>social</w:t>
      </w:r>
      <w:r>
        <w:rPr>
          <w:spacing w:val="-27"/>
        </w:rPr>
        <w:t> </w:t>
      </w:r>
      <w:r>
        <w:rPr/>
        <w:t>del</w:t>
      </w:r>
      <w:r>
        <w:rPr>
          <w:spacing w:val="-27"/>
        </w:rPr>
        <w:t> </w:t>
      </w:r>
      <w:r>
        <w:rPr/>
        <w:t>monopolio</w:t>
      </w:r>
      <w:r>
        <w:rPr>
          <w:spacing w:val="-27"/>
        </w:rPr>
        <w:t> </w:t>
      </w:r>
      <w:r>
        <w:rPr/>
        <w:t>se</w:t>
      </w:r>
      <w:r>
        <w:rPr>
          <w:spacing w:val="-27"/>
        </w:rPr>
        <w:t> </w:t>
      </w:r>
      <w:r>
        <w:rPr/>
        <w:t>estima</w:t>
      </w:r>
      <w:r>
        <w:rPr>
          <w:spacing w:val="-27"/>
        </w:rPr>
        <w:t> </w:t>
      </w:r>
      <w:r>
        <w:rPr/>
        <w:t>con</w:t>
      </w:r>
      <w:r>
        <w:rPr>
          <w:spacing w:val="-27"/>
        </w:rPr>
        <w:t> </w:t>
      </w:r>
      <w:r>
        <w:rPr/>
        <w:t>la</w:t>
      </w:r>
      <w:r>
        <w:rPr>
          <w:spacing w:val="-27"/>
        </w:rPr>
        <w:t> </w:t>
      </w:r>
      <w:r>
        <w:rPr/>
        <w:t>fórmula de Cowling y Mueller, los beneﬁcios económicos (</w:t>
      </w:r>
      <w:r>
        <w:rPr>
          <w:rFonts w:ascii="Symbol" w:hAnsi="Symbol"/>
        </w:rPr>
        <w:t></w:t>
      </w:r>
      <w:r>
        <w:rPr/>
        <w:t>*) de t </w:t>
      </w:r>
      <w:r>
        <w:rPr>
          <w:spacing w:val="4"/>
        </w:rPr>
        <w:t>el </w:t>
      </w:r>
      <w:r>
        <w:rPr/>
        <w:t>mex se calculan</w:t>
      </w:r>
      <w:r>
        <w:rPr>
          <w:spacing w:val="-31"/>
        </w:rPr>
        <w:t> </w:t>
      </w:r>
      <w:r>
        <w:rPr/>
        <w:t>su- poniendo</w:t>
      </w:r>
      <w:r>
        <w:rPr>
          <w:spacing w:val="-7"/>
        </w:rPr>
        <w:t> </w:t>
      </w:r>
      <w:r>
        <w:rPr/>
        <w:t>un</w:t>
      </w:r>
      <w:r>
        <w:rPr>
          <w:spacing w:val="-7"/>
        </w:rPr>
        <w:t> </w:t>
      </w:r>
      <w:r>
        <w:rPr/>
        <w:t>r</w:t>
      </w:r>
      <w:r>
        <w:rPr>
          <w:spacing w:val="-11"/>
        </w:rPr>
        <w:t> </w:t>
      </w:r>
      <w:r>
        <w:rPr>
          <w:spacing w:val="8"/>
        </w:rPr>
        <w:t>oa</w:t>
      </w:r>
      <w:r>
        <w:rPr>
          <w:spacing w:val="22"/>
        </w:rPr>
        <w:t> </w:t>
      </w:r>
      <w:r>
        <w:rPr/>
        <w:t>idéntico</w:t>
      </w:r>
      <w:r>
        <w:rPr>
          <w:spacing w:val="-7"/>
        </w:rPr>
        <w:t> </w:t>
      </w:r>
      <w:r>
        <w:rPr/>
        <w:t>al</w:t>
      </w:r>
      <w:r>
        <w:rPr>
          <w:spacing w:val="-7"/>
        </w:rPr>
        <w:t> </w:t>
      </w:r>
      <w:r>
        <w:rPr/>
        <w:t>de</w:t>
      </w:r>
      <w:r>
        <w:rPr>
          <w:spacing w:val="-7"/>
        </w:rPr>
        <w:t> </w:t>
      </w:r>
      <w:r>
        <w:rPr>
          <w:spacing w:val="6"/>
        </w:rPr>
        <w:t>sbc</w:t>
      </w:r>
      <w:r>
        <w:rPr>
          <w:spacing w:val="13"/>
        </w:rPr>
        <w:t> </w:t>
      </w:r>
      <w:r>
        <w:rPr/>
        <w:t>para</w:t>
      </w:r>
      <w:r>
        <w:rPr>
          <w:spacing w:val="-7"/>
        </w:rPr>
        <w:t> </w:t>
      </w:r>
      <w:r>
        <w:rPr/>
        <w:t>saber</w:t>
      </w:r>
      <w:r>
        <w:rPr>
          <w:spacing w:val="-7"/>
        </w:rPr>
        <w:t> </w:t>
      </w:r>
      <w:r>
        <w:rPr/>
        <w:t>cuáles</w:t>
      </w:r>
      <w:r>
        <w:rPr>
          <w:spacing w:val="-7"/>
        </w:rPr>
        <w:t> </w:t>
      </w:r>
      <w:r>
        <w:rPr/>
        <w:t>hubiesen</w:t>
      </w:r>
      <w:r>
        <w:rPr>
          <w:spacing w:val="-7"/>
        </w:rPr>
        <w:t> </w:t>
      </w:r>
      <w:r>
        <w:rPr/>
        <w:t>sido</w:t>
      </w:r>
      <w:r>
        <w:rPr>
          <w:spacing w:val="-7"/>
        </w:rPr>
        <w:t> </w:t>
      </w:r>
      <w:r>
        <w:rPr/>
        <w:t>las</w:t>
      </w:r>
      <w:r>
        <w:rPr>
          <w:spacing w:val="-7"/>
        </w:rPr>
        <w:t> </w:t>
      </w:r>
      <w:r>
        <w:rPr/>
        <w:t>“ganancias normales” (que incluirían la ganancia contable) de la empresa mexicana, es decir aquéllas</w:t>
      </w:r>
      <w:r>
        <w:rPr>
          <w:spacing w:val="28"/>
        </w:rPr>
        <w:t> </w:t>
      </w:r>
      <w:r>
        <w:rPr/>
        <w:t>generadas</w:t>
      </w:r>
      <w:r>
        <w:rPr>
          <w:spacing w:val="28"/>
        </w:rPr>
        <w:t> </w:t>
      </w:r>
      <w:r>
        <w:rPr/>
        <w:t>en</w:t>
      </w:r>
      <w:r>
        <w:rPr>
          <w:spacing w:val="28"/>
        </w:rPr>
        <w:t> </w:t>
      </w:r>
      <w:r>
        <w:rPr/>
        <w:t>un</w:t>
      </w:r>
      <w:r>
        <w:rPr>
          <w:spacing w:val="28"/>
        </w:rPr>
        <w:t> </w:t>
      </w:r>
      <w:r>
        <w:rPr/>
        <w:t>ambiente</w:t>
      </w:r>
      <w:r>
        <w:rPr>
          <w:spacing w:val="28"/>
        </w:rPr>
        <w:t> </w:t>
      </w:r>
      <w:r>
        <w:rPr/>
        <w:t>competitivo</w:t>
      </w:r>
      <w:r>
        <w:rPr>
          <w:spacing w:val="28"/>
        </w:rPr>
        <w:t> </w:t>
      </w:r>
      <w:r>
        <w:rPr/>
        <w:t>(o</w:t>
      </w:r>
      <w:r>
        <w:rPr>
          <w:spacing w:val="28"/>
        </w:rPr>
        <w:t> </w:t>
      </w:r>
      <w:r>
        <w:rPr/>
        <w:t>al</w:t>
      </w:r>
      <w:r>
        <w:rPr>
          <w:spacing w:val="28"/>
        </w:rPr>
        <w:t> </w:t>
      </w:r>
      <w:r>
        <w:rPr/>
        <w:t>menos</w:t>
      </w:r>
      <w:r>
        <w:rPr>
          <w:spacing w:val="28"/>
        </w:rPr>
        <w:t> </w:t>
      </w:r>
      <w:r>
        <w:rPr/>
        <w:t>más</w:t>
      </w:r>
      <w:r>
        <w:rPr>
          <w:spacing w:val="28"/>
        </w:rPr>
        <w:t> </w:t>
      </w:r>
      <w:r>
        <w:rPr/>
        <w:t>competitivo).</w:t>
      </w:r>
    </w:p>
    <w:p>
      <w:pPr>
        <w:spacing w:after="0" w:line="247" w:lineRule="auto"/>
        <w:jc w:val="both"/>
        <w:sectPr>
          <w:pgSz w:w="9360" w:h="12760"/>
          <w:pgMar w:header="771" w:footer="0" w:top="980" w:bottom="280" w:left="960" w:right="960"/>
        </w:sectPr>
      </w:pPr>
    </w:p>
    <w:p>
      <w:pPr>
        <w:pStyle w:val="BodyText"/>
        <w:rPr>
          <w:sz w:val="20"/>
        </w:rPr>
      </w:pPr>
    </w:p>
    <w:p>
      <w:pPr>
        <w:pStyle w:val="BodyText"/>
        <w:spacing w:before="9"/>
        <w:rPr>
          <w:sz w:val="15"/>
        </w:rPr>
      </w:pPr>
    </w:p>
    <w:p>
      <w:pPr>
        <w:pStyle w:val="BodyText"/>
        <w:spacing w:line="249" w:lineRule="auto" w:before="44"/>
        <w:ind w:left="136" w:right="114"/>
        <w:jc w:val="both"/>
      </w:pPr>
      <w:r>
        <w:rPr/>
        <w:t>Estas</w:t>
      </w:r>
      <w:r>
        <w:rPr>
          <w:spacing w:val="-8"/>
        </w:rPr>
        <w:t> </w:t>
      </w:r>
      <w:r>
        <w:rPr/>
        <w:t>ganancias</w:t>
      </w:r>
      <w:r>
        <w:rPr>
          <w:spacing w:val="-8"/>
        </w:rPr>
        <w:t> </w:t>
      </w:r>
      <w:r>
        <w:rPr/>
        <w:t>se</w:t>
      </w:r>
      <w:r>
        <w:rPr>
          <w:spacing w:val="-8"/>
        </w:rPr>
        <w:t> </w:t>
      </w:r>
      <w:r>
        <w:rPr/>
        <w:t>sustraen</w:t>
      </w:r>
      <w:r>
        <w:rPr>
          <w:spacing w:val="-8"/>
        </w:rPr>
        <w:t> </w:t>
      </w:r>
      <w:r>
        <w:rPr/>
        <w:t>de</w:t>
      </w:r>
      <w:r>
        <w:rPr>
          <w:spacing w:val="-8"/>
        </w:rPr>
        <w:t> </w:t>
      </w:r>
      <w:r>
        <w:rPr/>
        <w:t>las</w:t>
      </w:r>
      <w:r>
        <w:rPr>
          <w:spacing w:val="-8"/>
        </w:rPr>
        <w:t> </w:t>
      </w:r>
      <w:r>
        <w:rPr/>
        <w:t>reportadas</w:t>
      </w:r>
      <w:r>
        <w:rPr>
          <w:spacing w:val="-8"/>
        </w:rPr>
        <w:t> </w:t>
      </w:r>
      <w:r>
        <w:rPr/>
        <w:t>por</w:t>
      </w:r>
      <w:r>
        <w:rPr>
          <w:spacing w:val="-8"/>
        </w:rPr>
        <w:t> </w:t>
      </w:r>
      <w:r>
        <w:rPr/>
        <w:t>t</w:t>
      </w:r>
      <w:r>
        <w:rPr>
          <w:spacing w:val="-10"/>
        </w:rPr>
        <w:t> </w:t>
      </w:r>
      <w:r>
        <w:rPr>
          <w:spacing w:val="4"/>
        </w:rPr>
        <w:t>el</w:t>
      </w:r>
      <w:r>
        <w:rPr>
          <w:spacing w:val="-10"/>
        </w:rPr>
        <w:t> </w:t>
      </w:r>
      <w:r>
        <w:rPr/>
        <w:t>mex</w:t>
      </w:r>
      <w:r>
        <w:rPr>
          <w:spacing w:val="9"/>
        </w:rPr>
        <w:t> </w:t>
      </w:r>
      <w:r>
        <w:rPr/>
        <w:t>y</w:t>
      </w:r>
      <w:r>
        <w:rPr>
          <w:spacing w:val="-8"/>
        </w:rPr>
        <w:t> </w:t>
      </w:r>
      <w:r>
        <w:rPr/>
        <w:t>el</w:t>
      </w:r>
      <w:r>
        <w:rPr>
          <w:spacing w:val="-8"/>
        </w:rPr>
        <w:t> </w:t>
      </w:r>
      <w:r>
        <w:rPr/>
        <w:t>resultado</w:t>
      </w:r>
      <w:r>
        <w:rPr>
          <w:spacing w:val="-8"/>
        </w:rPr>
        <w:t> </w:t>
      </w:r>
      <w:r>
        <w:rPr/>
        <w:t>es</w:t>
      </w:r>
      <w:r>
        <w:rPr>
          <w:spacing w:val="-8"/>
        </w:rPr>
        <w:t> </w:t>
      </w:r>
      <w:r>
        <w:rPr>
          <w:rFonts w:ascii="Symbol" w:hAnsi="Symbol"/>
        </w:rPr>
        <w:t></w:t>
      </w:r>
      <w:r>
        <w:rPr/>
        <w:t>*,</w:t>
      </w:r>
      <w:r>
        <w:rPr>
          <w:spacing w:val="-8"/>
        </w:rPr>
        <w:t> </w:t>
      </w:r>
      <w:r>
        <w:rPr/>
        <w:t>que se introduce en la fórmula de Cowling y Mueller para calcular el costo social del monopolio ejercido por la empresa.</w:t>
      </w:r>
    </w:p>
    <w:p>
      <w:pPr>
        <w:pStyle w:val="BodyText"/>
        <w:spacing w:line="249" w:lineRule="auto" w:before="1"/>
        <w:ind w:left="136" w:right="114" w:firstLine="850"/>
        <w:jc w:val="both"/>
      </w:pPr>
      <w:r>
        <w:rPr/>
        <w:t>Según la medición de Harberger el monopolio de t </w:t>
      </w:r>
      <w:r>
        <w:rPr>
          <w:spacing w:val="4"/>
        </w:rPr>
        <w:t>el </w:t>
      </w:r>
      <w:r>
        <w:rPr/>
        <w:t>mex representa un costo</w:t>
      </w:r>
      <w:r>
        <w:rPr>
          <w:spacing w:val="-6"/>
        </w:rPr>
        <w:t> </w:t>
      </w:r>
      <w:r>
        <w:rPr/>
        <w:t>social</w:t>
      </w:r>
      <w:r>
        <w:rPr>
          <w:spacing w:val="-6"/>
        </w:rPr>
        <w:t> </w:t>
      </w:r>
      <w:r>
        <w:rPr/>
        <w:t>de</w:t>
      </w:r>
      <w:r>
        <w:rPr>
          <w:spacing w:val="-6"/>
        </w:rPr>
        <w:t> </w:t>
      </w:r>
      <w:r>
        <w:rPr/>
        <w:t>227</w:t>
      </w:r>
      <w:r>
        <w:rPr>
          <w:spacing w:val="-6"/>
        </w:rPr>
        <w:t> </w:t>
      </w:r>
      <w:r>
        <w:rPr/>
        <w:t>millones</w:t>
      </w:r>
      <w:r>
        <w:rPr>
          <w:spacing w:val="-6"/>
        </w:rPr>
        <w:t> </w:t>
      </w:r>
      <w:r>
        <w:rPr/>
        <w:t>de</w:t>
      </w:r>
      <w:r>
        <w:rPr>
          <w:spacing w:val="-6"/>
        </w:rPr>
        <w:t> </w:t>
      </w:r>
      <w:r>
        <w:rPr/>
        <w:t>pesos</w:t>
      </w:r>
      <w:r>
        <w:rPr>
          <w:spacing w:val="-6"/>
        </w:rPr>
        <w:t> </w:t>
      </w:r>
      <w:r>
        <w:rPr/>
        <w:t>de</w:t>
      </w:r>
      <w:r>
        <w:rPr>
          <w:spacing w:val="-6"/>
        </w:rPr>
        <w:t> </w:t>
      </w:r>
      <w:r>
        <w:rPr/>
        <w:t>2002</w:t>
      </w:r>
      <w:r>
        <w:rPr>
          <w:spacing w:val="-6"/>
        </w:rPr>
        <w:t> </w:t>
      </w:r>
      <w:r>
        <w:rPr/>
        <w:t>(0.004%</w:t>
      </w:r>
      <w:r>
        <w:rPr>
          <w:spacing w:val="-6"/>
        </w:rPr>
        <w:t> </w:t>
      </w:r>
      <w:r>
        <w:rPr/>
        <w:t>del</w:t>
      </w:r>
      <w:r>
        <w:rPr>
          <w:spacing w:val="-6"/>
        </w:rPr>
        <w:t> </w:t>
      </w:r>
      <w:r>
        <w:rPr/>
        <w:t>pib),</w:t>
      </w:r>
      <w:r>
        <w:rPr>
          <w:spacing w:val="-6"/>
        </w:rPr>
        <w:t> </w:t>
      </w:r>
      <w:r>
        <w:rPr/>
        <w:t>y</w:t>
      </w:r>
      <w:r>
        <w:rPr>
          <w:spacing w:val="-6"/>
        </w:rPr>
        <w:t> </w:t>
      </w:r>
      <w:r>
        <w:rPr/>
        <w:t>con</w:t>
      </w:r>
      <w:r>
        <w:rPr>
          <w:spacing w:val="-6"/>
        </w:rPr>
        <w:t> </w:t>
      </w:r>
      <w:r>
        <w:rPr/>
        <w:t>la</w:t>
      </w:r>
      <w:r>
        <w:rPr>
          <w:spacing w:val="-6"/>
        </w:rPr>
        <w:t> </w:t>
      </w:r>
      <w:r>
        <w:rPr/>
        <w:t>medición de</w:t>
      </w:r>
      <w:r>
        <w:rPr>
          <w:spacing w:val="-3"/>
        </w:rPr>
        <w:t> </w:t>
      </w:r>
      <w:r>
        <w:rPr/>
        <w:t>Cowling</w:t>
      </w:r>
      <w:r>
        <w:rPr>
          <w:spacing w:val="-3"/>
        </w:rPr>
        <w:t> </w:t>
      </w:r>
      <w:r>
        <w:rPr/>
        <w:t>y</w:t>
      </w:r>
      <w:r>
        <w:rPr>
          <w:spacing w:val="-3"/>
        </w:rPr>
        <w:t> </w:t>
      </w:r>
      <w:r>
        <w:rPr/>
        <w:t>Mueller</w:t>
      </w:r>
      <w:r>
        <w:rPr>
          <w:spacing w:val="-3"/>
        </w:rPr>
        <w:t> </w:t>
      </w:r>
      <w:r>
        <w:rPr/>
        <w:t>el</w:t>
      </w:r>
      <w:r>
        <w:rPr>
          <w:spacing w:val="-3"/>
        </w:rPr>
        <w:t> </w:t>
      </w:r>
      <w:r>
        <w:rPr/>
        <w:t>costo</w:t>
      </w:r>
      <w:r>
        <w:rPr>
          <w:spacing w:val="-3"/>
        </w:rPr>
        <w:t> </w:t>
      </w:r>
      <w:r>
        <w:rPr/>
        <w:t>social</w:t>
      </w:r>
      <w:r>
        <w:rPr>
          <w:spacing w:val="-3"/>
        </w:rPr>
        <w:t> </w:t>
      </w:r>
      <w:r>
        <w:rPr/>
        <w:t>se</w:t>
      </w:r>
      <w:r>
        <w:rPr>
          <w:spacing w:val="-3"/>
        </w:rPr>
        <w:t> </w:t>
      </w:r>
      <w:r>
        <w:rPr/>
        <w:t>eleva</w:t>
      </w:r>
      <w:r>
        <w:rPr>
          <w:spacing w:val="-3"/>
        </w:rPr>
        <w:t> </w:t>
      </w:r>
      <w:r>
        <w:rPr/>
        <w:t>sustancialmente</w:t>
      </w:r>
      <w:r>
        <w:rPr>
          <w:spacing w:val="-3"/>
        </w:rPr>
        <w:t> </w:t>
      </w:r>
      <w:r>
        <w:rPr/>
        <w:t>a</w:t>
      </w:r>
      <w:r>
        <w:rPr>
          <w:spacing w:val="-3"/>
        </w:rPr>
        <w:t> </w:t>
      </w:r>
      <w:r>
        <w:rPr/>
        <w:t>5,276</w:t>
      </w:r>
      <w:r>
        <w:rPr>
          <w:spacing w:val="-3"/>
        </w:rPr>
        <w:t> </w:t>
      </w:r>
      <w:r>
        <w:rPr/>
        <w:t>millones</w:t>
      </w:r>
      <w:r>
        <w:rPr>
          <w:spacing w:val="-3"/>
        </w:rPr>
        <w:t> </w:t>
      </w:r>
      <w:r>
        <w:rPr/>
        <w:t>de pesos (casi 0.1% del</w:t>
      </w:r>
      <w:r>
        <w:rPr>
          <w:spacing w:val="-9"/>
        </w:rPr>
        <w:t> </w:t>
      </w:r>
      <w:r>
        <w:rPr/>
        <w:t>pib).</w:t>
      </w:r>
    </w:p>
    <w:p>
      <w:pPr>
        <w:pStyle w:val="BodyText"/>
        <w:spacing w:line="244" w:lineRule="auto" w:before="1"/>
        <w:ind w:left="136" w:right="114" w:firstLine="850"/>
        <w:jc w:val="both"/>
      </w:pPr>
      <w:r>
        <w:rPr/>
        <w:t>Cabe señalar que estas estimaciones son congruentes con los resultados reportados por Harberger y por Cowling y Mueller para la economía estadouni- dense. Por ejemplo, Harberger encontró que el costo social de los monopolios   (en todos los sectores de la economía) para Estados Unidos era muy pequeño, inferior a 1% del pnb;</w:t>
      </w:r>
      <w:r>
        <w:rPr>
          <w:position w:val="9"/>
          <w:sz w:val="15"/>
        </w:rPr>
        <w:t>6 </w:t>
      </w:r>
      <w:r>
        <w:rPr/>
        <w:t>a su vez Cowling y Mueller encontraron que dicho costo era de aproximadamente 4% del </w:t>
      </w:r>
      <w:r>
        <w:rPr>
          <w:spacing w:val="2"/>
        </w:rPr>
        <w:t>pnb, </w:t>
      </w:r>
      <w:r>
        <w:rPr/>
        <w:t>y si se incluían gastos de publicidad podría llegar hasta 13% del </w:t>
      </w:r>
      <w:r>
        <w:rPr>
          <w:spacing w:val="2"/>
        </w:rPr>
        <w:t>pnb.</w:t>
      </w:r>
      <w:r>
        <w:rPr>
          <w:spacing w:val="2"/>
          <w:position w:val="9"/>
          <w:sz w:val="15"/>
        </w:rPr>
        <w:t>7 </w:t>
      </w:r>
      <w:r>
        <w:rPr/>
        <w:t>En particular, Cowling y Mueller encontraron que el </w:t>
      </w:r>
      <w:r>
        <w:rPr>
          <w:spacing w:val="-3"/>
        </w:rPr>
        <w:t>costo</w:t>
      </w:r>
      <w:r>
        <w:rPr>
          <w:spacing w:val="-14"/>
        </w:rPr>
        <w:t> </w:t>
      </w:r>
      <w:r>
        <w:rPr>
          <w:spacing w:val="-3"/>
        </w:rPr>
        <w:t>social</w:t>
      </w:r>
      <w:r>
        <w:rPr>
          <w:spacing w:val="-14"/>
        </w:rPr>
        <w:t> </w:t>
      </w:r>
      <w:r>
        <w:rPr/>
        <w:t>de</w:t>
      </w:r>
      <w:r>
        <w:rPr>
          <w:spacing w:val="-14"/>
        </w:rPr>
        <w:t> </w:t>
      </w:r>
      <w:r>
        <w:rPr/>
        <w:t>la</w:t>
      </w:r>
      <w:r>
        <w:rPr>
          <w:spacing w:val="-14"/>
        </w:rPr>
        <w:t> </w:t>
      </w:r>
      <w:r>
        <w:rPr>
          <w:spacing w:val="-3"/>
        </w:rPr>
        <w:t>empresa</w:t>
      </w:r>
      <w:r>
        <w:rPr>
          <w:spacing w:val="-14"/>
        </w:rPr>
        <w:t> </w:t>
      </w:r>
      <w:r>
        <w:rPr>
          <w:spacing w:val="-3"/>
        </w:rPr>
        <w:t>General</w:t>
      </w:r>
      <w:r>
        <w:rPr>
          <w:spacing w:val="-14"/>
        </w:rPr>
        <w:t> </w:t>
      </w:r>
      <w:r>
        <w:rPr>
          <w:spacing w:val="-3"/>
        </w:rPr>
        <w:t>Motors</w:t>
      </w:r>
      <w:r>
        <w:rPr>
          <w:spacing w:val="-14"/>
        </w:rPr>
        <w:t> </w:t>
      </w:r>
      <w:r>
        <w:rPr/>
        <w:t>era</w:t>
      </w:r>
      <w:r>
        <w:rPr>
          <w:spacing w:val="-14"/>
        </w:rPr>
        <w:t> </w:t>
      </w:r>
      <w:r>
        <w:rPr/>
        <w:t>muy</w:t>
      </w:r>
      <w:r>
        <w:rPr>
          <w:spacing w:val="-14"/>
        </w:rPr>
        <w:t> </w:t>
      </w:r>
      <w:r>
        <w:rPr>
          <w:spacing w:val="-3"/>
        </w:rPr>
        <w:t>elevado,</w:t>
      </w:r>
      <w:r>
        <w:rPr>
          <w:spacing w:val="-14"/>
        </w:rPr>
        <w:t> </w:t>
      </w:r>
      <w:r>
        <w:rPr>
          <w:spacing w:val="-3"/>
        </w:rPr>
        <w:t>cerca</w:t>
      </w:r>
      <w:r>
        <w:rPr>
          <w:spacing w:val="-14"/>
        </w:rPr>
        <w:t> </w:t>
      </w:r>
      <w:r>
        <w:rPr/>
        <w:t>del</w:t>
      </w:r>
      <w:r>
        <w:rPr>
          <w:spacing w:val="-14"/>
        </w:rPr>
        <w:t> </w:t>
      </w:r>
      <w:r>
        <w:rPr>
          <w:spacing w:val="-3"/>
        </w:rPr>
        <w:t>0.25%</w:t>
      </w:r>
      <w:r>
        <w:rPr>
          <w:spacing w:val="-14"/>
        </w:rPr>
        <w:t> </w:t>
      </w:r>
      <w:r>
        <w:rPr/>
        <w:t>del</w:t>
      </w:r>
      <w:r>
        <w:rPr>
          <w:spacing w:val="-14"/>
        </w:rPr>
        <w:t> </w:t>
      </w:r>
      <w:r>
        <w:rPr/>
        <w:t>pnb</w:t>
      </w:r>
    </w:p>
    <w:p>
      <w:pPr>
        <w:pStyle w:val="BodyText"/>
      </w:pPr>
    </w:p>
    <w:p>
      <w:pPr>
        <w:pStyle w:val="BodyText"/>
        <w:spacing w:before="3"/>
        <w:rPr>
          <w:sz w:val="17"/>
        </w:rPr>
      </w:pPr>
    </w:p>
    <w:p>
      <w:pPr>
        <w:pStyle w:val="Heading1"/>
        <w:ind w:left="762" w:right="730"/>
      </w:pPr>
      <w:r>
        <w:rPr/>
        <w:t>Cuadro 1</w:t>
      </w:r>
    </w:p>
    <w:p>
      <w:pPr>
        <w:spacing w:line="246" w:lineRule="exact" w:before="11"/>
        <w:ind w:left="762" w:right="731" w:firstLine="0"/>
        <w:jc w:val="center"/>
        <w:rPr>
          <w:b/>
          <w:sz w:val="17"/>
        </w:rPr>
      </w:pPr>
      <w:r>
        <w:rPr>
          <w:b/>
          <w:sz w:val="22"/>
        </w:rPr>
        <w:t>Costo social del monopolio de </w:t>
      </w:r>
      <w:r>
        <w:rPr>
          <w:b/>
          <w:sz w:val="17"/>
        </w:rPr>
        <w:t>TELMEX </w:t>
      </w:r>
      <w:r>
        <w:rPr>
          <w:b/>
          <w:sz w:val="22"/>
        </w:rPr>
        <w:t>con base en cifras de </w:t>
      </w:r>
      <w:r>
        <w:rPr>
          <w:b/>
          <w:sz w:val="17"/>
        </w:rPr>
        <w:t>SBC</w:t>
      </w:r>
    </w:p>
    <w:p>
      <w:pPr>
        <w:spacing w:line="271" w:lineRule="exact" w:before="0" w:after="57"/>
        <w:ind w:left="762" w:right="731" w:firstLine="0"/>
        <w:jc w:val="center"/>
        <w:rPr>
          <w:b/>
          <w:sz w:val="15"/>
        </w:rPr>
      </w:pPr>
      <w:r>
        <w:rPr>
          <w:b/>
          <w:sz w:val="22"/>
        </w:rPr>
        <w:t>(cifras del primer trimestre de 2002 anualizadas)</w:t>
      </w:r>
      <w:r>
        <w:rPr>
          <w:b/>
          <w:position w:val="9"/>
          <w:sz w:val="15"/>
        </w:rPr>
        <w:t>a</w:t>
      </w: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63"/>
        <w:gridCol w:w="1677"/>
        <w:gridCol w:w="1674"/>
        <w:gridCol w:w="1420"/>
      </w:tblGrid>
      <w:tr>
        <w:trPr>
          <w:trHeight w:val="442" w:hRule="exact"/>
        </w:trPr>
        <w:tc>
          <w:tcPr>
            <w:tcW w:w="2463" w:type="dxa"/>
            <w:tcBorders>
              <w:left w:val="nil"/>
              <w:right w:val="nil"/>
            </w:tcBorders>
          </w:tcPr>
          <w:p>
            <w:pPr/>
          </w:p>
        </w:tc>
        <w:tc>
          <w:tcPr>
            <w:tcW w:w="1677" w:type="dxa"/>
            <w:tcBorders>
              <w:left w:val="nil"/>
              <w:right w:val="nil"/>
            </w:tcBorders>
          </w:tcPr>
          <w:p>
            <w:pPr>
              <w:pStyle w:val="TableParagraph"/>
              <w:spacing w:before="21"/>
              <w:ind w:left="227" w:right="328"/>
              <w:jc w:val="center"/>
              <w:rPr>
                <w:i/>
                <w:sz w:val="10"/>
              </w:rPr>
            </w:pPr>
            <w:r>
              <w:rPr>
                <w:i/>
                <w:sz w:val="11"/>
              </w:rPr>
              <w:t>TELMEX </w:t>
            </w:r>
            <w:r>
              <w:rPr>
                <w:i/>
                <w:position w:val="6"/>
                <w:sz w:val="10"/>
              </w:rPr>
              <w:t>b</w:t>
            </w:r>
          </w:p>
          <w:p>
            <w:pPr>
              <w:pStyle w:val="TableParagraph"/>
              <w:spacing w:before="13"/>
              <w:ind w:left="227" w:right="328"/>
              <w:jc w:val="center"/>
              <w:rPr>
                <w:i/>
                <w:sz w:val="14"/>
              </w:rPr>
            </w:pPr>
            <w:r>
              <w:rPr>
                <w:i/>
                <w:sz w:val="14"/>
              </w:rPr>
              <w:t>(millones de pesos)</w:t>
            </w:r>
          </w:p>
        </w:tc>
        <w:tc>
          <w:tcPr>
            <w:tcW w:w="1674" w:type="dxa"/>
            <w:tcBorders>
              <w:left w:val="nil"/>
              <w:right w:val="nil"/>
            </w:tcBorders>
          </w:tcPr>
          <w:p>
            <w:pPr>
              <w:pStyle w:val="TableParagraph"/>
              <w:spacing w:before="33"/>
              <w:ind w:left="331" w:right="319"/>
              <w:jc w:val="center"/>
              <w:rPr>
                <w:i/>
                <w:sz w:val="9"/>
              </w:rPr>
            </w:pPr>
            <w:r>
              <w:rPr>
                <w:i/>
                <w:w w:val="105"/>
                <w:sz w:val="14"/>
              </w:rPr>
              <w:t>SBC </w:t>
            </w:r>
            <w:r>
              <w:rPr>
                <w:i/>
                <w:w w:val="105"/>
                <w:position w:val="6"/>
                <w:sz w:val="9"/>
              </w:rPr>
              <w:t>c</w:t>
            </w:r>
          </w:p>
          <w:p>
            <w:pPr>
              <w:pStyle w:val="TableParagraph"/>
              <w:spacing w:before="7"/>
              <w:ind w:left="331" w:right="319"/>
              <w:jc w:val="center"/>
              <w:rPr>
                <w:i/>
                <w:sz w:val="14"/>
              </w:rPr>
            </w:pPr>
            <w:r>
              <w:rPr>
                <w:i/>
                <w:sz w:val="14"/>
              </w:rPr>
              <w:t>(millones de </w:t>
            </w:r>
            <w:r>
              <w:rPr>
                <w:i/>
                <w:sz w:val="11"/>
              </w:rPr>
              <w:t>USD</w:t>
            </w:r>
            <w:r>
              <w:rPr>
                <w:i/>
                <w:sz w:val="14"/>
              </w:rPr>
              <w:t>)</w:t>
            </w:r>
          </w:p>
        </w:tc>
        <w:tc>
          <w:tcPr>
            <w:tcW w:w="1420" w:type="dxa"/>
            <w:tcBorders>
              <w:left w:val="nil"/>
              <w:right w:val="nil"/>
            </w:tcBorders>
          </w:tcPr>
          <w:p>
            <w:pPr>
              <w:pStyle w:val="TableParagraph"/>
              <w:spacing w:line="249" w:lineRule="auto" w:before="43"/>
              <w:ind w:left="438" w:hanging="102"/>
              <w:jc w:val="left"/>
              <w:rPr>
                <w:i/>
                <w:sz w:val="14"/>
              </w:rPr>
            </w:pPr>
            <w:r>
              <w:rPr>
                <w:i/>
                <w:sz w:val="14"/>
              </w:rPr>
              <w:t>Tipo de cambio </w:t>
            </w:r>
            <w:r>
              <w:rPr>
                <w:i/>
                <w:sz w:val="14"/>
              </w:rPr>
              <w:t>(pesos/</w:t>
            </w:r>
            <w:r>
              <w:rPr>
                <w:i/>
                <w:sz w:val="11"/>
              </w:rPr>
              <w:t>USD</w:t>
            </w:r>
            <w:r>
              <w:rPr>
                <w:i/>
                <w:sz w:val="14"/>
              </w:rPr>
              <w:t>)</w:t>
            </w:r>
          </w:p>
        </w:tc>
      </w:tr>
      <w:tr>
        <w:trPr>
          <w:trHeight w:val="190" w:hRule="exact"/>
        </w:trPr>
        <w:tc>
          <w:tcPr>
            <w:tcW w:w="2463" w:type="dxa"/>
            <w:tcBorders>
              <w:left w:val="nil"/>
              <w:bottom w:val="nil"/>
              <w:right w:val="nil"/>
            </w:tcBorders>
          </w:tcPr>
          <w:p>
            <w:pPr>
              <w:pStyle w:val="TableParagraph"/>
              <w:spacing w:before="37"/>
              <w:ind w:left="85"/>
              <w:jc w:val="left"/>
              <w:rPr>
                <w:sz w:val="11"/>
              </w:rPr>
            </w:pPr>
            <w:r>
              <w:rPr>
                <w:sz w:val="14"/>
              </w:rPr>
              <w:t>Ingresos Totales de </w:t>
            </w:r>
            <w:r>
              <w:rPr>
                <w:sz w:val="11"/>
              </w:rPr>
              <w:t>TELMEX</w:t>
            </w:r>
          </w:p>
        </w:tc>
        <w:tc>
          <w:tcPr>
            <w:tcW w:w="1677" w:type="dxa"/>
            <w:tcBorders>
              <w:left w:val="nil"/>
              <w:bottom w:val="nil"/>
              <w:right w:val="nil"/>
            </w:tcBorders>
          </w:tcPr>
          <w:p>
            <w:pPr>
              <w:pStyle w:val="TableParagraph"/>
              <w:spacing w:before="38"/>
              <w:ind w:right="622"/>
              <w:rPr>
                <w:sz w:val="14"/>
              </w:rPr>
            </w:pPr>
            <w:r>
              <w:rPr>
                <w:sz w:val="14"/>
              </w:rPr>
              <w:t>105,512</w:t>
            </w:r>
          </w:p>
        </w:tc>
        <w:tc>
          <w:tcPr>
            <w:tcW w:w="1674" w:type="dxa"/>
            <w:tcBorders>
              <w:left w:val="nil"/>
              <w:bottom w:val="nil"/>
              <w:right w:val="nil"/>
            </w:tcBorders>
          </w:tcPr>
          <w:p>
            <w:pPr>
              <w:pStyle w:val="TableParagraph"/>
              <w:spacing w:before="38"/>
              <w:ind w:right="566"/>
              <w:rPr>
                <w:sz w:val="14"/>
              </w:rPr>
            </w:pPr>
            <w:r>
              <w:rPr>
                <w:sz w:val="14"/>
              </w:rPr>
              <w:t>42,088</w:t>
            </w:r>
          </w:p>
        </w:tc>
        <w:tc>
          <w:tcPr>
            <w:tcW w:w="1420" w:type="dxa"/>
            <w:tcBorders>
              <w:left w:val="nil"/>
              <w:bottom w:val="nil"/>
              <w:right w:val="nil"/>
            </w:tcBorders>
          </w:tcPr>
          <w:p>
            <w:pPr>
              <w:pStyle w:val="TableParagraph"/>
              <w:spacing w:before="36"/>
              <w:ind w:left="701"/>
              <w:jc w:val="left"/>
              <w:rPr>
                <w:sz w:val="14"/>
              </w:rPr>
            </w:pPr>
            <w:r>
              <w:rPr>
                <w:sz w:val="14"/>
              </w:rPr>
              <w:t>9.0243</w:t>
            </w:r>
          </w:p>
        </w:tc>
      </w:tr>
      <w:tr>
        <w:trPr>
          <w:trHeight w:val="162" w:hRule="exact"/>
        </w:trPr>
        <w:tc>
          <w:tcPr>
            <w:tcW w:w="2463" w:type="dxa"/>
            <w:tcBorders>
              <w:top w:val="nil"/>
              <w:left w:val="nil"/>
              <w:bottom w:val="nil"/>
              <w:right w:val="nil"/>
            </w:tcBorders>
          </w:tcPr>
          <w:p>
            <w:pPr>
              <w:pStyle w:val="TableParagraph"/>
              <w:spacing w:line="164" w:lineRule="exact"/>
              <w:ind w:left="85"/>
              <w:jc w:val="left"/>
              <w:rPr>
                <w:sz w:val="10"/>
              </w:rPr>
            </w:pPr>
            <w:r>
              <w:rPr>
                <w:sz w:val="14"/>
              </w:rPr>
              <w:t>EBITDA</w:t>
            </w:r>
            <w:r>
              <w:rPr>
                <w:position w:val="6"/>
                <w:sz w:val="10"/>
              </w:rPr>
              <w:t>d</w:t>
            </w:r>
          </w:p>
        </w:tc>
        <w:tc>
          <w:tcPr>
            <w:tcW w:w="1677" w:type="dxa"/>
            <w:tcBorders>
              <w:top w:val="nil"/>
              <w:left w:val="nil"/>
              <w:bottom w:val="nil"/>
              <w:right w:val="nil"/>
            </w:tcBorders>
          </w:tcPr>
          <w:p>
            <w:pPr>
              <w:pStyle w:val="TableParagraph"/>
              <w:spacing w:before="3"/>
              <w:ind w:right="622"/>
              <w:rPr>
                <w:sz w:val="14"/>
              </w:rPr>
            </w:pPr>
            <w:r>
              <w:rPr>
                <w:sz w:val="14"/>
              </w:rPr>
              <w:t>57,428</w:t>
            </w:r>
          </w:p>
        </w:tc>
        <w:tc>
          <w:tcPr>
            <w:tcW w:w="1674" w:type="dxa"/>
            <w:tcBorders>
              <w:top w:val="nil"/>
              <w:left w:val="nil"/>
              <w:bottom w:val="nil"/>
              <w:right w:val="nil"/>
            </w:tcBorders>
          </w:tcPr>
          <w:p>
            <w:pPr/>
          </w:p>
        </w:tc>
        <w:tc>
          <w:tcPr>
            <w:tcW w:w="1420" w:type="dxa"/>
            <w:tcBorders>
              <w:top w:val="nil"/>
              <w:left w:val="nil"/>
              <w:bottom w:val="nil"/>
              <w:right w:val="nil"/>
            </w:tcBorders>
          </w:tcPr>
          <w:p>
            <w:pPr/>
          </w:p>
        </w:tc>
      </w:tr>
      <w:tr>
        <w:trPr>
          <w:trHeight w:val="150" w:hRule="exact"/>
        </w:trPr>
        <w:tc>
          <w:tcPr>
            <w:tcW w:w="2463" w:type="dxa"/>
            <w:tcBorders>
              <w:top w:val="nil"/>
              <w:left w:val="nil"/>
              <w:bottom w:val="nil"/>
              <w:right w:val="nil"/>
            </w:tcBorders>
          </w:tcPr>
          <w:p>
            <w:pPr>
              <w:pStyle w:val="TableParagraph"/>
              <w:spacing w:line="151" w:lineRule="exact"/>
              <w:ind w:left="85"/>
              <w:jc w:val="left"/>
              <w:rPr>
                <w:sz w:val="14"/>
              </w:rPr>
            </w:pPr>
            <w:r>
              <w:rPr>
                <w:sz w:val="14"/>
              </w:rPr>
              <w:t>Utilidad de operación</w:t>
            </w:r>
          </w:p>
        </w:tc>
        <w:tc>
          <w:tcPr>
            <w:tcW w:w="1677" w:type="dxa"/>
            <w:tcBorders>
              <w:top w:val="nil"/>
              <w:left w:val="nil"/>
              <w:bottom w:val="nil"/>
              <w:right w:val="nil"/>
            </w:tcBorders>
          </w:tcPr>
          <w:p>
            <w:pPr>
              <w:pStyle w:val="TableParagraph"/>
              <w:spacing w:line="152" w:lineRule="exact"/>
              <w:ind w:right="622"/>
              <w:rPr>
                <w:sz w:val="14"/>
              </w:rPr>
            </w:pPr>
            <w:r>
              <w:rPr>
                <w:sz w:val="14"/>
              </w:rPr>
              <w:t>39,280</w:t>
            </w:r>
          </w:p>
        </w:tc>
        <w:tc>
          <w:tcPr>
            <w:tcW w:w="1674" w:type="dxa"/>
            <w:tcBorders>
              <w:top w:val="nil"/>
              <w:left w:val="nil"/>
              <w:bottom w:val="nil"/>
              <w:right w:val="nil"/>
            </w:tcBorders>
          </w:tcPr>
          <w:p>
            <w:pPr/>
          </w:p>
        </w:tc>
        <w:tc>
          <w:tcPr>
            <w:tcW w:w="1420" w:type="dxa"/>
            <w:tcBorders>
              <w:top w:val="nil"/>
              <w:left w:val="nil"/>
              <w:bottom w:val="nil"/>
              <w:right w:val="nil"/>
            </w:tcBorders>
          </w:tcPr>
          <w:p>
            <w:pPr/>
          </w:p>
        </w:tc>
      </w:tr>
      <w:tr>
        <w:trPr>
          <w:trHeight w:val="150" w:hRule="exact"/>
        </w:trPr>
        <w:tc>
          <w:tcPr>
            <w:tcW w:w="2463" w:type="dxa"/>
            <w:tcBorders>
              <w:top w:val="nil"/>
              <w:left w:val="nil"/>
              <w:bottom w:val="nil"/>
              <w:right w:val="nil"/>
            </w:tcBorders>
          </w:tcPr>
          <w:p>
            <w:pPr>
              <w:pStyle w:val="TableParagraph"/>
              <w:spacing w:line="151" w:lineRule="exact"/>
              <w:ind w:left="85"/>
              <w:jc w:val="left"/>
              <w:rPr>
                <w:sz w:val="14"/>
              </w:rPr>
            </w:pPr>
            <w:r>
              <w:rPr>
                <w:sz w:val="14"/>
              </w:rPr>
              <w:t>Utilidad neta</w:t>
            </w:r>
          </w:p>
        </w:tc>
        <w:tc>
          <w:tcPr>
            <w:tcW w:w="1677" w:type="dxa"/>
            <w:tcBorders>
              <w:top w:val="nil"/>
              <w:left w:val="nil"/>
              <w:bottom w:val="nil"/>
              <w:right w:val="nil"/>
            </w:tcBorders>
          </w:tcPr>
          <w:p>
            <w:pPr>
              <w:pStyle w:val="TableParagraph"/>
              <w:spacing w:line="152" w:lineRule="exact"/>
              <w:ind w:right="622"/>
              <w:rPr>
                <w:sz w:val="14"/>
              </w:rPr>
            </w:pPr>
            <w:r>
              <w:rPr>
                <w:sz w:val="14"/>
              </w:rPr>
              <w:t>22,208</w:t>
            </w:r>
          </w:p>
        </w:tc>
        <w:tc>
          <w:tcPr>
            <w:tcW w:w="1674" w:type="dxa"/>
            <w:tcBorders>
              <w:top w:val="nil"/>
              <w:left w:val="nil"/>
              <w:bottom w:val="nil"/>
              <w:right w:val="nil"/>
            </w:tcBorders>
          </w:tcPr>
          <w:p>
            <w:pPr>
              <w:pStyle w:val="TableParagraph"/>
              <w:spacing w:line="152" w:lineRule="exact"/>
              <w:ind w:right="566"/>
              <w:rPr>
                <w:sz w:val="14"/>
              </w:rPr>
            </w:pPr>
            <w:r>
              <w:rPr>
                <w:sz w:val="14"/>
              </w:rPr>
              <w:t>6,840</w:t>
            </w:r>
          </w:p>
        </w:tc>
        <w:tc>
          <w:tcPr>
            <w:tcW w:w="1420" w:type="dxa"/>
            <w:tcBorders>
              <w:top w:val="nil"/>
              <w:left w:val="nil"/>
              <w:bottom w:val="nil"/>
              <w:right w:val="nil"/>
            </w:tcBorders>
          </w:tcPr>
          <w:p>
            <w:pPr/>
          </w:p>
        </w:tc>
      </w:tr>
      <w:tr>
        <w:trPr>
          <w:trHeight w:val="225" w:hRule="exact"/>
        </w:trPr>
        <w:tc>
          <w:tcPr>
            <w:tcW w:w="2463" w:type="dxa"/>
            <w:tcBorders>
              <w:top w:val="nil"/>
              <w:left w:val="nil"/>
              <w:bottom w:val="nil"/>
              <w:right w:val="nil"/>
            </w:tcBorders>
          </w:tcPr>
          <w:p>
            <w:pPr>
              <w:pStyle w:val="TableParagraph"/>
              <w:spacing w:line="151" w:lineRule="exact"/>
              <w:ind w:left="85"/>
              <w:jc w:val="left"/>
              <w:rPr>
                <w:sz w:val="14"/>
              </w:rPr>
            </w:pPr>
            <w:r>
              <w:rPr>
                <w:sz w:val="14"/>
              </w:rPr>
              <w:t>Utilidad por acción (pesos)</w:t>
            </w:r>
          </w:p>
        </w:tc>
        <w:tc>
          <w:tcPr>
            <w:tcW w:w="1677" w:type="dxa"/>
            <w:tcBorders>
              <w:top w:val="nil"/>
              <w:left w:val="nil"/>
              <w:bottom w:val="nil"/>
              <w:right w:val="nil"/>
            </w:tcBorders>
          </w:tcPr>
          <w:p>
            <w:pPr>
              <w:pStyle w:val="TableParagraph"/>
              <w:spacing w:line="152" w:lineRule="exact"/>
              <w:ind w:right="622"/>
              <w:rPr>
                <w:sz w:val="14"/>
              </w:rPr>
            </w:pPr>
            <w:r>
              <w:rPr>
                <w:sz w:val="14"/>
              </w:rPr>
              <w:t>1.68</w:t>
            </w:r>
          </w:p>
        </w:tc>
        <w:tc>
          <w:tcPr>
            <w:tcW w:w="1674" w:type="dxa"/>
            <w:tcBorders>
              <w:top w:val="nil"/>
              <w:left w:val="nil"/>
              <w:bottom w:val="nil"/>
              <w:right w:val="nil"/>
            </w:tcBorders>
          </w:tcPr>
          <w:p>
            <w:pPr/>
          </w:p>
        </w:tc>
        <w:tc>
          <w:tcPr>
            <w:tcW w:w="1420" w:type="dxa"/>
            <w:tcBorders>
              <w:top w:val="nil"/>
              <w:left w:val="nil"/>
              <w:bottom w:val="nil"/>
              <w:right w:val="nil"/>
            </w:tcBorders>
          </w:tcPr>
          <w:p>
            <w:pPr/>
          </w:p>
        </w:tc>
      </w:tr>
      <w:tr>
        <w:trPr>
          <w:trHeight w:val="225" w:hRule="exact"/>
        </w:trPr>
        <w:tc>
          <w:tcPr>
            <w:tcW w:w="2463" w:type="dxa"/>
            <w:tcBorders>
              <w:top w:val="nil"/>
              <w:left w:val="nil"/>
              <w:bottom w:val="nil"/>
              <w:right w:val="nil"/>
            </w:tcBorders>
          </w:tcPr>
          <w:p>
            <w:pPr>
              <w:pStyle w:val="TableParagraph"/>
              <w:spacing w:before="65"/>
              <w:ind w:left="85"/>
              <w:jc w:val="left"/>
              <w:rPr>
                <w:sz w:val="14"/>
              </w:rPr>
            </w:pPr>
            <w:r>
              <w:rPr>
                <w:sz w:val="14"/>
              </w:rPr>
              <w:t>Activo circulante</w:t>
            </w:r>
          </w:p>
        </w:tc>
        <w:tc>
          <w:tcPr>
            <w:tcW w:w="1677" w:type="dxa"/>
            <w:tcBorders>
              <w:top w:val="nil"/>
              <w:left w:val="nil"/>
              <w:bottom w:val="nil"/>
              <w:right w:val="nil"/>
            </w:tcBorders>
          </w:tcPr>
          <w:p>
            <w:pPr>
              <w:pStyle w:val="TableParagraph"/>
              <w:spacing w:before="66"/>
              <w:ind w:right="622"/>
              <w:rPr>
                <w:sz w:val="14"/>
              </w:rPr>
            </w:pPr>
            <w:r>
              <w:rPr>
                <w:sz w:val="14"/>
              </w:rPr>
              <w:t>32,955</w:t>
            </w:r>
          </w:p>
        </w:tc>
        <w:tc>
          <w:tcPr>
            <w:tcW w:w="1674" w:type="dxa"/>
            <w:tcBorders>
              <w:top w:val="nil"/>
              <w:left w:val="nil"/>
              <w:bottom w:val="nil"/>
              <w:right w:val="nil"/>
            </w:tcBorders>
          </w:tcPr>
          <w:p>
            <w:pPr/>
          </w:p>
        </w:tc>
        <w:tc>
          <w:tcPr>
            <w:tcW w:w="1420" w:type="dxa"/>
            <w:tcBorders>
              <w:top w:val="nil"/>
              <w:left w:val="nil"/>
              <w:bottom w:val="nil"/>
              <w:right w:val="nil"/>
            </w:tcBorders>
          </w:tcPr>
          <w:p>
            <w:pPr/>
          </w:p>
        </w:tc>
      </w:tr>
      <w:tr>
        <w:trPr>
          <w:trHeight w:val="150" w:hRule="exact"/>
        </w:trPr>
        <w:tc>
          <w:tcPr>
            <w:tcW w:w="2463" w:type="dxa"/>
            <w:tcBorders>
              <w:top w:val="nil"/>
              <w:left w:val="nil"/>
              <w:bottom w:val="nil"/>
              <w:right w:val="nil"/>
            </w:tcBorders>
          </w:tcPr>
          <w:p>
            <w:pPr>
              <w:pStyle w:val="TableParagraph"/>
              <w:spacing w:line="151" w:lineRule="exact"/>
              <w:ind w:left="85"/>
              <w:jc w:val="left"/>
              <w:rPr>
                <w:sz w:val="14"/>
              </w:rPr>
            </w:pPr>
            <w:r>
              <w:rPr>
                <w:sz w:val="14"/>
              </w:rPr>
              <w:t>Planta, propiedades y equipo, neto</w:t>
            </w:r>
          </w:p>
        </w:tc>
        <w:tc>
          <w:tcPr>
            <w:tcW w:w="1677" w:type="dxa"/>
            <w:tcBorders>
              <w:top w:val="nil"/>
              <w:left w:val="nil"/>
              <w:bottom w:val="nil"/>
              <w:right w:val="nil"/>
            </w:tcBorders>
          </w:tcPr>
          <w:p>
            <w:pPr>
              <w:pStyle w:val="TableParagraph"/>
              <w:spacing w:line="152" w:lineRule="exact"/>
              <w:ind w:right="622"/>
              <w:rPr>
                <w:sz w:val="14"/>
              </w:rPr>
            </w:pPr>
            <w:r>
              <w:rPr>
                <w:sz w:val="14"/>
              </w:rPr>
              <w:t>116,885</w:t>
            </w:r>
          </w:p>
        </w:tc>
        <w:tc>
          <w:tcPr>
            <w:tcW w:w="1674" w:type="dxa"/>
            <w:tcBorders>
              <w:top w:val="nil"/>
              <w:left w:val="nil"/>
              <w:bottom w:val="nil"/>
              <w:right w:val="nil"/>
            </w:tcBorders>
          </w:tcPr>
          <w:p>
            <w:pPr/>
          </w:p>
        </w:tc>
        <w:tc>
          <w:tcPr>
            <w:tcW w:w="1420" w:type="dxa"/>
            <w:tcBorders>
              <w:top w:val="nil"/>
              <w:left w:val="nil"/>
              <w:bottom w:val="nil"/>
              <w:right w:val="nil"/>
            </w:tcBorders>
          </w:tcPr>
          <w:p>
            <w:pPr/>
          </w:p>
        </w:tc>
      </w:tr>
      <w:tr>
        <w:trPr>
          <w:trHeight w:val="150" w:hRule="exact"/>
        </w:trPr>
        <w:tc>
          <w:tcPr>
            <w:tcW w:w="2463" w:type="dxa"/>
            <w:tcBorders>
              <w:top w:val="nil"/>
              <w:left w:val="nil"/>
              <w:bottom w:val="nil"/>
              <w:right w:val="nil"/>
            </w:tcBorders>
          </w:tcPr>
          <w:p>
            <w:pPr>
              <w:pStyle w:val="TableParagraph"/>
              <w:spacing w:line="151" w:lineRule="exact"/>
              <w:ind w:left="85"/>
              <w:jc w:val="left"/>
              <w:rPr>
                <w:sz w:val="14"/>
              </w:rPr>
            </w:pPr>
            <w:r>
              <w:rPr>
                <w:sz w:val="14"/>
              </w:rPr>
              <w:t>Inventarios</w:t>
            </w:r>
          </w:p>
        </w:tc>
        <w:tc>
          <w:tcPr>
            <w:tcW w:w="1677" w:type="dxa"/>
            <w:tcBorders>
              <w:top w:val="nil"/>
              <w:left w:val="nil"/>
              <w:bottom w:val="nil"/>
              <w:right w:val="nil"/>
            </w:tcBorders>
          </w:tcPr>
          <w:p>
            <w:pPr>
              <w:pStyle w:val="TableParagraph"/>
              <w:spacing w:line="152" w:lineRule="exact"/>
              <w:ind w:right="622"/>
              <w:rPr>
                <w:sz w:val="14"/>
              </w:rPr>
            </w:pPr>
            <w:r>
              <w:rPr>
                <w:sz w:val="14"/>
              </w:rPr>
              <w:t>1,605</w:t>
            </w:r>
          </w:p>
        </w:tc>
        <w:tc>
          <w:tcPr>
            <w:tcW w:w="1674" w:type="dxa"/>
            <w:tcBorders>
              <w:top w:val="nil"/>
              <w:left w:val="nil"/>
              <w:bottom w:val="nil"/>
              <w:right w:val="nil"/>
            </w:tcBorders>
          </w:tcPr>
          <w:p>
            <w:pPr/>
          </w:p>
        </w:tc>
        <w:tc>
          <w:tcPr>
            <w:tcW w:w="1420" w:type="dxa"/>
            <w:tcBorders>
              <w:top w:val="nil"/>
              <w:left w:val="nil"/>
              <w:bottom w:val="nil"/>
              <w:right w:val="nil"/>
            </w:tcBorders>
          </w:tcPr>
          <w:p>
            <w:pPr/>
          </w:p>
        </w:tc>
      </w:tr>
      <w:tr>
        <w:trPr>
          <w:trHeight w:val="150" w:hRule="exact"/>
        </w:trPr>
        <w:tc>
          <w:tcPr>
            <w:tcW w:w="2463" w:type="dxa"/>
            <w:tcBorders>
              <w:top w:val="nil"/>
              <w:left w:val="nil"/>
              <w:bottom w:val="nil"/>
              <w:right w:val="nil"/>
            </w:tcBorders>
          </w:tcPr>
          <w:p>
            <w:pPr>
              <w:pStyle w:val="TableParagraph"/>
              <w:spacing w:line="151" w:lineRule="exact"/>
              <w:ind w:left="85"/>
              <w:jc w:val="left"/>
              <w:rPr>
                <w:sz w:val="14"/>
              </w:rPr>
            </w:pPr>
            <w:r>
              <w:rPr>
                <w:sz w:val="14"/>
              </w:rPr>
              <w:t>Licencias</w:t>
            </w:r>
          </w:p>
        </w:tc>
        <w:tc>
          <w:tcPr>
            <w:tcW w:w="1677" w:type="dxa"/>
            <w:tcBorders>
              <w:top w:val="nil"/>
              <w:left w:val="nil"/>
              <w:bottom w:val="nil"/>
              <w:right w:val="nil"/>
            </w:tcBorders>
          </w:tcPr>
          <w:p>
            <w:pPr>
              <w:pStyle w:val="TableParagraph"/>
              <w:spacing w:line="152" w:lineRule="exact"/>
              <w:ind w:right="622"/>
              <w:rPr>
                <w:sz w:val="14"/>
              </w:rPr>
            </w:pPr>
            <w:r>
              <w:rPr>
                <w:sz w:val="14"/>
              </w:rPr>
              <w:t>580</w:t>
            </w:r>
          </w:p>
        </w:tc>
        <w:tc>
          <w:tcPr>
            <w:tcW w:w="1674" w:type="dxa"/>
            <w:tcBorders>
              <w:top w:val="nil"/>
              <w:left w:val="nil"/>
              <w:bottom w:val="nil"/>
              <w:right w:val="nil"/>
            </w:tcBorders>
          </w:tcPr>
          <w:p>
            <w:pPr/>
          </w:p>
        </w:tc>
        <w:tc>
          <w:tcPr>
            <w:tcW w:w="1420" w:type="dxa"/>
            <w:tcBorders>
              <w:top w:val="nil"/>
              <w:left w:val="nil"/>
              <w:bottom w:val="nil"/>
              <w:right w:val="nil"/>
            </w:tcBorders>
          </w:tcPr>
          <w:p>
            <w:pPr/>
          </w:p>
        </w:tc>
      </w:tr>
      <w:tr>
        <w:trPr>
          <w:trHeight w:val="150" w:hRule="exact"/>
        </w:trPr>
        <w:tc>
          <w:tcPr>
            <w:tcW w:w="2463" w:type="dxa"/>
            <w:tcBorders>
              <w:top w:val="nil"/>
              <w:left w:val="nil"/>
              <w:bottom w:val="nil"/>
              <w:right w:val="nil"/>
            </w:tcBorders>
          </w:tcPr>
          <w:p>
            <w:pPr>
              <w:pStyle w:val="TableParagraph"/>
              <w:spacing w:line="151" w:lineRule="exact"/>
              <w:ind w:left="85"/>
              <w:jc w:val="left"/>
              <w:rPr>
                <w:sz w:val="14"/>
              </w:rPr>
            </w:pPr>
            <w:r>
              <w:rPr>
                <w:sz w:val="14"/>
              </w:rPr>
              <w:t>Otros activos</w:t>
            </w:r>
          </w:p>
        </w:tc>
        <w:tc>
          <w:tcPr>
            <w:tcW w:w="1677" w:type="dxa"/>
            <w:tcBorders>
              <w:top w:val="nil"/>
              <w:left w:val="nil"/>
              <w:bottom w:val="nil"/>
              <w:right w:val="nil"/>
            </w:tcBorders>
          </w:tcPr>
          <w:p>
            <w:pPr>
              <w:pStyle w:val="TableParagraph"/>
              <w:spacing w:line="152" w:lineRule="exact"/>
              <w:ind w:right="622"/>
              <w:rPr>
                <w:sz w:val="14"/>
              </w:rPr>
            </w:pPr>
            <w:r>
              <w:rPr>
                <w:sz w:val="14"/>
              </w:rPr>
              <w:t>1,214</w:t>
            </w:r>
          </w:p>
        </w:tc>
        <w:tc>
          <w:tcPr>
            <w:tcW w:w="1674" w:type="dxa"/>
            <w:tcBorders>
              <w:top w:val="nil"/>
              <w:left w:val="nil"/>
              <w:bottom w:val="nil"/>
              <w:right w:val="nil"/>
            </w:tcBorders>
          </w:tcPr>
          <w:p>
            <w:pPr/>
          </w:p>
        </w:tc>
        <w:tc>
          <w:tcPr>
            <w:tcW w:w="1420" w:type="dxa"/>
            <w:tcBorders>
              <w:top w:val="nil"/>
              <w:left w:val="nil"/>
              <w:bottom w:val="nil"/>
              <w:right w:val="nil"/>
            </w:tcBorders>
          </w:tcPr>
          <w:p>
            <w:pPr/>
          </w:p>
        </w:tc>
      </w:tr>
      <w:tr>
        <w:trPr>
          <w:trHeight w:val="150" w:hRule="exact"/>
        </w:trPr>
        <w:tc>
          <w:tcPr>
            <w:tcW w:w="2463" w:type="dxa"/>
            <w:tcBorders>
              <w:top w:val="nil"/>
              <w:left w:val="nil"/>
              <w:bottom w:val="nil"/>
              <w:right w:val="nil"/>
            </w:tcBorders>
          </w:tcPr>
          <w:p>
            <w:pPr>
              <w:pStyle w:val="TableParagraph"/>
              <w:spacing w:line="151" w:lineRule="exact"/>
              <w:ind w:left="85"/>
              <w:jc w:val="left"/>
              <w:rPr>
                <w:sz w:val="14"/>
              </w:rPr>
            </w:pPr>
            <w:r>
              <w:rPr>
                <w:sz w:val="14"/>
              </w:rPr>
              <w:t>Activo Intangible</w:t>
            </w:r>
          </w:p>
        </w:tc>
        <w:tc>
          <w:tcPr>
            <w:tcW w:w="1677" w:type="dxa"/>
            <w:tcBorders>
              <w:top w:val="nil"/>
              <w:left w:val="nil"/>
              <w:bottom w:val="nil"/>
              <w:right w:val="nil"/>
            </w:tcBorders>
          </w:tcPr>
          <w:p>
            <w:pPr>
              <w:pStyle w:val="TableParagraph"/>
              <w:spacing w:line="152" w:lineRule="exact"/>
              <w:ind w:right="622"/>
              <w:rPr>
                <w:sz w:val="14"/>
              </w:rPr>
            </w:pPr>
            <w:r>
              <w:rPr>
                <w:sz w:val="14"/>
              </w:rPr>
              <w:t>7,322</w:t>
            </w:r>
          </w:p>
        </w:tc>
        <w:tc>
          <w:tcPr>
            <w:tcW w:w="1674" w:type="dxa"/>
            <w:tcBorders>
              <w:top w:val="nil"/>
              <w:left w:val="nil"/>
              <w:bottom w:val="nil"/>
              <w:right w:val="nil"/>
            </w:tcBorders>
          </w:tcPr>
          <w:p>
            <w:pPr/>
          </w:p>
        </w:tc>
        <w:tc>
          <w:tcPr>
            <w:tcW w:w="1420" w:type="dxa"/>
            <w:tcBorders>
              <w:top w:val="nil"/>
              <w:left w:val="nil"/>
              <w:bottom w:val="nil"/>
              <w:right w:val="nil"/>
            </w:tcBorders>
          </w:tcPr>
          <w:p>
            <w:pPr/>
          </w:p>
        </w:tc>
      </w:tr>
      <w:tr>
        <w:trPr>
          <w:trHeight w:val="225" w:hRule="exact"/>
        </w:trPr>
        <w:tc>
          <w:tcPr>
            <w:tcW w:w="2463" w:type="dxa"/>
            <w:tcBorders>
              <w:top w:val="nil"/>
              <w:left w:val="nil"/>
              <w:bottom w:val="nil"/>
              <w:right w:val="nil"/>
            </w:tcBorders>
          </w:tcPr>
          <w:p>
            <w:pPr>
              <w:pStyle w:val="TableParagraph"/>
              <w:spacing w:line="151" w:lineRule="exact"/>
              <w:ind w:left="85"/>
              <w:jc w:val="left"/>
              <w:rPr>
                <w:sz w:val="14"/>
              </w:rPr>
            </w:pPr>
            <w:r>
              <w:rPr>
                <w:sz w:val="14"/>
              </w:rPr>
              <w:t>Total Activo</w:t>
            </w:r>
          </w:p>
        </w:tc>
        <w:tc>
          <w:tcPr>
            <w:tcW w:w="1677" w:type="dxa"/>
            <w:tcBorders>
              <w:top w:val="nil"/>
              <w:left w:val="nil"/>
              <w:bottom w:val="nil"/>
              <w:right w:val="nil"/>
            </w:tcBorders>
          </w:tcPr>
          <w:p>
            <w:pPr>
              <w:pStyle w:val="TableParagraph"/>
              <w:spacing w:line="152" w:lineRule="exact"/>
              <w:ind w:right="622"/>
              <w:rPr>
                <w:sz w:val="14"/>
              </w:rPr>
            </w:pPr>
            <w:r>
              <w:rPr>
                <w:sz w:val="14"/>
              </w:rPr>
              <w:t>160,561</w:t>
            </w:r>
          </w:p>
        </w:tc>
        <w:tc>
          <w:tcPr>
            <w:tcW w:w="1674" w:type="dxa"/>
            <w:tcBorders>
              <w:top w:val="nil"/>
              <w:left w:val="nil"/>
              <w:bottom w:val="nil"/>
              <w:right w:val="nil"/>
            </w:tcBorders>
          </w:tcPr>
          <w:p>
            <w:pPr>
              <w:pStyle w:val="TableParagraph"/>
              <w:spacing w:line="152" w:lineRule="exact"/>
              <w:ind w:right="566"/>
              <w:rPr>
                <w:sz w:val="14"/>
              </w:rPr>
            </w:pPr>
            <w:r>
              <w:rPr>
                <w:sz w:val="14"/>
              </w:rPr>
              <w:t>94,212</w:t>
            </w:r>
          </w:p>
        </w:tc>
        <w:tc>
          <w:tcPr>
            <w:tcW w:w="1420" w:type="dxa"/>
            <w:tcBorders>
              <w:top w:val="nil"/>
              <w:left w:val="nil"/>
              <w:bottom w:val="nil"/>
              <w:right w:val="nil"/>
            </w:tcBorders>
          </w:tcPr>
          <w:p>
            <w:pPr/>
          </w:p>
        </w:tc>
      </w:tr>
      <w:tr>
        <w:trPr>
          <w:trHeight w:val="213" w:hRule="exact"/>
        </w:trPr>
        <w:tc>
          <w:tcPr>
            <w:tcW w:w="2463" w:type="dxa"/>
            <w:tcBorders>
              <w:top w:val="nil"/>
              <w:left w:val="nil"/>
              <w:bottom w:val="nil"/>
              <w:right w:val="nil"/>
            </w:tcBorders>
          </w:tcPr>
          <w:p>
            <w:pPr>
              <w:pStyle w:val="TableParagraph"/>
              <w:spacing w:before="65"/>
              <w:ind w:left="85"/>
              <w:jc w:val="left"/>
              <w:rPr>
                <w:sz w:val="14"/>
              </w:rPr>
            </w:pPr>
            <w:r>
              <w:rPr>
                <w:sz w:val="14"/>
              </w:rPr>
              <w:t>Rendimiento sobre Activos (ROA)</w:t>
            </w:r>
          </w:p>
        </w:tc>
        <w:tc>
          <w:tcPr>
            <w:tcW w:w="1677" w:type="dxa"/>
            <w:tcBorders>
              <w:top w:val="nil"/>
              <w:left w:val="nil"/>
              <w:bottom w:val="nil"/>
              <w:right w:val="nil"/>
            </w:tcBorders>
          </w:tcPr>
          <w:p>
            <w:pPr>
              <w:pStyle w:val="TableParagraph"/>
              <w:spacing w:before="66"/>
              <w:ind w:right="622"/>
              <w:rPr>
                <w:sz w:val="14"/>
              </w:rPr>
            </w:pPr>
            <w:r>
              <w:rPr>
                <w:sz w:val="14"/>
              </w:rPr>
              <w:t>13.8%</w:t>
            </w:r>
          </w:p>
        </w:tc>
        <w:tc>
          <w:tcPr>
            <w:tcW w:w="1674" w:type="dxa"/>
            <w:tcBorders>
              <w:top w:val="nil"/>
              <w:left w:val="nil"/>
              <w:bottom w:val="nil"/>
              <w:right w:val="nil"/>
            </w:tcBorders>
          </w:tcPr>
          <w:p>
            <w:pPr>
              <w:pStyle w:val="TableParagraph"/>
              <w:spacing w:before="66"/>
              <w:ind w:right="566"/>
              <w:rPr>
                <w:sz w:val="14"/>
              </w:rPr>
            </w:pPr>
            <w:r>
              <w:rPr>
                <w:sz w:val="14"/>
              </w:rPr>
              <w:t>7.3%</w:t>
            </w:r>
          </w:p>
        </w:tc>
        <w:tc>
          <w:tcPr>
            <w:tcW w:w="1420" w:type="dxa"/>
            <w:tcBorders>
              <w:top w:val="nil"/>
              <w:left w:val="nil"/>
              <w:bottom w:val="nil"/>
              <w:right w:val="nil"/>
            </w:tcBorders>
          </w:tcPr>
          <w:p>
            <w:pPr/>
          </w:p>
        </w:tc>
      </w:tr>
      <w:tr>
        <w:trPr>
          <w:trHeight w:val="150" w:hRule="exact"/>
        </w:trPr>
        <w:tc>
          <w:tcPr>
            <w:tcW w:w="2463" w:type="dxa"/>
            <w:tcBorders>
              <w:top w:val="nil"/>
              <w:left w:val="nil"/>
              <w:bottom w:val="nil"/>
              <w:right w:val="nil"/>
            </w:tcBorders>
          </w:tcPr>
          <w:p>
            <w:pPr>
              <w:pStyle w:val="TableParagraph"/>
              <w:spacing w:line="164" w:lineRule="exact"/>
              <w:ind w:left="85"/>
              <w:jc w:val="left"/>
              <w:rPr>
                <w:sz w:val="9"/>
              </w:rPr>
            </w:pPr>
            <w:r>
              <w:rPr>
                <w:sz w:val="14"/>
              </w:rPr>
              <w:t>Costo Social (fórmula 1) </w:t>
            </w:r>
            <w:r>
              <w:rPr>
                <w:position w:val="6"/>
                <w:sz w:val="9"/>
              </w:rPr>
              <w:t>e</w:t>
            </w:r>
          </w:p>
        </w:tc>
        <w:tc>
          <w:tcPr>
            <w:tcW w:w="1677" w:type="dxa"/>
            <w:tcBorders>
              <w:top w:val="nil"/>
              <w:left w:val="nil"/>
              <w:bottom w:val="nil"/>
              <w:right w:val="nil"/>
            </w:tcBorders>
          </w:tcPr>
          <w:p>
            <w:pPr>
              <w:pStyle w:val="TableParagraph"/>
              <w:spacing w:before="3"/>
              <w:ind w:right="622"/>
              <w:rPr>
                <w:sz w:val="14"/>
              </w:rPr>
            </w:pPr>
            <w:r>
              <w:rPr>
                <w:sz w:val="14"/>
              </w:rPr>
              <w:t>227.8</w:t>
            </w:r>
          </w:p>
        </w:tc>
        <w:tc>
          <w:tcPr>
            <w:tcW w:w="1674" w:type="dxa"/>
            <w:tcBorders>
              <w:top w:val="nil"/>
              <w:left w:val="nil"/>
              <w:bottom w:val="nil"/>
              <w:right w:val="nil"/>
            </w:tcBorders>
          </w:tcPr>
          <w:p>
            <w:pPr/>
          </w:p>
        </w:tc>
        <w:tc>
          <w:tcPr>
            <w:tcW w:w="1420" w:type="dxa"/>
            <w:tcBorders>
              <w:top w:val="nil"/>
              <w:left w:val="nil"/>
              <w:bottom w:val="nil"/>
              <w:right w:val="nil"/>
            </w:tcBorders>
          </w:tcPr>
          <w:p>
            <w:pPr/>
          </w:p>
        </w:tc>
      </w:tr>
      <w:tr>
        <w:trPr>
          <w:trHeight w:val="162" w:hRule="exact"/>
        </w:trPr>
        <w:tc>
          <w:tcPr>
            <w:tcW w:w="2463" w:type="dxa"/>
            <w:tcBorders>
              <w:top w:val="nil"/>
              <w:left w:val="nil"/>
              <w:bottom w:val="nil"/>
              <w:right w:val="nil"/>
            </w:tcBorders>
          </w:tcPr>
          <w:p>
            <w:pPr>
              <w:pStyle w:val="TableParagraph"/>
              <w:spacing w:line="164" w:lineRule="exact"/>
              <w:ind w:left="85"/>
              <w:jc w:val="left"/>
              <w:rPr>
                <w:sz w:val="9"/>
              </w:rPr>
            </w:pPr>
            <w:r>
              <w:rPr>
                <w:sz w:val="14"/>
              </w:rPr>
              <w:t>Costo Social (fórmula 2) </w:t>
            </w:r>
            <w:r>
              <w:rPr>
                <w:position w:val="6"/>
                <w:sz w:val="9"/>
              </w:rPr>
              <w:t>f</w:t>
            </w:r>
          </w:p>
        </w:tc>
        <w:tc>
          <w:tcPr>
            <w:tcW w:w="1677" w:type="dxa"/>
            <w:tcBorders>
              <w:top w:val="nil"/>
              <w:left w:val="nil"/>
              <w:bottom w:val="nil"/>
              <w:right w:val="nil"/>
            </w:tcBorders>
          </w:tcPr>
          <w:p>
            <w:pPr>
              <w:pStyle w:val="TableParagraph"/>
              <w:spacing w:before="3"/>
              <w:ind w:right="622"/>
              <w:rPr>
                <w:sz w:val="14"/>
              </w:rPr>
            </w:pPr>
            <w:r>
              <w:rPr>
                <w:sz w:val="14"/>
              </w:rPr>
              <w:t>5,275.46</w:t>
            </w:r>
          </w:p>
        </w:tc>
        <w:tc>
          <w:tcPr>
            <w:tcW w:w="1674" w:type="dxa"/>
            <w:tcBorders>
              <w:top w:val="nil"/>
              <w:left w:val="nil"/>
              <w:bottom w:val="nil"/>
              <w:right w:val="nil"/>
            </w:tcBorders>
          </w:tcPr>
          <w:p>
            <w:pPr/>
          </w:p>
        </w:tc>
        <w:tc>
          <w:tcPr>
            <w:tcW w:w="1420" w:type="dxa"/>
            <w:tcBorders>
              <w:top w:val="nil"/>
              <w:left w:val="nil"/>
              <w:bottom w:val="nil"/>
              <w:right w:val="nil"/>
            </w:tcBorders>
          </w:tcPr>
          <w:p>
            <w:pPr/>
          </w:p>
        </w:tc>
      </w:tr>
      <w:tr>
        <w:trPr>
          <w:trHeight w:val="150" w:hRule="exact"/>
        </w:trPr>
        <w:tc>
          <w:tcPr>
            <w:tcW w:w="2463" w:type="dxa"/>
            <w:tcBorders>
              <w:top w:val="nil"/>
              <w:left w:val="nil"/>
              <w:bottom w:val="nil"/>
              <w:right w:val="nil"/>
            </w:tcBorders>
          </w:tcPr>
          <w:p>
            <w:pPr>
              <w:pStyle w:val="TableParagraph"/>
              <w:spacing w:line="151" w:lineRule="exact"/>
              <w:ind w:left="85"/>
              <w:jc w:val="left"/>
              <w:rPr>
                <w:sz w:val="14"/>
              </w:rPr>
            </w:pPr>
            <w:r>
              <w:rPr>
                <w:sz w:val="11"/>
              </w:rPr>
              <w:t>PIB </w:t>
            </w:r>
            <w:r>
              <w:rPr>
                <w:sz w:val="14"/>
              </w:rPr>
              <w:t>de 2002 (</w:t>
            </w:r>
            <w:r>
              <w:rPr>
                <w:sz w:val="11"/>
              </w:rPr>
              <w:t>CGPE</w:t>
            </w:r>
            <w:r>
              <w:rPr>
                <w:sz w:val="14"/>
              </w:rPr>
              <w:t>)</w:t>
            </w:r>
          </w:p>
        </w:tc>
        <w:tc>
          <w:tcPr>
            <w:tcW w:w="1677" w:type="dxa"/>
            <w:tcBorders>
              <w:top w:val="nil"/>
              <w:left w:val="nil"/>
              <w:bottom w:val="nil"/>
              <w:right w:val="nil"/>
            </w:tcBorders>
          </w:tcPr>
          <w:p>
            <w:pPr>
              <w:pStyle w:val="TableParagraph"/>
              <w:spacing w:line="152" w:lineRule="exact"/>
              <w:ind w:right="622"/>
              <w:rPr>
                <w:sz w:val="14"/>
              </w:rPr>
            </w:pPr>
            <w:r>
              <w:rPr>
                <w:sz w:val="14"/>
              </w:rPr>
              <w:t>6,183.700</w:t>
            </w:r>
          </w:p>
        </w:tc>
        <w:tc>
          <w:tcPr>
            <w:tcW w:w="1674" w:type="dxa"/>
            <w:tcBorders>
              <w:top w:val="nil"/>
              <w:left w:val="nil"/>
              <w:bottom w:val="nil"/>
              <w:right w:val="nil"/>
            </w:tcBorders>
          </w:tcPr>
          <w:p>
            <w:pPr/>
          </w:p>
        </w:tc>
        <w:tc>
          <w:tcPr>
            <w:tcW w:w="1420" w:type="dxa"/>
            <w:tcBorders>
              <w:top w:val="nil"/>
              <w:left w:val="nil"/>
              <w:bottom w:val="nil"/>
              <w:right w:val="nil"/>
            </w:tcBorders>
          </w:tcPr>
          <w:p>
            <w:pPr/>
          </w:p>
        </w:tc>
      </w:tr>
      <w:tr>
        <w:trPr>
          <w:trHeight w:val="150" w:hRule="exact"/>
        </w:trPr>
        <w:tc>
          <w:tcPr>
            <w:tcW w:w="2463" w:type="dxa"/>
            <w:tcBorders>
              <w:top w:val="nil"/>
              <w:left w:val="nil"/>
              <w:bottom w:val="nil"/>
              <w:right w:val="nil"/>
            </w:tcBorders>
          </w:tcPr>
          <w:p>
            <w:pPr>
              <w:pStyle w:val="TableParagraph"/>
              <w:spacing w:line="151" w:lineRule="exact"/>
              <w:ind w:left="85"/>
              <w:jc w:val="left"/>
              <w:rPr>
                <w:sz w:val="14"/>
              </w:rPr>
            </w:pPr>
            <w:r>
              <w:rPr>
                <w:sz w:val="14"/>
              </w:rPr>
              <w:t>CS (porcentaje del </w:t>
            </w:r>
            <w:r>
              <w:rPr>
                <w:sz w:val="11"/>
              </w:rPr>
              <w:t>PIB </w:t>
            </w:r>
            <w:r>
              <w:rPr>
                <w:sz w:val="14"/>
              </w:rPr>
              <w:t>fórmula 1)</w:t>
            </w:r>
          </w:p>
        </w:tc>
        <w:tc>
          <w:tcPr>
            <w:tcW w:w="1677" w:type="dxa"/>
            <w:tcBorders>
              <w:top w:val="nil"/>
              <w:left w:val="nil"/>
              <w:bottom w:val="nil"/>
              <w:right w:val="nil"/>
            </w:tcBorders>
          </w:tcPr>
          <w:p>
            <w:pPr>
              <w:pStyle w:val="TableParagraph"/>
              <w:spacing w:line="152" w:lineRule="exact"/>
              <w:ind w:right="622"/>
              <w:rPr>
                <w:sz w:val="14"/>
              </w:rPr>
            </w:pPr>
            <w:r>
              <w:rPr>
                <w:sz w:val="14"/>
              </w:rPr>
              <w:t>0.004%</w:t>
            </w:r>
          </w:p>
        </w:tc>
        <w:tc>
          <w:tcPr>
            <w:tcW w:w="1674" w:type="dxa"/>
            <w:tcBorders>
              <w:top w:val="nil"/>
              <w:left w:val="nil"/>
              <w:bottom w:val="nil"/>
              <w:right w:val="nil"/>
            </w:tcBorders>
          </w:tcPr>
          <w:p>
            <w:pPr/>
          </w:p>
        </w:tc>
        <w:tc>
          <w:tcPr>
            <w:tcW w:w="1420" w:type="dxa"/>
            <w:tcBorders>
              <w:top w:val="nil"/>
              <w:left w:val="nil"/>
              <w:bottom w:val="nil"/>
              <w:right w:val="nil"/>
            </w:tcBorders>
          </w:tcPr>
          <w:p>
            <w:pPr/>
          </w:p>
        </w:tc>
      </w:tr>
      <w:tr>
        <w:trPr>
          <w:trHeight w:val="170" w:hRule="exact"/>
        </w:trPr>
        <w:tc>
          <w:tcPr>
            <w:tcW w:w="2463" w:type="dxa"/>
            <w:tcBorders>
              <w:top w:val="nil"/>
              <w:left w:val="nil"/>
              <w:right w:val="nil"/>
            </w:tcBorders>
          </w:tcPr>
          <w:p>
            <w:pPr>
              <w:pStyle w:val="TableParagraph"/>
              <w:spacing w:line="151" w:lineRule="exact"/>
              <w:ind w:left="85"/>
              <w:jc w:val="left"/>
              <w:rPr>
                <w:sz w:val="14"/>
              </w:rPr>
            </w:pPr>
            <w:r>
              <w:rPr>
                <w:sz w:val="14"/>
              </w:rPr>
              <w:t>CS (porcentaje del </w:t>
            </w:r>
            <w:r>
              <w:rPr>
                <w:sz w:val="11"/>
              </w:rPr>
              <w:t>PIB </w:t>
            </w:r>
            <w:r>
              <w:rPr>
                <w:sz w:val="14"/>
              </w:rPr>
              <w:t>fórmula 2)</w:t>
            </w:r>
          </w:p>
        </w:tc>
        <w:tc>
          <w:tcPr>
            <w:tcW w:w="1677" w:type="dxa"/>
            <w:tcBorders>
              <w:top w:val="nil"/>
              <w:left w:val="nil"/>
              <w:right w:val="nil"/>
            </w:tcBorders>
          </w:tcPr>
          <w:p>
            <w:pPr>
              <w:pStyle w:val="TableParagraph"/>
              <w:spacing w:line="152" w:lineRule="exact"/>
              <w:ind w:right="622"/>
              <w:rPr>
                <w:sz w:val="14"/>
              </w:rPr>
            </w:pPr>
            <w:r>
              <w:rPr>
                <w:sz w:val="14"/>
              </w:rPr>
              <w:t>0.09%</w:t>
            </w:r>
          </w:p>
        </w:tc>
        <w:tc>
          <w:tcPr>
            <w:tcW w:w="1674" w:type="dxa"/>
            <w:tcBorders>
              <w:top w:val="nil"/>
              <w:left w:val="nil"/>
              <w:right w:val="nil"/>
            </w:tcBorders>
          </w:tcPr>
          <w:p>
            <w:pPr/>
          </w:p>
        </w:tc>
        <w:tc>
          <w:tcPr>
            <w:tcW w:w="1420" w:type="dxa"/>
            <w:tcBorders>
              <w:top w:val="nil"/>
              <w:left w:val="nil"/>
              <w:right w:val="nil"/>
            </w:tcBorders>
          </w:tcPr>
          <w:p>
            <w:pPr/>
          </w:p>
        </w:tc>
      </w:tr>
      <w:tr>
        <w:trPr>
          <w:trHeight w:val="212" w:hRule="exact"/>
        </w:trPr>
        <w:tc>
          <w:tcPr>
            <w:tcW w:w="2463" w:type="dxa"/>
            <w:tcBorders>
              <w:left w:val="nil"/>
              <w:bottom w:val="nil"/>
              <w:right w:val="nil"/>
            </w:tcBorders>
          </w:tcPr>
          <w:p>
            <w:pPr>
              <w:pStyle w:val="TableParagraph"/>
              <w:spacing w:line="203" w:lineRule="exact"/>
              <w:ind w:left="35"/>
              <w:jc w:val="left"/>
              <w:rPr>
                <w:sz w:val="18"/>
              </w:rPr>
            </w:pPr>
            <w:r>
              <w:rPr>
                <w:position w:val="7"/>
                <w:sz w:val="12"/>
              </w:rPr>
              <w:t>a </w:t>
            </w:r>
            <w:r>
              <w:rPr>
                <w:sz w:val="18"/>
              </w:rPr>
              <w:t>Excepto las cifras de activos.</w:t>
            </w:r>
          </w:p>
        </w:tc>
        <w:tc>
          <w:tcPr>
            <w:tcW w:w="1677" w:type="dxa"/>
            <w:tcBorders>
              <w:left w:val="nil"/>
              <w:bottom w:val="nil"/>
              <w:right w:val="nil"/>
            </w:tcBorders>
          </w:tcPr>
          <w:p>
            <w:pPr/>
          </w:p>
        </w:tc>
        <w:tc>
          <w:tcPr>
            <w:tcW w:w="1674" w:type="dxa"/>
            <w:tcBorders>
              <w:left w:val="nil"/>
              <w:bottom w:val="nil"/>
              <w:right w:val="nil"/>
            </w:tcBorders>
          </w:tcPr>
          <w:p>
            <w:pPr/>
          </w:p>
        </w:tc>
        <w:tc>
          <w:tcPr>
            <w:tcW w:w="1420" w:type="dxa"/>
            <w:tcBorders>
              <w:left w:val="nil"/>
              <w:bottom w:val="nil"/>
              <w:right w:val="nil"/>
            </w:tcBorders>
          </w:tcPr>
          <w:p>
            <w:pPr/>
          </w:p>
        </w:tc>
      </w:tr>
    </w:tbl>
    <w:p>
      <w:pPr>
        <w:spacing w:line="195" w:lineRule="exact" w:before="0"/>
        <w:ind w:left="136" w:right="37" w:firstLine="0"/>
        <w:jc w:val="left"/>
        <w:rPr>
          <w:sz w:val="18"/>
        </w:rPr>
      </w:pPr>
      <w:r>
        <w:rPr>
          <w:position w:val="7"/>
          <w:sz w:val="12"/>
        </w:rPr>
        <w:t>b </w:t>
      </w:r>
      <w:r>
        <w:rPr>
          <w:sz w:val="18"/>
        </w:rPr>
        <w:t>Reporte ﬁnanciero al primer trimestre de 2002 (www.telmex.com).</w:t>
      </w:r>
    </w:p>
    <w:p>
      <w:pPr>
        <w:spacing w:line="225" w:lineRule="auto" w:before="0"/>
        <w:ind w:left="136" w:right="2579" w:firstLine="0"/>
        <w:jc w:val="left"/>
        <w:rPr>
          <w:sz w:val="18"/>
        </w:rPr>
      </w:pPr>
      <w:r>
        <w:rPr>
          <w:position w:val="7"/>
          <w:sz w:val="12"/>
        </w:rPr>
        <w:t>c </w:t>
      </w:r>
      <w:r>
        <w:rPr>
          <w:sz w:val="18"/>
        </w:rPr>
        <w:t>Reporte ﬁnanciero al primer trimestre de 2002 (www.sbc.com). </w:t>
      </w:r>
      <w:r>
        <w:rPr>
          <w:position w:val="7"/>
          <w:sz w:val="12"/>
        </w:rPr>
        <w:t>d </w:t>
      </w:r>
      <w:r>
        <w:rPr>
          <w:sz w:val="18"/>
        </w:rPr>
        <w:t>Earnings Before Interest, </w:t>
      </w:r>
      <w:r>
        <w:rPr>
          <w:spacing w:val="-3"/>
          <w:sz w:val="18"/>
        </w:rPr>
        <w:t>Taxes, </w:t>
      </w:r>
      <w:r>
        <w:rPr>
          <w:sz w:val="18"/>
        </w:rPr>
        <w:t>Depreciation and Amortization. </w:t>
      </w:r>
      <w:r>
        <w:rPr>
          <w:position w:val="7"/>
          <w:sz w:val="12"/>
        </w:rPr>
        <w:t>e </w:t>
      </w:r>
      <w:r>
        <w:rPr>
          <w:sz w:val="18"/>
        </w:rPr>
        <w:t>Harberger, Costo Social = 0.5* (0.138-0.073)</w:t>
      </w:r>
      <w:r>
        <w:rPr>
          <w:spacing w:val="8"/>
          <w:sz w:val="18"/>
        </w:rPr>
        <w:t> </w:t>
      </w:r>
      <w:r>
        <w:rPr>
          <w:position w:val="7"/>
          <w:sz w:val="12"/>
        </w:rPr>
        <w:t>2</w:t>
      </w:r>
      <w:r>
        <w:rPr>
          <w:sz w:val="18"/>
        </w:rPr>
        <w:t>*105,512</w:t>
      </w:r>
    </w:p>
    <w:p>
      <w:pPr>
        <w:spacing w:line="202" w:lineRule="exact" w:before="0"/>
        <w:ind w:left="136" w:right="37" w:firstLine="0"/>
        <w:jc w:val="left"/>
        <w:rPr>
          <w:sz w:val="18"/>
        </w:rPr>
      </w:pPr>
      <w:r>
        <w:rPr>
          <w:position w:val="7"/>
          <w:sz w:val="12"/>
        </w:rPr>
        <w:t>f </w:t>
      </w:r>
      <w:r>
        <w:rPr>
          <w:sz w:val="18"/>
        </w:rPr>
        <w:t>Cowling y Mueller, Costo Social = (22,208-(22,208*(0.073/0.138)))/2</w:t>
      </w:r>
    </w:p>
    <w:p>
      <w:pPr>
        <w:spacing w:after="0" w:line="202" w:lineRule="exact"/>
        <w:jc w:val="left"/>
        <w:rPr>
          <w:sz w:val="18"/>
        </w:rPr>
        <w:sectPr>
          <w:pgSz w:w="9360" w:h="12760"/>
          <w:pgMar w:header="771" w:footer="0" w:top="980" w:bottom="280" w:left="940" w:right="960"/>
        </w:sectPr>
      </w:pPr>
    </w:p>
    <w:p>
      <w:pPr>
        <w:pStyle w:val="BodyText"/>
        <w:rPr>
          <w:sz w:val="20"/>
        </w:rPr>
      </w:pPr>
    </w:p>
    <w:p>
      <w:pPr>
        <w:pStyle w:val="BodyText"/>
        <w:spacing w:before="9"/>
        <w:rPr>
          <w:sz w:val="15"/>
        </w:rPr>
      </w:pPr>
    </w:p>
    <w:p>
      <w:pPr>
        <w:pStyle w:val="BodyText"/>
        <w:spacing w:line="264" w:lineRule="exact" w:before="54"/>
        <w:ind w:left="117" w:right="113"/>
        <w:jc w:val="both"/>
        <w:rPr>
          <w:sz w:val="15"/>
        </w:rPr>
      </w:pPr>
      <w:r>
        <w:rPr/>
        <w:t>(incluyendo gastos de publicidad). Esta última cifra es semejante a la obtenida para t el mex (en relación al tamaño de la economía), ya que la medición para la empresa mexicana (0.1% del pib) no incluye gastos de publicidad.</w:t>
      </w:r>
      <w:r>
        <w:rPr>
          <w:position w:val="9"/>
          <w:sz w:val="15"/>
        </w:rPr>
        <w:t>8</w:t>
      </w:r>
    </w:p>
    <w:p>
      <w:pPr>
        <w:pStyle w:val="BodyText"/>
        <w:spacing w:line="249" w:lineRule="auto" w:before="6"/>
        <w:ind w:left="116" w:right="111" w:firstLine="850"/>
        <w:jc w:val="both"/>
      </w:pPr>
      <w:r>
        <w:rPr/>
        <w:t>Es importante subrayar que el cálculo realizado con la metodología de Harberger</w:t>
      </w:r>
      <w:r>
        <w:rPr>
          <w:spacing w:val="-6"/>
        </w:rPr>
        <w:t> </w:t>
      </w:r>
      <w:r>
        <w:rPr/>
        <w:t>provee</w:t>
      </w:r>
      <w:r>
        <w:rPr>
          <w:spacing w:val="-6"/>
        </w:rPr>
        <w:t> </w:t>
      </w:r>
      <w:r>
        <w:rPr/>
        <w:t>un</w:t>
      </w:r>
      <w:r>
        <w:rPr>
          <w:spacing w:val="-6"/>
        </w:rPr>
        <w:t> </w:t>
      </w:r>
      <w:r>
        <w:rPr/>
        <w:t>límite</w:t>
      </w:r>
      <w:r>
        <w:rPr>
          <w:spacing w:val="-6"/>
        </w:rPr>
        <w:t> </w:t>
      </w:r>
      <w:r>
        <w:rPr/>
        <w:t>inferior</w:t>
      </w:r>
      <w:r>
        <w:rPr>
          <w:spacing w:val="-6"/>
        </w:rPr>
        <w:t> </w:t>
      </w:r>
      <w:r>
        <w:rPr/>
        <w:t>al</w:t>
      </w:r>
      <w:r>
        <w:rPr>
          <w:spacing w:val="-6"/>
        </w:rPr>
        <w:t> </w:t>
      </w:r>
      <w:r>
        <w:rPr/>
        <w:t>costo</w:t>
      </w:r>
      <w:r>
        <w:rPr>
          <w:spacing w:val="-6"/>
        </w:rPr>
        <w:t> </w:t>
      </w:r>
      <w:r>
        <w:rPr/>
        <w:t>social</w:t>
      </w:r>
      <w:r>
        <w:rPr>
          <w:spacing w:val="-6"/>
        </w:rPr>
        <w:t> </w:t>
      </w:r>
      <w:r>
        <w:rPr/>
        <w:t>del</w:t>
      </w:r>
      <w:r>
        <w:rPr>
          <w:spacing w:val="-6"/>
        </w:rPr>
        <w:t> </w:t>
      </w:r>
      <w:r>
        <w:rPr/>
        <w:t>monopolio</w:t>
      </w:r>
      <w:r>
        <w:rPr>
          <w:spacing w:val="-6"/>
        </w:rPr>
        <w:t> </w:t>
      </w:r>
      <w:r>
        <w:rPr/>
        <w:t>(pues</w:t>
      </w:r>
      <w:r>
        <w:rPr>
          <w:spacing w:val="-6"/>
        </w:rPr>
        <w:t> </w:t>
      </w:r>
      <w:r>
        <w:rPr/>
        <w:t>asume</w:t>
      </w:r>
      <w:r>
        <w:rPr>
          <w:spacing w:val="-6"/>
        </w:rPr>
        <w:t> </w:t>
      </w:r>
      <w:r>
        <w:rPr/>
        <w:t>que el</w:t>
      </w:r>
      <w:r>
        <w:rPr>
          <w:spacing w:val="-4"/>
        </w:rPr>
        <w:t> </w:t>
      </w:r>
      <w:r>
        <w:rPr/>
        <w:t>valor</w:t>
      </w:r>
      <w:r>
        <w:rPr>
          <w:spacing w:val="-4"/>
        </w:rPr>
        <w:t> </w:t>
      </w:r>
      <w:r>
        <w:rPr/>
        <w:t>absoluto</w:t>
      </w:r>
      <w:r>
        <w:rPr>
          <w:spacing w:val="-4"/>
        </w:rPr>
        <w:t> </w:t>
      </w:r>
      <w:r>
        <w:rPr/>
        <w:t>de</w:t>
      </w:r>
      <w:r>
        <w:rPr>
          <w:spacing w:val="-4"/>
        </w:rPr>
        <w:t> </w:t>
      </w:r>
      <w:r>
        <w:rPr/>
        <w:t>la</w:t>
      </w:r>
      <w:r>
        <w:rPr>
          <w:spacing w:val="-4"/>
        </w:rPr>
        <w:t> </w:t>
      </w:r>
      <w:r>
        <w:rPr/>
        <w:t>elasticidad</w:t>
      </w:r>
      <w:r>
        <w:rPr>
          <w:spacing w:val="-5"/>
        </w:rPr>
        <w:t> </w:t>
      </w:r>
      <w:r>
        <w:rPr/>
        <w:t>precio</w:t>
      </w:r>
      <w:r>
        <w:rPr>
          <w:spacing w:val="-5"/>
        </w:rPr>
        <w:t> </w:t>
      </w:r>
      <w:r>
        <w:rPr/>
        <w:t>de</w:t>
      </w:r>
      <w:r>
        <w:rPr>
          <w:spacing w:val="-4"/>
        </w:rPr>
        <w:t> </w:t>
      </w:r>
      <w:r>
        <w:rPr/>
        <w:t>la</w:t>
      </w:r>
      <w:r>
        <w:rPr>
          <w:spacing w:val="-4"/>
        </w:rPr>
        <w:t> </w:t>
      </w:r>
      <w:r>
        <w:rPr/>
        <w:t>demanda</w:t>
      </w:r>
      <w:r>
        <w:rPr>
          <w:spacing w:val="-5"/>
        </w:rPr>
        <w:t> </w:t>
      </w:r>
      <w:r>
        <w:rPr/>
        <w:t>es</w:t>
      </w:r>
      <w:r>
        <w:rPr>
          <w:spacing w:val="-4"/>
        </w:rPr>
        <w:t> </w:t>
      </w:r>
      <w:r>
        <w:rPr/>
        <w:t>igual</w:t>
      </w:r>
      <w:r>
        <w:rPr>
          <w:spacing w:val="-5"/>
        </w:rPr>
        <w:t> </w:t>
      </w:r>
      <w:r>
        <w:rPr/>
        <w:t>a</w:t>
      </w:r>
      <w:r>
        <w:rPr>
          <w:spacing w:val="-4"/>
        </w:rPr>
        <w:t> </w:t>
      </w:r>
      <w:r>
        <w:rPr/>
        <w:t>uno,</w:t>
      </w:r>
      <w:r>
        <w:rPr>
          <w:spacing w:val="-4"/>
        </w:rPr>
        <w:t> </w:t>
      </w:r>
      <w:r>
        <w:rPr/>
        <w:t>pero</w:t>
      </w:r>
      <w:r>
        <w:rPr>
          <w:spacing w:val="-4"/>
        </w:rPr>
        <w:t> </w:t>
      </w:r>
      <w:r>
        <w:rPr/>
        <w:t>el</w:t>
      </w:r>
      <w:r>
        <w:rPr>
          <w:spacing w:val="-4"/>
        </w:rPr>
        <w:t> </w:t>
      </w:r>
      <w:r>
        <w:rPr/>
        <w:t>mo- nopolio opera en el tramo elástico de la curva de demanda), es decir, a menos que se</w:t>
      </w:r>
      <w:r>
        <w:rPr>
          <w:spacing w:val="-8"/>
        </w:rPr>
        <w:t> </w:t>
      </w:r>
      <w:r>
        <w:rPr/>
        <w:t>tenga</w:t>
      </w:r>
      <w:r>
        <w:rPr>
          <w:spacing w:val="-8"/>
        </w:rPr>
        <w:t> </w:t>
      </w:r>
      <w:r>
        <w:rPr/>
        <w:t>un</w:t>
      </w:r>
      <w:r>
        <w:rPr>
          <w:spacing w:val="-8"/>
        </w:rPr>
        <w:t> </w:t>
      </w:r>
      <w:r>
        <w:rPr/>
        <w:t>conocimiento</w:t>
      </w:r>
      <w:r>
        <w:rPr>
          <w:spacing w:val="-8"/>
        </w:rPr>
        <w:t> </w:t>
      </w:r>
      <w:r>
        <w:rPr/>
        <w:t>preciso</w:t>
      </w:r>
      <w:r>
        <w:rPr>
          <w:spacing w:val="-8"/>
        </w:rPr>
        <w:t> </w:t>
      </w:r>
      <w:r>
        <w:rPr/>
        <w:t>sobre</w:t>
      </w:r>
      <w:r>
        <w:rPr>
          <w:spacing w:val="-8"/>
        </w:rPr>
        <w:t> </w:t>
      </w:r>
      <w:r>
        <w:rPr/>
        <w:t>esta</w:t>
      </w:r>
      <w:r>
        <w:rPr>
          <w:spacing w:val="-8"/>
        </w:rPr>
        <w:t> </w:t>
      </w:r>
      <w:r>
        <w:rPr/>
        <w:t>elasticidad</w:t>
      </w:r>
      <w:r>
        <w:rPr>
          <w:spacing w:val="-8"/>
        </w:rPr>
        <w:t> </w:t>
      </w:r>
      <w:r>
        <w:rPr/>
        <w:t>es</w:t>
      </w:r>
      <w:r>
        <w:rPr>
          <w:spacing w:val="-8"/>
        </w:rPr>
        <w:t> </w:t>
      </w:r>
      <w:r>
        <w:rPr/>
        <w:t>difícil</w:t>
      </w:r>
      <w:r>
        <w:rPr>
          <w:spacing w:val="-8"/>
        </w:rPr>
        <w:t> </w:t>
      </w:r>
      <w:r>
        <w:rPr/>
        <w:t>saber</w:t>
      </w:r>
      <w:r>
        <w:rPr>
          <w:spacing w:val="-8"/>
        </w:rPr>
        <w:t> </w:t>
      </w:r>
      <w:r>
        <w:rPr/>
        <w:t>qué</w:t>
      </w:r>
      <w:r>
        <w:rPr>
          <w:spacing w:val="-8"/>
        </w:rPr>
        <w:t> </w:t>
      </w:r>
      <w:r>
        <w:rPr/>
        <w:t>tanto</w:t>
      </w:r>
      <w:r>
        <w:rPr>
          <w:spacing w:val="-8"/>
        </w:rPr>
        <w:t> </w:t>
      </w:r>
      <w:r>
        <w:rPr/>
        <w:t>se puede</w:t>
      </w:r>
      <w:r>
        <w:rPr>
          <w:spacing w:val="-4"/>
        </w:rPr>
        <w:t> </w:t>
      </w:r>
      <w:r>
        <w:rPr/>
        <w:t>mejorar</w:t>
      </w:r>
      <w:r>
        <w:rPr>
          <w:spacing w:val="-4"/>
        </w:rPr>
        <w:t> </w:t>
      </w:r>
      <w:r>
        <w:rPr/>
        <w:t>la</w:t>
      </w:r>
      <w:r>
        <w:rPr>
          <w:spacing w:val="-4"/>
        </w:rPr>
        <w:t> </w:t>
      </w:r>
      <w:r>
        <w:rPr/>
        <w:t>estimación.</w:t>
      </w:r>
      <w:r>
        <w:rPr>
          <w:spacing w:val="-4"/>
        </w:rPr>
        <w:t> </w:t>
      </w:r>
      <w:r>
        <w:rPr/>
        <w:t>En</w:t>
      </w:r>
      <w:r>
        <w:rPr>
          <w:spacing w:val="-4"/>
        </w:rPr>
        <w:t> </w:t>
      </w:r>
      <w:r>
        <w:rPr/>
        <w:t>este</w:t>
      </w:r>
      <w:r>
        <w:rPr>
          <w:spacing w:val="-4"/>
        </w:rPr>
        <w:t> </w:t>
      </w:r>
      <w:r>
        <w:rPr/>
        <w:t>sentido,</w:t>
      </w:r>
      <w:r>
        <w:rPr>
          <w:spacing w:val="-4"/>
        </w:rPr>
        <w:t> </w:t>
      </w:r>
      <w:r>
        <w:rPr/>
        <w:t>la</w:t>
      </w:r>
      <w:r>
        <w:rPr>
          <w:spacing w:val="-4"/>
        </w:rPr>
        <w:t> </w:t>
      </w:r>
      <w:r>
        <w:rPr/>
        <w:t>metodología</w:t>
      </w:r>
      <w:r>
        <w:rPr>
          <w:spacing w:val="-4"/>
        </w:rPr>
        <w:t> </w:t>
      </w:r>
      <w:r>
        <w:rPr/>
        <w:t>de</w:t>
      </w:r>
      <w:r>
        <w:rPr>
          <w:spacing w:val="-4"/>
        </w:rPr>
        <w:t> </w:t>
      </w:r>
      <w:r>
        <w:rPr/>
        <w:t>Cowling</w:t>
      </w:r>
      <w:r>
        <w:rPr>
          <w:spacing w:val="-4"/>
        </w:rPr>
        <w:t> </w:t>
      </w:r>
      <w:r>
        <w:rPr/>
        <w:t>y</w:t>
      </w:r>
      <w:r>
        <w:rPr>
          <w:spacing w:val="-4"/>
        </w:rPr>
        <w:t> </w:t>
      </w:r>
      <w:r>
        <w:rPr/>
        <w:t>Muller es más apropiada porque elude el problema de asumir una elasticidad precio de la demanda</w:t>
      </w:r>
      <w:r>
        <w:rPr>
          <w:spacing w:val="-21"/>
        </w:rPr>
        <w:t> </w:t>
      </w:r>
      <w:r>
        <w:rPr/>
        <w:t>determinada.</w:t>
      </w:r>
      <w:r>
        <w:rPr>
          <w:spacing w:val="-21"/>
        </w:rPr>
        <w:t> </w:t>
      </w:r>
      <w:r>
        <w:rPr/>
        <w:t>Estima</w:t>
      </w:r>
      <w:r>
        <w:rPr>
          <w:spacing w:val="-21"/>
        </w:rPr>
        <w:t> </w:t>
      </w:r>
      <w:r>
        <w:rPr/>
        <w:t>la</w:t>
      </w:r>
      <w:r>
        <w:rPr>
          <w:spacing w:val="-21"/>
        </w:rPr>
        <w:t> </w:t>
      </w:r>
      <w:r>
        <w:rPr/>
        <w:t>pérdida</w:t>
      </w:r>
      <w:r>
        <w:rPr>
          <w:spacing w:val="-21"/>
        </w:rPr>
        <w:t> </w:t>
      </w:r>
      <w:r>
        <w:rPr/>
        <w:t>de</w:t>
      </w:r>
      <w:r>
        <w:rPr>
          <w:spacing w:val="-21"/>
        </w:rPr>
        <w:t> </w:t>
      </w:r>
      <w:r>
        <w:rPr/>
        <w:t>bienestar</w:t>
      </w:r>
      <w:r>
        <w:rPr>
          <w:spacing w:val="-21"/>
        </w:rPr>
        <w:t> </w:t>
      </w:r>
      <w:r>
        <w:rPr/>
        <w:t>social</w:t>
      </w:r>
      <w:r>
        <w:rPr>
          <w:spacing w:val="-21"/>
        </w:rPr>
        <w:t> </w:t>
      </w:r>
      <w:r>
        <w:rPr/>
        <w:t>con</w:t>
      </w:r>
      <w:r>
        <w:rPr>
          <w:spacing w:val="-21"/>
        </w:rPr>
        <w:t> </w:t>
      </w:r>
      <w:r>
        <w:rPr/>
        <w:t>base</w:t>
      </w:r>
      <w:r>
        <w:rPr>
          <w:spacing w:val="-21"/>
        </w:rPr>
        <w:t> </w:t>
      </w:r>
      <w:r>
        <w:rPr/>
        <w:t>en</w:t>
      </w:r>
      <w:r>
        <w:rPr>
          <w:spacing w:val="-21"/>
        </w:rPr>
        <w:t> </w:t>
      </w:r>
      <w:r>
        <w:rPr/>
        <w:t>el</w:t>
      </w:r>
      <w:r>
        <w:rPr>
          <w:spacing w:val="-21"/>
        </w:rPr>
        <w:t> </w:t>
      </w:r>
      <w:r>
        <w:rPr/>
        <w:t>beneﬁcio económico</w:t>
      </w:r>
      <w:r>
        <w:rPr>
          <w:spacing w:val="-23"/>
        </w:rPr>
        <w:t> </w:t>
      </w:r>
      <w:r>
        <w:rPr/>
        <w:t>extra</w:t>
      </w:r>
      <w:r>
        <w:rPr>
          <w:spacing w:val="-23"/>
        </w:rPr>
        <w:t> </w:t>
      </w:r>
      <w:r>
        <w:rPr/>
        <w:t>normal</w:t>
      </w:r>
      <w:r>
        <w:rPr>
          <w:spacing w:val="-23"/>
        </w:rPr>
        <w:t> </w:t>
      </w:r>
      <w:r>
        <w:rPr/>
        <w:t>del</w:t>
      </w:r>
      <w:r>
        <w:rPr>
          <w:spacing w:val="-23"/>
        </w:rPr>
        <w:t> </w:t>
      </w:r>
      <w:r>
        <w:rPr/>
        <w:t>monopolio,</w:t>
      </w:r>
      <w:r>
        <w:rPr>
          <w:spacing w:val="-23"/>
        </w:rPr>
        <w:t> </w:t>
      </w:r>
      <w:r>
        <w:rPr/>
        <w:t>es</w:t>
      </w:r>
      <w:r>
        <w:rPr>
          <w:spacing w:val="-23"/>
        </w:rPr>
        <w:t> </w:t>
      </w:r>
      <w:r>
        <w:rPr/>
        <w:t>decir</w:t>
      </w:r>
      <w:r>
        <w:rPr>
          <w:spacing w:val="-23"/>
        </w:rPr>
        <w:t> </w:t>
      </w:r>
      <w:r>
        <w:rPr/>
        <w:t>el</w:t>
      </w:r>
      <w:r>
        <w:rPr>
          <w:spacing w:val="-23"/>
        </w:rPr>
        <w:t> </w:t>
      </w:r>
      <w:r>
        <w:rPr/>
        <w:t>rendimiento</w:t>
      </w:r>
      <w:r>
        <w:rPr>
          <w:spacing w:val="-23"/>
        </w:rPr>
        <w:t> </w:t>
      </w:r>
      <w:r>
        <w:rPr/>
        <w:t>que</w:t>
      </w:r>
      <w:r>
        <w:rPr>
          <w:spacing w:val="-22"/>
        </w:rPr>
        <w:t> </w:t>
      </w:r>
      <w:r>
        <w:rPr/>
        <w:t>t</w:t>
      </w:r>
      <w:r>
        <w:rPr>
          <w:spacing w:val="-18"/>
        </w:rPr>
        <w:t> </w:t>
      </w:r>
      <w:r>
        <w:rPr>
          <w:spacing w:val="4"/>
        </w:rPr>
        <w:t>el</w:t>
      </w:r>
      <w:r>
        <w:rPr>
          <w:spacing w:val="-18"/>
        </w:rPr>
        <w:t> </w:t>
      </w:r>
      <w:r>
        <w:rPr>
          <w:spacing w:val="-3"/>
        </w:rPr>
        <w:t>mex</w:t>
      </w:r>
      <w:r>
        <w:rPr>
          <w:spacing w:val="-9"/>
        </w:rPr>
        <w:t> </w:t>
      </w:r>
      <w:r>
        <w:rPr/>
        <w:t>obtiene (sobre</w:t>
      </w:r>
      <w:r>
        <w:rPr>
          <w:spacing w:val="-15"/>
        </w:rPr>
        <w:t> </w:t>
      </w:r>
      <w:r>
        <w:rPr/>
        <w:t>sus</w:t>
      </w:r>
      <w:r>
        <w:rPr>
          <w:spacing w:val="-15"/>
        </w:rPr>
        <w:t> </w:t>
      </w:r>
      <w:r>
        <w:rPr/>
        <w:t>activos)</w:t>
      </w:r>
      <w:r>
        <w:rPr>
          <w:spacing w:val="-15"/>
        </w:rPr>
        <w:t> </w:t>
      </w:r>
      <w:r>
        <w:rPr/>
        <w:t>por</w:t>
      </w:r>
      <w:r>
        <w:rPr>
          <w:spacing w:val="-15"/>
        </w:rPr>
        <w:t> </w:t>
      </w:r>
      <w:r>
        <w:rPr/>
        <w:t>encima</w:t>
      </w:r>
      <w:r>
        <w:rPr>
          <w:spacing w:val="-15"/>
        </w:rPr>
        <w:t> </w:t>
      </w:r>
      <w:r>
        <w:rPr/>
        <w:t>del</w:t>
      </w:r>
      <w:r>
        <w:rPr>
          <w:spacing w:val="-15"/>
        </w:rPr>
        <w:t> </w:t>
      </w:r>
      <w:r>
        <w:rPr/>
        <w:t>“rendimiento</w:t>
      </w:r>
      <w:r>
        <w:rPr>
          <w:spacing w:val="-15"/>
        </w:rPr>
        <w:t> </w:t>
      </w:r>
      <w:r>
        <w:rPr/>
        <w:t>normal”</w:t>
      </w:r>
      <w:r>
        <w:rPr>
          <w:spacing w:val="-15"/>
        </w:rPr>
        <w:t> </w:t>
      </w:r>
      <w:r>
        <w:rPr/>
        <w:t>que</w:t>
      </w:r>
      <w:r>
        <w:rPr>
          <w:spacing w:val="-15"/>
        </w:rPr>
        <w:t> </w:t>
      </w:r>
      <w:r>
        <w:rPr/>
        <w:t>se</w:t>
      </w:r>
      <w:r>
        <w:rPr>
          <w:spacing w:val="-16"/>
        </w:rPr>
        <w:t> </w:t>
      </w:r>
      <w:r>
        <w:rPr/>
        <w:t>considera</w:t>
      </w:r>
      <w:r>
        <w:rPr>
          <w:spacing w:val="-15"/>
        </w:rPr>
        <w:t> </w:t>
      </w:r>
      <w:r>
        <w:rPr/>
        <w:t>tiene</w:t>
      </w:r>
      <w:r>
        <w:rPr>
          <w:spacing w:val="-17"/>
        </w:rPr>
        <w:t> </w:t>
      </w:r>
      <w:r>
        <w:rPr>
          <w:spacing w:val="6"/>
        </w:rPr>
        <w:t>sbc </w:t>
      </w:r>
      <w:r>
        <w:rPr/>
        <w:t>o cualquier otra empresa con la que se le compare, y que se considera opera en un mercado “más” competitivo.</w:t>
      </w:r>
    </w:p>
    <w:p>
      <w:pPr>
        <w:pStyle w:val="BodyText"/>
        <w:spacing w:before="9"/>
        <w:rPr>
          <w:sz w:val="20"/>
        </w:rPr>
      </w:pPr>
    </w:p>
    <w:p>
      <w:pPr>
        <w:pStyle w:val="Heading1"/>
        <w:numPr>
          <w:ilvl w:val="0"/>
          <w:numId w:val="1"/>
        </w:numPr>
        <w:tabs>
          <w:tab w:pos="337" w:val="left" w:leader="none"/>
        </w:tabs>
        <w:spacing w:line="240" w:lineRule="auto" w:before="0" w:after="0"/>
        <w:ind w:left="337" w:right="0" w:hanging="220"/>
        <w:jc w:val="both"/>
      </w:pPr>
      <w:r>
        <w:rPr/>
        <w:t>Estimación del costo social del monopolio de </w:t>
      </w:r>
      <w:r>
        <w:rPr>
          <w:spacing w:val="-4"/>
        </w:rPr>
        <w:t>Telmex</w:t>
      </w:r>
      <w:r>
        <w:rPr>
          <w:spacing w:val="-2"/>
        </w:rPr>
        <w:t> </w:t>
      </w:r>
      <w:r>
        <w:rPr/>
        <w:t>utilizando</w:t>
      </w:r>
    </w:p>
    <w:p>
      <w:pPr>
        <w:spacing w:before="11"/>
        <w:ind w:left="117" w:right="0" w:firstLine="0"/>
        <w:jc w:val="both"/>
        <w:rPr>
          <w:b/>
          <w:sz w:val="22"/>
        </w:rPr>
      </w:pPr>
      <w:r>
        <w:rPr>
          <w:b/>
          <w:sz w:val="22"/>
        </w:rPr>
        <w:t>el retorno sobre activos de empresas de países distintos a Estados Unidos</w:t>
      </w:r>
    </w:p>
    <w:p>
      <w:pPr>
        <w:pStyle w:val="BodyText"/>
        <w:spacing w:before="7"/>
        <w:rPr>
          <w:b/>
          <w:sz w:val="21"/>
        </w:rPr>
      </w:pPr>
    </w:p>
    <w:p>
      <w:pPr>
        <w:pStyle w:val="BodyText"/>
        <w:spacing w:line="249" w:lineRule="auto"/>
        <w:ind w:left="116" w:right="111"/>
        <w:jc w:val="both"/>
      </w:pPr>
      <w:r>
        <w:rPr>
          <w:spacing w:val="3"/>
        </w:rPr>
        <w:t>Este apartado considera </w:t>
      </w:r>
      <w:r>
        <w:rPr/>
        <w:t>el </w:t>
      </w:r>
      <w:r>
        <w:rPr>
          <w:spacing w:val="3"/>
        </w:rPr>
        <w:t>cálculo </w:t>
      </w:r>
      <w:r>
        <w:rPr>
          <w:spacing w:val="2"/>
        </w:rPr>
        <w:t>del </w:t>
      </w:r>
      <w:r>
        <w:rPr>
          <w:spacing w:val="3"/>
        </w:rPr>
        <w:t>costo social </w:t>
      </w:r>
      <w:r>
        <w:rPr>
          <w:spacing w:val="2"/>
        </w:rPr>
        <w:t>del </w:t>
      </w:r>
      <w:r>
        <w:rPr>
          <w:spacing w:val="3"/>
        </w:rPr>
        <w:t>monopolio </w:t>
      </w:r>
      <w:r>
        <w:rPr/>
        <w:t>de </w:t>
      </w:r>
      <w:r>
        <w:rPr>
          <w:spacing w:val="-3"/>
        </w:rPr>
        <w:t>Telmex </w:t>
      </w:r>
      <w:r>
        <w:rPr/>
        <w:t>utilizando</w:t>
      </w:r>
      <w:r>
        <w:rPr>
          <w:spacing w:val="-21"/>
        </w:rPr>
        <w:t> </w:t>
      </w:r>
      <w:r>
        <w:rPr/>
        <w:t>los</w:t>
      </w:r>
      <w:r>
        <w:rPr>
          <w:spacing w:val="-21"/>
        </w:rPr>
        <w:t> </w:t>
      </w:r>
      <w:r>
        <w:rPr/>
        <w:t>datos</w:t>
      </w:r>
      <w:r>
        <w:rPr>
          <w:spacing w:val="-21"/>
        </w:rPr>
        <w:t> </w:t>
      </w:r>
      <w:r>
        <w:rPr/>
        <w:t>de</w:t>
      </w:r>
      <w:r>
        <w:rPr>
          <w:spacing w:val="-21"/>
        </w:rPr>
        <w:t> </w:t>
      </w:r>
      <w:r>
        <w:rPr/>
        <w:t>compañías</w:t>
      </w:r>
      <w:r>
        <w:rPr>
          <w:spacing w:val="-21"/>
        </w:rPr>
        <w:t> </w:t>
      </w:r>
      <w:r>
        <w:rPr/>
        <w:t>telefónicas</w:t>
      </w:r>
      <w:r>
        <w:rPr>
          <w:spacing w:val="-21"/>
        </w:rPr>
        <w:t> </w:t>
      </w:r>
      <w:r>
        <w:rPr/>
        <w:t>cuya</w:t>
      </w:r>
      <w:r>
        <w:rPr>
          <w:spacing w:val="-21"/>
        </w:rPr>
        <w:t> </w:t>
      </w:r>
      <w:r>
        <w:rPr/>
        <w:t>operación</w:t>
      </w:r>
      <w:r>
        <w:rPr>
          <w:spacing w:val="-21"/>
        </w:rPr>
        <w:t> </w:t>
      </w:r>
      <w:r>
        <w:rPr/>
        <w:t>se</w:t>
      </w:r>
      <w:r>
        <w:rPr>
          <w:spacing w:val="-21"/>
        </w:rPr>
        <w:t> </w:t>
      </w:r>
      <w:r>
        <w:rPr/>
        <w:t>realiza</w:t>
      </w:r>
      <w:r>
        <w:rPr>
          <w:spacing w:val="-21"/>
        </w:rPr>
        <w:t> </w:t>
      </w:r>
      <w:r>
        <w:rPr/>
        <w:t>en</w:t>
      </w:r>
      <w:r>
        <w:rPr>
          <w:spacing w:val="-21"/>
        </w:rPr>
        <w:t> </w:t>
      </w:r>
      <w:r>
        <w:rPr/>
        <w:t>mercados </w:t>
      </w:r>
      <w:r>
        <w:rPr>
          <w:spacing w:val="2"/>
        </w:rPr>
        <w:t>distintos </w:t>
      </w:r>
      <w:r>
        <w:rPr/>
        <w:t>al </w:t>
      </w:r>
      <w:r>
        <w:rPr>
          <w:spacing w:val="2"/>
        </w:rPr>
        <w:t>estadounidense, principalmente sudamericanas, </w:t>
      </w:r>
      <w:r>
        <w:rPr/>
        <w:t>en </w:t>
      </w:r>
      <w:r>
        <w:rPr>
          <w:spacing w:val="2"/>
        </w:rPr>
        <w:t>donde </w:t>
      </w:r>
      <w:r>
        <w:rPr/>
        <w:t>sería posi- </w:t>
      </w:r>
      <w:r>
        <w:rPr>
          <w:spacing w:val="2"/>
        </w:rPr>
        <w:t>ble </w:t>
      </w:r>
      <w:r>
        <w:rPr>
          <w:spacing w:val="3"/>
        </w:rPr>
        <w:t>encontrar cierto grado </w:t>
      </w:r>
      <w:r>
        <w:rPr/>
        <w:t>de </w:t>
      </w:r>
      <w:r>
        <w:rPr>
          <w:spacing w:val="3"/>
        </w:rPr>
        <w:t>poder monopólico </w:t>
      </w:r>
      <w:r>
        <w:rPr>
          <w:spacing w:val="2"/>
        </w:rPr>
        <w:t>por </w:t>
      </w:r>
      <w:r>
        <w:rPr>
          <w:spacing w:val="3"/>
        </w:rPr>
        <w:t>parte </w:t>
      </w:r>
      <w:r>
        <w:rPr/>
        <w:t>de </w:t>
      </w:r>
      <w:r>
        <w:rPr>
          <w:spacing w:val="3"/>
        </w:rPr>
        <w:t>alguna </w:t>
      </w:r>
      <w:r>
        <w:rPr>
          <w:spacing w:val="41"/>
        </w:rPr>
        <w:t> </w:t>
      </w:r>
      <w:r>
        <w:rPr>
          <w:spacing w:val="3"/>
        </w:rPr>
        <w:t>empresa.</w:t>
      </w:r>
    </w:p>
    <w:p>
      <w:pPr>
        <w:pStyle w:val="BodyText"/>
        <w:spacing w:line="249" w:lineRule="auto" w:before="1"/>
        <w:ind w:left="116" w:right="114" w:firstLine="850"/>
        <w:jc w:val="both"/>
      </w:pPr>
      <w:r>
        <w:rPr/>
        <w:t>En</w:t>
      </w:r>
      <w:r>
        <w:rPr>
          <w:spacing w:val="-16"/>
        </w:rPr>
        <w:t> </w:t>
      </w:r>
      <w:r>
        <w:rPr/>
        <w:t>el</w:t>
      </w:r>
      <w:r>
        <w:rPr>
          <w:spacing w:val="-17"/>
        </w:rPr>
        <w:t> </w:t>
      </w:r>
      <w:r>
        <w:rPr/>
        <w:t>Cuadro</w:t>
      </w:r>
      <w:r>
        <w:rPr>
          <w:spacing w:val="-16"/>
        </w:rPr>
        <w:t> </w:t>
      </w:r>
      <w:r>
        <w:rPr/>
        <w:t>2</w:t>
      </w:r>
      <w:r>
        <w:rPr>
          <w:spacing w:val="-16"/>
        </w:rPr>
        <w:t> </w:t>
      </w:r>
      <w:r>
        <w:rPr/>
        <w:t>es</w:t>
      </w:r>
      <w:r>
        <w:rPr>
          <w:spacing w:val="-16"/>
        </w:rPr>
        <w:t> </w:t>
      </w:r>
      <w:r>
        <w:rPr/>
        <w:t>posible</w:t>
      </w:r>
      <w:r>
        <w:rPr>
          <w:spacing w:val="-17"/>
        </w:rPr>
        <w:t> </w:t>
      </w:r>
      <w:r>
        <w:rPr/>
        <w:t>observar</w:t>
      </w:r>
      <w:r>
        <w:rPr>
          <w:spacing w:val="-16"/>
        </w:rPr>
        <w:t> </w:t>
      </w:r>
      <w:r>
        <w:rPr/>
        <w:t>el</w:t>
      </w:r>
      <w:r>
        <w:rPr>
          <w:spacing w:val="-17"/>
        </w:rPr>
        <w:t> </w:t>
      </w:r>
      <w:r>
        <w:rPr/>
        <w:t>rendimiento</w:t>
      </w:r>
      <w:r>
        <w:rPr>
          <w:spacing w:val="-16"/>
        </w:rPr>
        <w:t> </w:t>
      </w:r>
      <w:r>
        <w:rPr/>
        <w:t>sobre</w:t>
      </w:r>
      <w:r>
        <w:rPr>
          <w:spacing w:val="-17"/>
        </w:rPr>
        <w:t> </w:t>
      </w:r>
      <w:r>
        <w:rPr/>
        <w:t>activos</w:t>
      </w:r>
      <w:r>
        <w:rPr>
          <w:spacing w:val="-16"/>
        </w:rPr>
        <w:t> </w:t>
      </w:r>
      <w:r>
        <w:rPr/>
        <w:t>promedio de algunas empresas telefónicas seleccionadas de Canadá, Argentina, Brasil, Perú y Chile. En el caso de Perú, el rendimiento alcanza apenas una quinta parte del registrado por </w:t>
      </w:r>
      <w:r>
        <w:rPr>
          <w:spacing w:val="-3"/>
        </w:rPr>
        <w:t>Telmex. </w:t>
      </w:r>
      <w:r>
        <w:rPr/>
        <w:t>El grado de poder monopólico de la empresa mexicana se acentúa notoriamente al utilizar cifras de la empresa chilena seleccionada, ya que el rendimiento sobre sus activos es inferior en más de cuarenta veces al registrado por t </w:t>
      </w:r>
      <w:r>
        <w:rPr>
          <w:spacing w:val="4"/>
        </w:rPr>
        <w:t>el</w:t>
      </w:r>
      <w:r>
        <w:rPr>
          <w:spacing w:val="-15"/>
        </w:rPr>
        <w:t> </w:t>
      </w:r>
      <w:r>
        <w:rPr>
          <w:spacing w:val="2"/>
        </w:rPr>
        <w:t>mex.</w:t>
      </w:r>
    </w:p>
    <w:p>
      <w:pPr>
        <w:pStyle w:val="BodyText"/>
        <w:spacing w:before="9"/>
        <w:rPr>
          <w:sz w:val="20"/>
        </w:rPr>
      </w:pPr>
    </w:p>
    <w:p>
      <w:pPr>
        <w:pStyle w:val="Heading1"/>
        <w:jc w:val="both"/>
      </w:pPr>
      <w:r>
        <w:rPr/>
        <w:t>Conclusiones</w:t>
      </w:r>
    </w:p>
    <w:p>
      <w:pPr>
        <w:pStyle w:val="BodyText"/>
        <w:rPr>
          <w:b/>
        </w:rPr>
      </w:pPr>
    </w:p>
    <w:p>
      <w:pPr>
        <w:pStyle w:val="BodyText"/>
        <w:rPr>
          <w:b/>
        </w:rPr>
      </w:pPr>
    </w:p>
    <w:p>
      <w:pPr>
        <w:pStyle w:val="BodyText"/>
        <w:spacing w:before="9"/>
        <w:rPr>
          <w:b/>
          <w:sz w:val="26"/>
        </w:rPr>
      </w:pPr>
    </w:p>
    <w:p>
      <w:pPr>
        <w:spacing w:line="195" w:lineRule="exact" w:before="0"/>
        <w:ind w:left="287" w:right="115" w:firstLine="0"/>
        <w:jc w:val="left"/>
        <w:rPr>
          <w:sz w:val="16"/>
        </w:rPr>
      </w:pPr>
      <w:r>
        <w:rPr>
          <w:position w:val="6"/>
          <w:sz w:val="11"/>
        </w:rPr>
        <w:t>5 </w:t>
      </w:r>
      <w:r>
        <w:rPr>
          <w:sz w:val="16"/>
        </w:rPr>
        <w:t>Cowling y Mueller (1978).</w:t>
      </w:r>
    </w:p>
    <w:p>
      <w:pPr>
        <w:spacing w:line="192" w:lineRule="exact" w:before="0"/>
        <w:ind w:left="287" w:right="115" w:firstLine="0"/>
        <w:jc w:val="left"/>
        <w:rPr>
          <w:sz w:val="16"/>
        </w:rPr>
      </w:pPr>
      <w:r>
        <w:rPr>
          <w:position w:val="6"/>
          <w:sz w:val="11"/>
        </w:rPr>
        <w:t>6 </w:t>
      </w:r>
      <w:r>
        <w:rPr>
          <w:sz w:val="16"/>
        </w:rPr>
        <w:t>Harberger (1954).</w:t>
      </w:r>
    </w:p>
    <w:p>
      <w:pPr>
        <w:spacing w:line="192" w:lineRule="exact" w:before="0"/>
        <w:ind w:left="287" w:right="115" w:firstLine="0"/>
        <w:jc w:val="left"/>
        <w:rPr>
          <w:sz w:val="16"/>
        </w:rPr>
      </w:pPr>
      <w:r>
        <w:rPr>
          <w:position w:val="6"/>
          <w:sz w:val="11"/>
        </w:rPr>
        <w:t>7 </w:t>
      </w:r>
      <w:r>
        <w:rPr>
          <w:sz w:val="16"/>
        </w:rPr>
        <w:t>Cowling y Muller (1978).</w:t>
      </w:r>
    </w:p>
    <w:p>
      <w:pPr>
        <w:spacing w:line="195" w:lineRule="exact" w:before="0"/>
        <w:ind w:left="287" w:right="51" w:firstLine="0"/>
        <w:jc w:val="left"/>
        <w:rPr>
          <w:sz w:val="16"/>
        </w:rPr>
      </w:pPr>
      <w:r>
        <w:rPr>
          <w:position w:val="6"/>
          <w:sz w:val="11"/>
        </w:rPr>
        <w:t>8</w:t>
      </w:r>
      <w:r>
        <w:rPr>
          <w:spacing w:val="4"/>
          <w:position w:val="6"/>
          <w:sz w:val="11"/>
        </w:rPr>
        <w:t> </w:t>
      </w:r>
      <w:r>
        <w:rPr>
          <w:sz w:val="16"/>
        </w:rPr>
        <w:t>Incluir</w:t>
      </w:r>
      <w:r>
        <w:rPr>
          <w:spacing w:val="-8"/>
          <w:sz w:val="16"/>
        </w:rPr>
        <w:t> </w:t>
      </w:r>
      <w:r>
        <w:rPr>
          <w:sz w:val="16"/>
        </w:rPr>
        <w:t>los</w:t>
      </w:r>
      <w:r>
        <w:rPr>
          <w:spacing w:val="-8"/>
          <w:sz w:val="16"/>
        </w:rPr>
        <w:t> </w:t>
      </w:r>
      <w:r>
        <w:rPr>
          <w:sz w:val="16"/>
        </w:rPr>
        <w:t>gastos</w:t>
      </w:r>
      <w:r>
        <w:rPr>
          <w:spacing w:val="-8"/>
          <w:sz w:val="16"/>
        </w:rPr>
        <w:t> </w:t>
      </w:r>
      <w:r>
        <w:rPr>
          <w:sz w:val="16"/>
        </w:rPr>
        <w:t>de</w:t>
      </w:r>
      <w:r>
        <w:rPr>
          <w:spacing w:val="-8"/>
          <w:sz w:val="16"/>
        </w:rPr>
        <w:t> </w:t>
      </w:r>
      <w:r>
        <w:rPr>
          <w:sz w:val="16"/>
        </w:rPr>
        <w:t>publicidad</w:t>
      </w:r>
      <w:r>
        <w:rPr>
          <w:spacing w:val="-9"/>
          <w:sz w:val="16"/>
        </w:rPr>
        <w:t> </w:t>
      </w:r>
      <w:r>
        <w:rPr>
          <w:sz w:val="16"/>
        </w:rPr>
        <w:t>en</w:t>
      </w:r>
      <w:r>
        <w:rPr>
          <w:spacing w:val="-8"/>
          <w:sz w:val="16"/>
        </w:rPr>
        <w:t> </w:t>
      </w:r>
      <w:r>
        <w:rPr>
          <w:sz w:val="16"/>
        </w:rPr>
        <w:t>el</w:t>
      </w:r>
      <w:r>
        <w:rPr>
          <w:spacing w:val="-8"/>
          <w:sz w:val="16"/>
        </w:rPr>
        <w:t> </w:t>
      </w:r>
      <w:r>
        <w:rPr>
          <w:sz w:val="16"/>
        </w:rPr>
        <w:t>costo</w:t>
      </w:r>
      <w:r>
        <w:rPr>
          <w:spacing w:val="-8"/>
          <w:sz w:val="16"/>
        </w:rPr>
        <w:t> </w:t>
      </w:r>
      <w:r>
        <w:rPr>
          <w:sz w:val="16"/>
        </w:rPr>
        <w:t>social</w:t>
      </w:r>
      <w:r>
        <w:rPr>
          <w:spacing w:val="-8"/>
          <w:sz w:val="16"/>
        </w:rPr>
        <w:t> </w:t>
      </w:r>
      <w:r>
        <w:rPr>
          <w:sz w:val="16"/>
        </w:rPr>
        <w:t>del</w:t>
      </w:r>
      <w:r>
        <w:rPr>
          <w:spacing w:val="-8"/>
          <w:sz w:val="16"/>
        </w:rPr>
        <w:t> </w:t>
      </w:r>
      <w:r>
        <w:rPr>
          <w:sz w:val="16"/>
        </w:rPr>
        <w:t>monopolio</w:t>
      </w:r>
      <w:r>
        <w:rPr>
          <w:spacing w:val="-8"/>
          <w:sz w:val="16"/>
        </w:rPr>
        <w:t> </w:t>
      </w:r>
      <w:r>
        <w:rPr>
          <w:sz w:val="16"/>
        </w:rPr>
        <w:t>equivale</w:t>
      </w:r>
      <w:r>
        <w:rPr>
          <w:spacing w:val="-9"/>
          <w:sz w:val="16"/>
        </w:rPr>
        <w:t> </w:t>
      </w:r>
      <w:r>
        <w:rPr>
          <w:sz w:val="16"/>
        </w:rPr>
        <w:t>a</w:t>
      </w:r>
      <w:r>
        <w:rPr>
          <w:spacing w:val="-8"/>
          <w:sz w:val="16"/>
        </w:rPr>
        <w:t> </w:t>
      </w:r>
      <w:r>
        <w:rPr>
          <w:sz w:val="16"/>
        </w:rPr>
        <w:t>considerar</w:t>
      </w:r>
      <w:r>
        <w:rPr>
          <w:spacing w:val="-8"/>
          <w:sz w:val="16"/>
        </w:rPr>
        <w:t> </w:t>
      </w:r>
      <w:r>
        <w:rPr>
          <w:sz w:val="16"/>
        </w:rPr>
        <w:t>que</w:t>
      </w:r>
      <w:r>
        <w:rPr>
          <w:spacing w:val="-8"/>
          <w:sz w:val="16"/>
        </w:rPr>
        <w:t> </w:t>
      </w:r>
      <w:r>
        <w:rPr>
          <w:sz w:val="16"/>
        </w:rPr>
        <w:t>tales</w:t>
      </w:r>
      <w:r>
        <w:rPr>
          <w:spacing w:val="-8"/>
          <w:sz w:val="16"/>
        </w:rPr>
        <w:t> </w:t>
      </w:r>
      <w:r>
        <w:rPr>
          <w:sz w:val="16"/>
        </w:rPr>
        <w:t>gastos</w:t>
      </w:r>
      <w:r>
        <w:rPr>
          <w:spacing w:val="-8"/>
          <w:sz w:val="16"/>
        </w:rPr>
        <w:t> </w:t>
      </w:r>
      <w:r>
        <w:rPr>
          <w:sz w:val="16"/>
        </w:rPr>
        <w:t>carecen</w:t>
      </w:r>
    </w:p>
    <w:p>
      <w:pPr>
        <w:spacing w:after="0" w:line="195" w:lineRule="exact"/>
        <w:jc w:val="left"/>
        <w:rPr>
          <w:sz w:val="16"/>
        </w:rPr>
        <w:sectPr>
          <w:pgSz w:w="9360" w:h="12760"/>
          <w:pgMar w:header="771" w:footer="0" w:top="980" w:bottom="280" w:left="960" w:right="960"/>
        </w:sectPr>
      </w:pPr>
    </w:p>
    <w:p>
      <w:pPr>
        <w:pStyle w:val="BodyText"/>
        <w:rPr>
          <w:sz w:val="20"/>
        </w:rPr>
      </w:pPr>
    </w:p>
    <w:p>
      <w:pPr>
        <w:pStyle w:val="BodyText"/>
        <w:spacing w:before="9"/>
        <w:rPr>
          <w:sz w:val="15"/>
        </w:rPr>
      </w:pPr>
    </w:p>
    <w:p>
      <w:pPr>
        <w:pStyle w:val="BodyText"/>
        <w:spacing w:line="247" w:lineRule="auto" w:before="59"/>
        <w:ind w:left="116" w:right="114"/>
        <w:jc w:val="both"/>
      </w:pPr>
      <w:r>
        <w:rPr/>
        <w:t>El costo social de mantener el monopolio de </w:t>
      </w:r>
      <w:r>
        <w:rPr>
          <w:sz w:val="17"/>
        </w:rPr>
        <w:t>TELMEX </w:t>
      </w:r>
      <w:r>
        <w:rPr/>
        <w:t>en telefonía ﬁja local no es insigniﬁcante,</w:t>
      </w:r>
      <w:r>
        <w:rPr>
          <w:position w:val="9"/>
          <w:sz w:val="15"/>
        </w:rPr>
        <w:t>9</w:t>
      </w:r>
      <w:r>
        <w:rPr>
          <w:spacing w:val="-3"/>
          <w:position w:val="9"/>
          <w:sz w:val="15"/>
        </w:rPr>
        <w:t> </w:t>
      </w:r>
      <w:r>
        <w:rPr/>
        <w:t>y</w:t>
      </w:r>
      <w:r>
        <w:rPr>
          <w:spacing w:val="-21"/>
        </w:rPr>
        <w:t> </w:t>
      </w:r>
      <w:r>
        <w:rPr/>
        <w:t>esto</w:t>
      </w:r>
      <w:r>
        <w:rPr>
          <w:spacing w:val="-21"/>
        </w:rPr>
        <w:t> </w:t>
      </w:r>
      <w:r>
        <w:rPr/>
        <w:t>se</w:t>
      </w:r>
      <w:r>
        <w:rPr>
          <w:spacing w:val="-21"/>
        </w:rPr>
        <w:t> </w:t>
      </w:r>
      <w:r>
        <w:rPr/>
        <w:t>traduce</w:t>
      </w:r>
      <w:r>
        <w:rPr>
          <w:spacing w:val="-21"/>
        </w:rPr>
        <w:t> </w:t>
      </w:r>
      <w:r>
        <w:rPr/>
        <w:t>en</w:t>
      </w:r>
      <w:r>
        <w:rPr>
          <w:spacing w:val="-21"/>
        </w:rPr>
        <w:t> </w:t>
      </w:r>
      <w:r>
        <w:rPr/>
        <w:t>un</w:t>
      </w:r>
      <w:r>
        <w:rPr>
          <w:spacing w:val="-21"/>
        </w:rPr>
        <w:t> </w:t>
      </w:r>
      <w:r>
        <w:rPr/>
        <w:t>lastre</w:t>
      </w:r>
      <w:r>
        <w:rPr>
          <w:spacing w:val="-21"/>
        </w:rPr>
        <w:t> </w:t>
      </w:r>
      <w:r>
        <w:rPr/>
        <w:t>para</w:t>
      </w:r>
      <w:r>
        <w:rPr>
          <w:spacing w:val="-21"/>
        </w:rPr>
        <w:t> </w:t>
      </w:r>
      <w:r>
        <w:rPr/>
        <w:t>el</w:t>
      </w:r>
      <w:r>
        <w:rPr>
          <w:spacing w:val="-21"/>
        </w:rPr>
        <w:t> </w:t>
      </w:r>
      <w:r>
        <w:rPr/>
        <w:t>desarrollo</w:t>
      </w:r>
      <w:r>
        <w:rPr>
          <w:spacing w:val="-21"/>
        </w:rPr>
        <w:t> </w:t>
      </w:r>
      <w:r>
        <w:rPr/>
        <w:t>de</w:t>
      </w:r>
      <w:r>
        <w:rPr>
          <w:spacing w:val="-21"/>
        </w:rPr>
        <w:t> </w:t>
      </w:r>
      <w:r>
        <w:rPr/>
        <w:t>cualquier</w:t>
      </w:r>
      <w:r>
        <w:rPr>
          <w:spacing w:val="-21"/>
        </w:rPr>
        <w:t> </w:t>
      </w:r>
      <w:r>
        <w:rPr/>
        <w:t>proyecto productivo</w:t>
      </w:r>
      <w:r>
        <w:rPr>
          <w:spacing w:val="-11"/>
        </w:rPr>
        <w:t> </w:t>
      </w:r>
      <w:r>
        <w:rPr/>
        <w:t>que</w:t>
      </w:r>
      <w:r>
        <w:rPr>
          <w:spacing w:val="-11"/>
        </w:rPr>
        <w:t> </w:t>
      </w:r>
      <w:r>
        <w:rPr/>
        <w:t>deba</w:t>
      </w:r>
      <w:r>
        <w:rPr>
          <w:spacing w:val="-11"/>
        </w:rPr>
        <w:t> </w:t>
      </w:r>
      <w:r>
        <w:rPr/>
        <w:t>hacer</w:t>
      </w:r>
      <w:r>
        <w:rPr>
          <w:spacing w:val="-11"/>
        </w:rPr>
        <w:t> </w:t>
      </w:r>
      <w:r>
        <w:rPr/>
        <w:t>uso</w:t>
      </w:r>
      <w:r>
        <w:rPr>
          <w:spacing w:val="-11"/>
        </w:rPr>
        <w:t> </w:t>
      </w:r>
      <w:r>
        <w:rPr/>
        <w:t>de</w:t>
      </w:r>
      <w:r>
        <w:rPr>
          <w:spacing w:val="-11"/>
        </w:rPr>
        <w:t> </w:t>
      </w:r>
      <w:r>
        <w:rPr/>
        <w:t>los</w:t>
      </w:r>
      <w:r>
        <w:rPr>
          <w:spacing w:val="-11"/>
        </w:rPr>
        <w:t> </w:t>
      </w:r>
      <w:r>
        <w:rPr/>
        <w:t>servicios</w:t>
      </w:r>
      <w:r>
        <w:rPr>
          <w:spacing w:val="-11"/>
        </w:rPr>
        <w:t> </w:t>
      </w:r>
      <w:r>
        <w:rPr/>
        <w:t>que</w:t>
      </w:r>
      <w:r>
        <w:rPr>
          <w:spacing w:val="-11"/>
        </w:rPr>
        <w:t> </w:t>
      </w:r>
      <w:r>
        <w:rPr/>
        <w:t>esta</w:t>
      </w:r>
      <w:r>
        <w:rPr>
          <w:spacing w:val="-11"/>
        </w:rPr>
        <w:t> </w:t>
      </w:r>
      <w:r>
        <w:rPr/>
        <w:t>empresa</w:t>
      </w:r>
      <w:r>
        <w:rPr>
          <w:spacing w:val="-11"/>
        </w:rPr>
        <w:t> </w:t>
      </w:r>
      <w:r>
        <w:rPr/>
        <w:t>ofrece.</w:t>
      </w:r>
      <w:r>
        <w:rPr>
          <w:spacing w:val="-11"/>
        </w:rPr>
        <w:t> </w:t>
      </w:r>
      <w:r>
        <w:rPr/>
        <w:t>Puesto</w:t>
      </w:r>
      <w:r>
        <w:rPr>
          <w:spacing w:val="-11"/>
        </w:rPr>
        <w:t> </w:t>
      </w:r>
      <w:r>
        <w:rPr/>
        <w:t>que los</w:t>
      </w:r>
      <w:r>
        <w:rPr>
          <w:spacing w:val="-4"/>
        </w:rPr>
        <w:t> </w:t>
      </w:r>
      <w:r>
        <w:rPr/>
        <w:t>servicios</w:t>
      </w:r>
      <w:r>
        <w:rPr>
          <w:spacing w:val="-4"/>
        </w:rPr>
        <w:t> </w:t>
      </w:r>
      <w:r>
        <w:rPr/>
        <w:t>de</w:t>
      </w:r>
      <w:r>
        <w:rPr>
          <w:spacing w:val="-4"/>
        </w:rPr>
        <w:t> </w:t>
      </w:r>
      <w:r>
        <w:rPr/>
        <w:t>telefonía</w:t>
      </w:r>
      <w:r>
        <w:rPr>
          <w:spacing w:val="-4"/>
        </w:rPr>
        <w:t> </w:t>
      </w:r>
      <w:r>
        <w:rPr/>
        <w:t>ﬁja</w:t>
      </w:r>
      <w:r>
        <w:rPr>
          <w:spacing w:val="-4"/>
        </w:rPr>
        <w:t> </w:t>
      </w:r>
      <w:r>
        <w:rPr/>
        <w:t>son</w:t>
      </w:r>
      <w:r>
        <w:rPr>
          <w:spacing w:val="-4"/>
        </w:rPr>
        <w:t> </w:t>
      </w:r>
      <w:r>
        <w:rPr/>
        <w:t>utilizados</w:t>
      </w:r>
      <w:r>
        <w:rPr>
          <w:spacing w:val="-4"/>
        </w:rPr>
        <w:t> </w:t>
      </w:r>
      <w:r>
        <w:rPr/>
        <w:t>por</w:t>
      </w:r>
      <w:r>
        <w:rPr>
          <w:spacing w:val="-4"/>
        </w:rPr>
        <w:t> </w:t>
      </w:r>
      <w:r>
        <w:rPr/>
        <w:t>la</w:t>
      </w:r>
      <w:r>
        <w:rPr>
          <w:spacing w:val="-4"/>
        </w:rPr>
        <w:t> </w:t>
      </w:r>
      <w:r>
        <w:rPr/>
        <w:t>gran</w:t>
      </w:r>
      <w:r>
        <w:rPr>
          <w:spacing w:val="-4"/>
        </w:rPr>
        <w:t> </w:t>
      </w:r>
      <w:r>
        <w:rPr/>
        <w:t>mayoría</w:t>
      </w:r>
      <w:r>
        <w:rPr>
          <w:spacing w:val="-4"/>
        </w:rPr>
        <w:t> </w:t>
      </w:r>
      <w:r>
        <w:rPr/>
        <w:t>de</w:t>
      </w:r>
      <w:r>
        <w:rPr>
          <w:spacing w:val="-4"/>
        </w:rPr>
        <w:t> </w:t>
      </w:r>
      <w:r>
        <w:rPr/>
        <w:t>las</w:t>
      </w:r>
      <w:r>
        <w:rPr>
          <w:spacing w:val="-4"/>
        </w:rPr>
        <w:t> </w:t>
      </w:r>
      <w:r>
        <w:rPr/>
        <w:t>empresas</w:t>
      </w:r>
      <w:r>
        <w:rPr>
          <w:spacing w:val="-4"/>
        </w:rPr>
        <w:t> </w:t>
      </w:r>
      <w:r>
        <w:rPr/>
        <w:t>(y los particulares), el costo del monopolio afecta a prácticamente toda la economía, elevando los costos de operación de las empresas e inhibiendo la inversión y la generación de empleos, especialmente en las pequeñas y medianas empresas que utilizan</w:t>
      </w:r>
      <w:r>
        <w:rPr>
          <w:spacing w:val="-27"/>
        </w:rPr>
        <w:t> </w:t>
      </w:r>
      <w:r>
        <w:rPr/>
        <w:t>intensivamente</w:t>
      </w:r>
      <w:r>
        <w:rPr>
          <w:spacing w:val="-27"/>
        </w:rPr>
        <w:t> </w:t>
      </w:r>
      <w:r>
        <w:rPr/>
        <w:t>este</w:t>
      </w:r>
      <w:r>
        <w:rPr>
          <w:spacing w:val="-27"/>
        </w:rPr>
        <w:t> </w:t>
      </w:r>
      <w:r>
        <w:rPr/>
        <w:t>servicio,</w:t>
      </w:r>
      <w:r>
        <w:rPr>
          <w:spacing w:val="-27"/>
        </w:rPr>
        <w:t> </w:t>
      </w:r>
      <w:r>
        <w:rPr/>
        <w:t>y</w:t>
      </w:r>
      <w:r>
        <w:rPr>
          <w:spacing w:val="-27"/>
        </w:rPr>
        <w:t> </w:t>
      </w:r>
      <w:r>
        <w:rPr/>
        <w:t>no</w:t>
      </w:r>
      <w:r>
        <w:rPr>
          <w:spacing w:val="-27"/>
        </w:rPr>
        <w:t> </w:t>
      </w:r>
      <w:r>
        <w:rPr/>
        <w:t>sólo</w:t>
      </w:r>
      <w:r>
        <w:rPr>
          <w:spacing w:val="-27"/>
        </w:rPr>
        <w:t> </w:t>
      </w:r>
      <w:r>
        <w:rPr/>
        <w:t>afectando</w:t>
      </w:r>
      <w:r>
        <w:rPr>
          <w:spacing w:val="-27"/>
        </w:rPr>
        <w:t> </w:t>
      </w:r>
      <w:r>
        <w:rPr/>
        <w:t>negativamente</w:t>
      </w:r>
      <w:r>
        <w:rPr>
          <w:spacing w:val="-27"/>
        </w:rPr>
        <w:t> </w:t>
      </w:r>
      <w:r>
        <w:rPr/>
        <w:t>el</w:t>
      </w:r>
      <w:r>
        <w:rPr>
          <w:spacing w:val="-27"/>
        </w:rPr>
        <w:t> </w:t>
      </w:r>
      <w:r>
        <w:rPr/>
        <w:t>bienestar de los consumidores residenciales.</w:t>
      </w:r>
    </w:p>
    <w:p>
      <w:pPr>
        <w:pStyle w:val="BodyText"/>
        <w:spacing w:line="249" w:lineRule="auto" w:before="3"/>
        <w:ind w:left="116" w:right="113" w:firstLine="850"/>
        <w:jc w:val="both"/>
      </w:pPr>
      <w:r>
        <w:rPr>
          <w:spacing w:val="-4"/>
        </w:rPr>
        <w:t>La </w:t>
      </w:r>
      <w:r>
        <w:rPr>
          <w:spacing w:val="-7"/>
        </w:rPr>
        <w:t>apertura </w:t>
      </w:r>
      <w:r>
        <w:rPr>
          <w:spacing w:val="-5"/>
        </w:rPr>
        <w:t>del </w:t>
      </w:r>
      <w:r>
        <w:rPr>
          <w:spacing w:val="-6"/>
        </w:rPr>
        <w:t>sector implica </w:t>
      </w:r>
      <w:r>
        <w:rPr>
          <w:spacing w:val="-4"/>
        </w:rPr>
        <w:t>un </w:t>
      </w:r>
      <w:r>
        <w:rPr>
          <w:spacing w:val="-6"/>
        </w:rPr>
        <w:t>periodo </w:t>
      </w:r>
      <w:r>
        <w:rPr>
          <w:spacing w:val="-4"/>
        </w:rPr>
        <w:t>de </w:t>
      </w:r>
      <w:r>
        <w:rPr>
          <w:spacing w:val="-7"/>
        </w:rPr>
        <w:t>transición </w:t>
      </w:r>
      <w:r>
        <w:rPr>
          <w:spacing w:val="-4"/>
        </w:rPr>
        <w:t>en </w:t>
      </w:r>
      <w:r>
        <w:rPr/>
        <w:t>donde una parte signiﬁcativa de los activos ﬁjos de </w:t>
      </w:r>
      <w:r>
        <w:rPr>
          <w:spacing w:val="-3"/>
        </w:rPr>
        <w:t>Telmex </w:t>
      </w:r>
      <w:r>
        <w:rPr/>
        <w:t>deberán ser utilizados por los nuevos participantes, lo que podría representar rentas elevadas y posibles barreras a la entrada de nuevos competidores, las cuales incrementarían aún más las ganancias monopólicas de </w:t>
      </w:r>
      <w:r>
        <w:rPr>
          <w:spacing w:val="-3"/>
        </w:rPr>
        <w:t>Telmex.</w:t>
      </w:r>
    </w:p>
    <w:p>
      <w:pPr>
        <w:pStyle w:val="BodyText"/>
        <w:spacing w:line="249" w:lineRule="auto" w:before="1"/>
        <w:ind w:left="116" w:right="114" w:firstLine="850"/>
        <w:jc w:val="both"/>
      </w:pPr>
      <w:r>
        <w:rPr/>
        <w:t>Así,</w:t>
      </w:r>
      <w:r>
        <w:rPr>
          <w:spacing w:val="-12"/>
        </w:rPr>
        <w:t> </w:t>
      </w:r>
      <w:r>
        <w:rPr/>
        <w:t>es</w:t>
      </w:r>
      <w:r>
        <w:rPr>
          <w:spacing w:val="-12"/>
        </w:rPr>
        <w:t> </w:t>
      </w:r>
      <w:r>
        <w:rPr/>
        <w:t>indispensable</w:t>
      </w:r>
      <w:r>
        <w:rPr>
          <w:spacing w:val="-13"/>
        </w:rPr>
        <w:t> </w:t>
      </w:r>
      <w:r>
        <w:rPr/>
        <w:t>promover</w:t>
      </w:r>
      <w:r>
        <w:rPr>
          <w:spacing w:val="-13"/>
        </w:rPr>
        <w:t> </w:t>
      </w:r>
      <w:r>
        <w:rPr/>
        <w:t>una</w:t>
      </w:r>
      <w:r>
        <w:rPr>
          <w:spacing w:val="-12"/>
        </w:rPr>
        <w:t> </w:t>
      </w:r>
      <w:r>
        <w:rPr/>
        <w:t>mayor</w:t>
      </w:r>
      <w:r>
        <w:rPr>
          <w:spacing w:val="-13"/>
        </w:rPr>
        <w:t> </w:t>
      </w:r>
      <w:r>
        <w:rPr/>
        <w:t>competencia</w:t>
      </w:r>
      <w:r>
        <w:rPr>
          <w:spacing w:val="-13"/>
        </w:rPr>
        <w:t> </w:t>
      </w:r>
      <w:r>
        <w:rPr/>
        <w:t>en</w:t>
      </w:r>
      <w:r>
        <w:rPr>
          <w:spacing w:val="-13"/>
        </w:rPr>
        <w:t> </w:t>
      </w:r>
      <w:r>
        <w:rPr/>
        <w:t>el</w:t>
      </w:r>
      <w:r>
        <w:rPr>
          <w:spacing w:val="-13"/>
        </w:rPr>
        <w:t> </w:t>
      </w:r>
      <w:r>
        <w:rPr/>
        <w:t>mercado</w:t>
      </w:r>
      <w:r>
        <w:rPr>
          <w:spacing w:val="-13"/>
        </w:rPr>
        <w:t> </w:t>
      </w:r>
      <w:r>
        <w:rPr/>
        <w:t>de telefonía ﬁja local, lo que implica probablemente otorgar mayores facultades a la Comisión</w:t>
      </w:r>
      <w:r>
        <w:rPr>
          <w:spacing w:val="-6"/>
        </w:rPr>
        <w:t> </w:t>
      </w:r>
      <w:r>
        <w:rPr/>
        <w:t>Federal</w:t>
      </w:r>
      <w:r>
        <w:rPr>
          <w:spacing w:val="-6"/>
        </w:rPr>
        <w:t> </w:t>
      </w:r>
      <w:r>
        <w:rPr/>
        <w:t>de</w:t>
      </w:r>
      <w:r>
        <w:rPr>
          <w:spacing w:val="-6"/>
        </w:rPr>
        <w:t> </w:t>
      </w:r>
      <w:r>
        <w:rPr/>
        <w:t>Competencia</w:t>
      </w:r>
      <w:r>
        <w:rPr>
          <w:spacing w:val="-6"/>
        </w:rPr>
        <w:t> </w:t>
      </w:r>
      <w:r>
        <w:rPr/>
        <w:t>para</w:t>
      </w:r>
      <w:r>
        <w:rPr>
          <w:spacing w:val="-6"/>
        </w:rPr>
        <w:t> </w:t>
      </w:r>
      <w:r>
        <w:rPr/>
        <w:t>regular</w:t>
      </w:r>
      <w:r>
        <w:rPr>
          <w:spacing w:val="-6"/>
        </w:rPr>
        <w:t> </w:t>
      </w:r>
      <w:r>
        <w:rPr/>
        <w:t>de</w:t>
      </w:r>
      <w:r>
        <w:rPr>
          <w:spacing w:val="-6"/>
        </w:rPr>
        <w:t> </w:t>
      </w:r>
      <w:r>
        <w:rPr/>
        <w:t>manera</w:t>
      </w:r>
      <w:r>
        <w:rPr>
          <w:spacing w:val="-6"/>
        </w:rPr>
        <w:t> </w:t>
      </w:r>
      <w:r>
        <w:rPr/>
        <w:t>efectiva</w:t>
      </w:r>
      <w:r>
        <w:rPr>
          <w:spacing w:val="-6"/>
        </w:rPr>
        <w:t> </w:t>
      </w:r>
      <w:r>
        <w:rPr/>
        <w:t>la</w:t>
      </w:r>
      <w:r>
        <w:rPr>
          <w:spacing w:val="-6"/>
        </w:rPr>
        <w:t> </w:t>
      </w:r>
      <w:r>
        <w:rPr/>
        <w:t>competencia en el mercado analizado en el presente trabajo.</w:t>
      </w:r>
    </w:p>
    <w:p>
      <w:pPr>
        <w:pStyle w:val="BodyText"/>
        <w:spacing w:before="9"/>
        <w:rPr>
          <w:sz w:val="20"/>
        </w:rPr>
      </w:pPr>
    </w:p>
    <w:p>
      <w:pPr>
        <w:pStyle w:val="Heading1"/>
        <w:ind w:left="116"/>
        <w:jc w:val="both"/>
      </w:pPr>
      <w:r>
        <w:rPr/>
        <w:t>Referencias bibliográﬁcas</w:t>
      </w:r>
    </w:p>
    <w:p>
      <w:pPr>
        <w:pStyle w:val="BodyText"/>
        <w:spacing w:before="7"/>
        <w:rPr>
          <w:b/>
          <w:sz w:val="21"/>
        </w:rPr>
      </w:pPr>
    </w:p>
    <w:p>
      <w:pPr>
        <w:pStyle w:val="BodyText"/>
        <w:ind w:left="116"/>
        <w:jc w:val="both"/>
        <w:rPr>
          <w:i/>
        </w:rPr>
      </w:pPr>
      <w:r>
        <w:rPr/>
        <w:t>Bain, J. S. (1941). “The proﬁt rate as a measure of monopoly power” en </w:t>
      </w:r>
      <w:r>
        <w:rPr>
          <w:i/>
        </w:rPr>
        <w:t>Quarterly</w:t>
      </w:r>
    </w:p>
    <w:p>
      <w:pPr>
        <w:pStyle w:val="Heading1"/>
        <w:spacing w:before="3"/>
        <w:ind w:left="799" w:right="787"/>
      </w:pPr>
      <w:r>
        <w:rPr/>
        <w:t>Cuadro 2</w:t>
      </w:r>
    </w:p>
    <w:p>
      <w:pPr>
        <w:spacing w:line="264" w:lineRule="exact" w:before="5"/>
        <w:ind w:left="1338" w:right="1308" w:firstLine="588"/>
        <w:jc w:val="left"/>
        <w:rPr>
          <w:b/>
          <w:sz w:val="15"/>
        </w:rPr>
      </w:pPr>
      <w:r>
        <w:rPr/>
        <w:pict>
          <v:line style="position:absolute;mso-position-horizontal-relative:page;mso-position-vertical-relative:paragraph;z-index:1120" from="53.849979pt,43.960011pt" to="413.849979pt,43.960011pt" stroked="true" strokeweight=".5pt" strokecolor="#000000">
            <w10:wrap type="none"/>
          </v:line>
        </w:pict>
      </w:r>
      <w:r>
        <w:rPr>
          <w:b/>
          <w:sz w:val="22"/>
        </w:rPr>
        <w:t>Costo social del monopolio de </w:t>
      </w:r>
      <w:r>
        <w:rPr>
          <w:b/>
          <w:sz w:val="17"/>
        </w:rPr>
        <w:t>TELMEX </w:t>
      </w:r>
      <w:r>
        <w:rPr>
          <w:b/>
          <w:sz w:val="22"/>
        </w:rPr>
        <w:t>utilizando empresas distintas a las estadounidenses (cifras del primer trimestre de 2002 anualizadas)</w:t>
      </w:r>
      <w:r>
        <w:rPr>
          <w:b/>
          <w:position w:val="9"/>
          <w:sz w:val="15"/>
        </w:rPr>
        <w:t>a</w:t>
      </w:r>
    </w:p>
    <w:p>
      <w:pPr>
        <w:spacing w:after="0" w:line="264" w:lineRule="exact"/>
        <w:jc w:val="left"/>
        <w:rPr>
          <w:sz w:val="15"/>
        </w:rPr>
        <w:sectPr>
          <w:pgSz w:w="9360" w:h="12760"/>
          <w:pgMar w:header="771" w:footer="0" w:top="980" w:bottom="280" w:left="960" w:right="960"/>
        </w:sect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spacing w:before="9"/>
        <w:rPr>
          <w:b/>
          <w:sz w:val="13"/>
        </w:rPr>
      </w:pPr>
    </w:p>
    <w:p>
      <w:pPr>
        <w:spacing w:line="168" w:lineRule="exact" w:before="0"/>
        <w:ind w:left="167" w:right="1035" w:firstLine="0"/>
        <w:jc w:val="left"/>
        <w:rPr>
          <w:sz w:val="9"/>
        </w:rPr>
      </w:pPr>
      <w:r>
        <w:rPr>
          <w:sz w:val="14"/>
        </w:rPr>
        <w:t>Ingresos totales EBITDA</w:t>
      </w:r>
      <w:r>
        <w:rPr>
          <w:position w:val="6"/>
          <w:sz w:val="9"/>
        </w:rPr>
        <w:t>b</w:t>
      </w:r>
    </w:p>
    <w:p>
      <w:pPr>
        <w:spacing w:line="249" w:lineRule="auto" w:before="3"/>
        <w:ind w:left="167" w:right="697" w:firstLine="0"/>
        <w:jc w:val="left"/>
        <w:rPr>
          <w:sz w:val="14"/>
        </w:rPr>
      </w:pPr>
      <w:r>
        <w:rPr>
          <w:sz w:val="14"/>
        </w:rPr>
        <w:t>Utilidad de operación Utilidad neta</w:t>
      </w:r>
    </w:p>
    <w:p>
      <w:pPr>
        <w:pStyle w:val="BodyText"/>
        <w:spacing w:before="7"/>
        <w:rPr>
          <w:sz w:val="14"/>
        </w:rPr>
      </w:pPr>
    </w:p>
    <w:p>
      <w:pPr>
        <w:spacing w:line="249" w:lineRule="auto" w:before="1"/>
        <w:ind w:left="167" w:right="829" w:firstLine="0"/>
        <w:jc w:val="left"/>
        <w:rPr>
          <w:sz w:val="14"/>
        </w:rPr>
      </w:pPr>
      <w:r>
        <w:rPr>
          <w:sz w:val="14"/>
        </w:rPr>
        <w:t>Utilidad por acción (pesos o dóares)</w:t>
      </w:r>
    </w:p>
    <w:p>
      <w:pPr>
        <w:pStyle w:val="BodyText"/>
        <w:spacing w:before="7"/>
        <w:rPr>
          <w:sz w:val="14"/>
        </w:rPr>
      </w:pPr>
    </w:p>
    <w:p>
      <w:pPr>
        <w:spacing w:before="1"/>
        <w:ind w:left="167" w:right="697" w:firstLine="0"/>
        <w:jc w:val="left"/>
        <w:rPr>
          <w:sz w:val="14"/>
        </w:rPr>
      </w:pPr>
      <w:r>
        <w:rPr>
          <w:sz w:val="14"/>
        </w:rPr>
        <w:t>Activo circulante</w:t>
      </w:r>
    </w:p>
    <w:p>
      <w:pPr>
        <w:spacing w:line="249" w:lineRule="auto" w:before="7"/>
        <w:ind w:left="167" w:right="-19" w:firstLine="0"/>
        <w:jc w:val="left"/>
        <w:rPr>
          <w:sz w:val="14"/>
        </w:rPr>
      </w:pPr>
      <w:r>
        <w:rPr>
          <w:sz w:val="14"/>
        </w:rPr>
        <w:t>Planta, propiedades y equipo, neto</w:t>
      </w:r>
      <w:r>
        <w:rPr>
          <w:w w:val="100"/>
          <w:sz w:val="14"/>
        </w:rPr>
        <w:t> </w:t>
      </w:r>
      <w:r>
        <w:rPr>
          <w:sz w:val="14"/>
        </w:rPr>
        <w:t>Inventarios</w:t>
      </w:r>
    </w:p>
    <w:p>
      <w:pPr>
        <w:spacing w:line="249" w:lineRule="auto" w:before="1"/>
        <w:ind w:left="167" w:right="1167" w:firstLine="0"/>
        <w:jc w:val="left"/>
        <w:rPr>
          <w:sz w:val="14"/>
        </w:rPr>
      </w:pPr>
      <w:r>
        <w:rPr>
          <w:sz w:val="14"/>
        </w:rPr>
        <w:t>Licencias Otros activos</w:t>
      </w:r>
    </w:p>
    <w:p>
      <w:pPr>
        <w:spacing w:before="1"/>
        <w:ind w:left="167" w:right="697" w:firstLine="0"/>
        <w:jc w:val="left"/>
        <w:rPr>
          <w:sz w:val="14"/>
        </w:rPr>
      </w:pPr>
      <w:r>
        <w:rPr>
          <w:sz w:val="14"/>
        </w:rPr>
        <w:t>Activo Intangible</w:t>
      </w:r>
    </w:p>
    <w:p>
      <w:pPr>
        <w:pStyle w:val="BodyText"/>
        <w:spacing w:before="5"/>
        <w:rPr>
          <w:sz w:val="13"/>
        </w:rPr>
      </w:pPr>
      <w:r>
        <w:rPr/>
        <w:br w:type="column"/>
      </w:r>
      <w:r>
        <w:rPr>
          <w:sz w:val="13"/>
        </w:rPr>
      </w:r>
    </w:p>
    <w:p>
      <w:pPr>
        <w:spacing w:before="0"/>
        <w:ind w:left="53" w:right="0" w:firstLine="0"/>
        <w:jc w:val="center"/>
        <w:rPr>
          <w:i/>
          <w:sz w:val="11"/>
        </w:rPr>
      </w:pPr>
      <w:r>
        <w:rPr>
          <w:i/>
          <w:sz w:val="11"/>
        </w:rPr>
        <w:t>TELMEX</w:t>
      </w:r>
    </w:p>
    <w:p>
      <w:pPr>
        <w:spacing w:line="249" w:lineRule="auto" w:before="13"/>
        <w:ind w:left="53" w:right="0" w:firstLine="0"/>
        <w:jc w:val="center"/>
        <w:rPr>
          <w:i/>
          <w:sz w:val="14"/>
        </w:rPr>
      </w:pPr>
      <w:r>
        <w:rPr>
          <w:i/>
          <w:sz w:val="14"/>
        </w:rPr>
        <w:t>(millones </w:t>
      </w:r>
      <w:r>
        <w:rPr>
          <w:i/>
          <w:sz w:val="14"/>
        </w:rPr>
        <w:t>de pesos)</w:t>
      </w:r>
    </w:p>
    <w:p>
      <w:pPr>
        <w:pStyle w:val="BodyText"/>
        <w:rPr>
          <w:i/>
          <w:sz w:val="14"/>
        </w:rPr>
      </w:pPr>
    </w:p>
    <w:p>
      <w:pPr>
        <w:spacing w:before="102"/>
        <w:ind w:left="87" w:right="0" w:firstLine="0"/>
        <w:jc w:val="center"/>
        <w:rPr>
          <w:sz w:val="14"/>
        </w:rPr>
      </w:pPr>
      <w:r>
        <w:rPr/>
        <w:pict>
          <v:line style="position:absolute;mso-position-horizontal-relative:page;mso-position-vertical-relative:paragraph;z-index:1096" from="53.849979pt,3.83517pt" to="413.849979pt,3.83517pt" stroked="true" strokeweight=".5pt" strokecolor="#000000">
            <w10:wrap type="none"/>
          </v:line>
        </w:pict>
      </w:r>
      <w:r>
        <w:rPr>
          <w:sz w:val="14"/>
        </w:rPr>
        <w:t>105,512</w:t>
      </w:r>
    </w:p>
    <w:p>
      <w:pPr>
        <w:spacing w:before="7"/>
        <w:ind w:left="157" w:right="0" w:firstLine="0"/>
        <w:jc w:val="center"/>
        <w:rPr>
          <w:sz w:val="14"/>
        </w:rPr>
      </w:pPr>
      <w:r>
        <w:rPr>
          <w:sz w:val="14"/>
        </w:rPr>
        <w:t>57,428</w:t>
      </w:r>
    </w:p>
    <w:p>
      <w:pPr>
        <w:spacing w:before="7"/>
        <w:ind w:left="157" w:right="0" w:firstLine="0"/>
        <w:jc w:val="center"/>
        <w:rPr>
          <w:sz w:val="14"/>
        </w:rPr>
      </w:pPr>
      <w:r>
        <w:rPr>
          <w:sz w:val="14"/>
        </w:rPr>
        <w:t>39,280</w:t>
      </w:r>
    </w:p>
    <w:p>
      <w:pPr>
        <w:spacing w:before="7"/>
        <w:ind w:left="157" w:right="0" w:firstLine="0"/>
        <w:jc w:val="center"/>
        <w:rPr>
          <w:sz w:val="14"/>
        </w:rPr>
      </w:pPr>
      <w:r>
        <w:rPr>
          <w:sz w:val="14"/>
        </w:rPr>
        <w:t>22,208</w:t>
      </w:r>
    </w:p>
    <w:p>
      <w:pPr>
        <w:pStyle w:val="BodyText"/>
        <w:spacing w:before="2"/>
        <w:rPr>
          <w:sz w:val="15"/>
        </w:rPr>
      </w:pPr>
    </w:p>
    <w:p>
      <w:pPr>
        <w:spacing w:before="0"/>
        <w:ind w:left="297" w:right="0" w:firstLine="0"/>
        <w:jc w:val="center"/>
        <w:rPr>
          <w:sz w:val="14"/>
        </w:rPr>
      </w:pPr>
      <w:r>
        <w:rPr>
          <w:sz w:val="14"/>
        </w:rPr>
        <w:t>1.68</w:t>
      </w:r>
    </w:p>
    <w:p>
      <w:pPr>
        <w:pStyle w:val="BodyText"/>
        <w:rPr>
          <w:sz w:val="14"/>
        </w:rPr>
      </w:pPr>
    </w:p>
    <w:p>
      <w:pPr>
        <w:pStyle w:val="BodyText"/>
        <w:spacing w:before="9"/>
        <w:rPr>
          <w:sz w:val="15"/>
        </w:rPr>
      </w:pPr>
    </w:p>
    <w:p>
      <w:pPr>
        <w:spacing w:before="0"/>
        <w:ind w:left="157" w:right="0" w:firstLine="0"/>
        <w:jc w:val="center"/>
        <w:rPr>
          <w:sz w:val="14"/>
        </w:rPr>
      </w:pPr>
      <w:r>
        <w:rPr>
          <w:sz w:val="14"/>
        </w:rPr>
        <w:t>32,955</w:t>
      </w:r>
    </w:p>
    <w:p>
      <w:pPr>
        <w:spacing w:before="7"/>
        <w:ind w:left="92" w:right="0" w:firstLine="0"/>
        <w:jc w:val="center"/>
        <w:rPr>
          <w:sz w:val="14"/>
        </w:rPr>
      </w:pPr>
      <w:r>
        <w:rPr>
          <w:sz w:val="14"/>
        </w:rPr>
        <w:t>116,885</w:t>
      </w:r>
    </w:p>
    <w:p>
      <w:pPr>
        <w:spacing w:before="7"/>
        <w:ind w:left="227" w:right="0" w:firstLine="0"/>
        <w:jc w:val="center"/>
        <w:rPr>
          <w:sz w:val="14"/>
        </w:rPr>
      </w:pPr>
      <w:r>
        <w:rPr>
          <w:sz w:val="14"/>
        </w:rPr>
        <w:t>1,605</w:t>
      </w:r>
    </w:p>
    <w:p>
      <w:pPr>
        <w:spacing w:before="7"/>
        <w:ind w:left="332" w:right="0" w:firstLine="0"/>
        <w:jc w:val="center"/>
        <w:rPr>
          <w:sz w:val="14"/>
        </w:rPr>
      </w:pPr>
      <w:r>
        <w:rPr>
          <w:sz w:val="14"/>
        </w:rPr>
        <w:t>580</w:t>
      </w:r>
    </w:p>
    <w:p>
      <w:pPr>
        <w:spacing w:before="7"/>
        <w:ind w:left="227" w:right="0" w:firstLine="0"/>
        <w:jc w:val="center"/>
        <w:rPr>
          <w:sz w:val="14"/>
        </w:rPr>
      </w:pPr>
      <w:r>
        <w:rPr>
          <w:sz w:val="14"/>
        </w:rPr>
        <w:t>1,214</w:t>
      </w:r>
    </w:p>
    <w:p>
      <w:pPr>
        <w:spacing w:before="7"/>
        <w:ind w:left="227" w:right="0" w:firstLine="0"/>
        <w:jc w:val="center"/>
        <w:rPr>
          <w:sz w:val="14"/>
        </w:rPr>
      </w:pPr>
      <w:r>
        <w:rPr>
          <w:sz w:val="14"/>
        </w:rPr>
        <w:t>7,322</w:t>
      </w:r>
    </w:p>
    <w:p>
      <w:pPr>
        <w:pStyle w:val="BodyText"/>
        <w:rPr>
          <w:sz w:val="11"/>
        </w:rPr>
      </w:pPr>
      <w:r>
        <w:rPr/>
        <w:br w:type="column"/>
      </w:r>
      <w:r>
        <w:rPr>
          <w:sz w:val="11"/>
        </w:rPr>
      </w:r>
    </w:p>
    <w:p>
      <w:pPr>
        <w:spacing w:before="0"/>
        <w:ind w:left="178" w:right="26" w:firstLine="0"/>
        <w:jc w:val="center"/>
        <w:rPr>
          <w:i/>
          <w:sz w:val="14"/>
        </w:rPr>
      </w:pPr>
      <w:r>
        <w:rPr>
          <w:i/>
          <w:sz w:val="14"/>
        </w:rPr>
        <w:t>AT&amp;T Ca-</w:t>
      </w:r>
    </w:p>
    <w:p>
      <w:pPr>
        <w:spacing w:line="249" w:lineRule="auto" w:before="7"/>
        <w:ind w:left="152" w:right="0" w:hanging="1"/>
        <w:jc w:val="center"/>
        <w:rPr>
          <w:i/>
          <w:sz w:val="14"/>
        </w:rPr>
      </w:pPr>
      <w:r>
        <w:rPr>
          <w:i/>
          <w:sz w:val="14"/>
        </w:rPr>
        <w:t>nadá </w:t>
      </w:r>
      <w:r>
        <w:rPr>
          <w:i/>
          <w:sz w:val="14"/>
        </w:rPr>
        <w:t>(millones de</w:t>
      </w:r>
      <w:r>
        <w:rPr>
          <w:i/>
          <w:w w:val="100"/>
          <w:sz w:val="14"/>
        </w:rPr>
        <w:t> </w:t>
      </w:r>
      <w:r>
        <w:rPr>
          <w:i/>
          <w:sz w:val="11"/>
        </w:rPr>
        <w:t>USD</w:t>
      </w:r>
      <w:r>
        <w:rPr>
          <w:i/>
          <w:sz w:val="14"/>
        </w:rPr>
        <w:t>)</w:t>
      </w:r>
    </w:p>
    <w:p>
      <w:pPr>
        <w:spacing w:before="95"/>
        <w:ind w:left="331" w:right="26" w:firstLine="0"/>
        <w:jc w:val="center"/>
        <w:rPr>
          <w:sz w:val="14"/>
        </w:rPr>
      </w:pPr>
      <w:r>
        <w:rPr>
          <w:sz w:val="14"/>
        </w:rPr>
        <w:t>963</w:t>
      </w:r>
    </w:p>
    <w:p>
      <w:pPr>
        <w:spacing w:before="7"/>
        <w:ind w:left="401" w:right="26" w:firstLine="0"/>
        <w:jc w:val="center"/>
        <w:rPr>
          <w:sz w:val="14"/>
        </w:rPr>
      </w:pPr>
      <w:r>
        <w:rPr>
          <w:sz w:val="14"/>
        </w:rPr>
        <w:t>95</w:t>
      </w:r>
    </w:p>
    <w:p>
      <w:pPr>
        <w:spacing w:before="7"/>
        <w:ind w:left="284" w:right="26" w:firstLine="0"/>
        <w:jc w:val="center"/>
        <w:rPr>
          <w:sz w:val="14"/>
        </w:rPr>
      </w:pPr>
      <w:r>
        <w:rPr>
          <w:sz w:val="14"/>
        </w:rPr>
        <w:t>-133</w:t>
      </w:r>
    </w:p>
    <w:p>
      <w:pPr>
        <w:spacing w:before="7"/>
        <w:ind w:left="284" w:right="26" w:firstLine="0"/>
        <w:jc w:val="center"/>
        <w:rPr>
          <w:sz w:val="14"/>
        </w:rPr>
      </w:pPr>
      <w:r>
        <w:rPr>
          <w:sz w:val="14"/>
        </w:rPr>
        <w:t>-395</w:t>
      </w:r>
    </w:p>
    <w:p>
      <w:pPr>
        <w:pStyle w:val="BodyText"/>
        <w:spacing w:before="2"/>
        <w:rPr>
          <w:sz w:val="15"/>
        </w:rPr>
      </w:pPr>
    </w:p>
    <w:p>
      <w:pPr>
        <w:spacing w:before="0"/>
        <w:ind w:left="249" w:right="26" w:firstLine="0"/>
        <w:jc w:val="center"/>
        <w:rPr>
          <w:sz w:val="14"/>
        </w:rPr>
      </w:pPr>
      <w:r>
        <w:rPr>
          <w:sz w:val="14"/>
        </w:rPr>
        <w:t>-0.98</w:t>
      </w:r>
    </w:p>
    <w:p>
      <w:pPr>
        <w:pStyle w:val="BodyText"/>
        <w:rPr>
          <w:sz w:val="11"/>
        </w:rPr>
      </w:pPr>
      <w:r>
        <w:rPr/>
        <w:br w:type="column"/>
      </w:r>
      <w:r>
        <w:rPr>
          <w:sz w:val="11"/>
        </w:rPr>
      </w:r>
    </w:p>
    <w:p>
      <w:pPr>
        <w:spacing w:line="249" w:lineRule="auto" w:before="0"/>
        <w:ind w:left="97" w:right="0" w:firstLine="0"/>
        <w:jc w:val="center"/>
        <w:rPr>
          <w:i/>
          <w:sz w:val="14"/>
        </w:rPr>
      </w:pPr>
      <w:r>
        <w:rPr>
          <w:i/>
          <w:sz w:val="14"/>
        </w:rPr>
        <w:t>Telefónica </w:t>
      </w:r>
      <w:r>
        <w:rPr>
          <w:i/>
          <w:sz w:val="14"/>
        </w:rPr>
        <w:t>de</w:t>
      </w:r>
      <w:r>
        <w:rPr>
          <w:i/>
          <w:spacing w:val="-9"/>
          <w:sz w:val="14"/>
        </w:rPr>
        <w:t> </w:t>
      </w:r>
      <w:r>
        <w:rPr>
          <w:i/>
          <w:sz w:val="14"/>
        </w:rPr>
        <w:t>Argentina</w:t>
      </w:r>
      <w:r>
        <w:rPr>
          <w:i/>
          <w:w w:val="100"/>
          <w:sz w:val="14"/>
        </w:rPr>
        <w:t> </w:t>
      </w:r>
      <w:r>
        <w:rPr>
          <w:i/>
          <w:sz w:val="14"/>
        </w:rPr>
        <w:t>(millones de </w:t>
      </w:r>
      <w:r>
        <w:rPr>
          <w:i/>
          <w:sz w:val="11"/>
        </w:rPr>
        <w:t>USD</w:t>
      </w:r>
      <w:r>
        <w:rPr>
          <w:i/>
          <w:sz w:val="14"/>
        </w:rPr>
        <w:t>)</w:t>
      </w:r>
    </w:p>
    <w:p>
      <w:pPr>
        <w:spacing w:before="95"/>
        <w:ind w:left="26" w:right="0" w:firstLine="0"/>
        <w:jc w:val="center"/>
        <w:rPr>
          <w:sz w:val="14"/>
        </w:rPr>
      </w:pPr>
      <w:r>
        <w:rPr>
          <w:sz w:val="14"/>
        </w:rPr>
        <w:t>1,199</w:t>
      </w:r>
    </w:p>
    <w:p>
      <w:pPr>
        <w:spacing w:before="7"/>
        <w:ind w:left="97" w:right="116" w:firstLine="0"/>
        <w:jc w:val="center"/>
        <w:rPr>
          <w:sz w:val="14"/>
        </w:rPr>
      </w:pPr>
      <w:r>
        <w:rPr>
          <w:sz w:val="14"/>
        </w:rPr>
        <w:t>-4,828</w:t>
      </w:r>
    </w:p>
    <w:p>
      <w:pPr>
        <w:spacing w:before="7"/>
        <w:ind w:left="131" w:right="0" w:firstLine="0"/>
        <w:jc w:val="center"/>
        <w:rPr>
          <w:sz w:val="14"/>
        </w:rPr>
      </w:pPr>
      <w:r>
        <w:rPr>
          <w:sz w:val="14"/>
        </w:rPr>
        <w:t>233</w:t>
      </w:r>
    </w:p>
    <w:p>
      <w:pPr>
        <w:spacing w:before="7"/>
        <w:ind w:left="97" w:right="116" w:firstLine="0"/>
        <w:jc w:val="center"/>
        <w:rPr>
          <w:sz w:val="14"/>
        </w:rPr>
      </w:pPr>
      <w:r>
        <w:rPr>
          <w:sz w:val="14"/>
        </w:rPr>
        <w:t>-4,828</w:t>
      </w:r>
    </w:p>
    <w:p>
      <w:pPr>
        <w:pStyle w:val="BodyText"/>
        <w:spacing w:before="2"/>
        <w:rPr>
          <w:sz w:val="15"/>
        </w:rPr>
      </w:pPr>
    </w:p>
    <w:p>
      <w:pPr>
        <w:spacing w:before="0"/>
        <w:ind w:left="50" w:right="0" w:firstLine="0"/>
        <w:jc w:val="center"/>
        <w:rPr>
          <w:sz w:val="14"/>
        </w:rPr>
      </w:pPr>
      <w:r>
        <w:rPr>
          <w:sz w:val="14"/>
        </w:rPr>
        <w:t>-06.9</w:t>
      </w:r>
    </w:p>
    <w:p>
      <w:pPr>
        <w:pStyle w:val="BodyText"/>
        <w:rPr>
          <w:sz w:val="11"/>
        </w:rPr>
      </w:pPr>
      <w:r>
        <w:rPr/>
        <w:br w:type="column"/>
      </w:r>
      <w:r>
        <w:rPr>
          <w:sz w:val="11"/>
        </w:rPr>
      </w:r>
    </w:p>
    <w:p>
      <w:pPr>
        <w:spacing w:line="249" w:lineRule="auto" w:before="0"/>
        <w:ind w:left="134" w:right="0" w:firstLine="0"/>
        <w:jc w:val="center"/>
        <w:rPr>
          <w:i/>
          <w:sz w:val="14"/>
        </w:rPr>
      </w:pPr>
      <w:r>
        <w:rPr>
          <w:i/>
          <w:spacing w:val="-2"/>
          <w:sz w:val="14"/>
        </w:rPr>
        <w:t>Telefónica </w:t>
      </w:r>
      <w:r>
        <w:rPr>
          <w:i/>
          <w:sz w:val="14"/>
        </w:rPr>
        <w:t>Perú (millones de </w:t>
      </w:r>
      <w:r>
        <w:rPr>
          <w:i/>
          <w:sz w:val="11"/>
        </w:rPr>
        <w:t>USD</w:t>
      </w:r>
      <w:r>
        <w:rPr>
          <w:i/>
          <w:sz w:val="14"/>
        </w:rPr>
        <w:t>)</w:t>
      </w:r>
    </w:p>
    <w:p>
      <w:pPr>
        <w:spacing w:before="95"/>
        <w:ind w:left="168" w:right="0" w:firstLine="0"/>
        <w:jc w:val="center"/>
        <w:rPr>
          <w:sz w:val="14"/>
        </w:rPr>
      </w:pPr>
      <w:r>
        <w:rPr>
          <w:sz w:val="14"/>
        </w:rPr>
        <w:t>987</w:t>
      </w:r>
    </w:p>
    <w:p>
      <w:pPr>
        <w:spacing w:before="7"/>
        <w:ind w:left="168" w:right="0" w:firstLine="0"/>
        <w:jc w:val="center"/>
        <w:rPr>
          <w:sz w:val="14"/>
        </w:rPr>
      </w:pPr>
      <w:r>
        <w:rPr>
          <w:sz w:val="14"/>
        </w:rPr>
        <w:t>480</w:t>
      </w:r>
    </w:p>
    <w:p>
      <w:pPr>
        <w:spacing w:before="7"/>
        <w:ind w:left="168" w:right="0" w:firstLine="0"/>
        <w:jc w:val="center"/>
        <w:rPr>
          <w:sz w:val="14"/>
        </w:rPr>
      </w:pPr>
      <w:r>
        <w:rPr>
          <w:sz w:val="14"/>
        </w:rPr>
        <w:t>192</w:t>
      </w:r>
    </w:p>
    <w:p>
      <w:pPr>
        <w:spacing w:before="7"/>
        <w:ind w:left="238" w:right="0" w:firstLine="0"/>
        <w:jc w:val="center"/>
        <w:rPr>
          <w:sz w:val="14"/>
        </w:rPr>
      </w:pPr>
      <w:r>
        <w:rPr>
          <w:sz w:val="14"/>
        </w:rPr>
        <w:t>68</w:t>
      </w:r>
    </w:p>
    <w:p>
      <w:pPr>
        <w:pStyle w:val="BodyText"/>
        <w:rPr>
          <w:sz w:val="11"/>
        </w:rPr>
      </w:pPr>
      <w:r>
        <w:rPr/>
        <w:br w:type="column"/>
      </w:r>
      <w:r>
        <w:rPr>
          <w:sz w:val="11"/>
        </w:rPr>
      </w:r>
    </w:p>
    <w:p>
      <w:pPr>
        <w:spacing w:line="249" w:lineRule="auto" w:before="0"/>
        <w:ind w:left="167" w:right="0" w:hanging="1"/>
        <w:jc w:val="center"/>
        <w:rPr>
          <w:i/>
          <w:sz w:val="14"/>
        </w:rPr>
      </w:pPr>
      <w:r>
        <w:rPr>
          <w:i/>
          <w:sz w:val="14"/>
        </w:rPr>
        <w:t>Compañía de </w:t>
      </w:r>
      <w:r>
        <w:rPr>
          <w:i/>
          <w:spacing w:val="-1"/>
          <w:sz w:val="14"/>
        </w:rPr>
        <w:t>Telecomunicaciones </w:t>
      </w:r>
      <w:r>
        <w:rPr>
          <w:i/>
          <w:sz w:val="14"/>
        </w:rPr>
        <w:t>de Chile, S.A. (millones de </w:t>
      </w:r>
      <w:r>
        <w:rPr>
          <w:i/>
          <w:sz w:val="11"/>
        </w:rPr>
        <w:t>USD</w:t>
      </w:r>
      <w:r>
        <w:rPr>
          <w:i/>
          <w:sz w:val="14"/>
        </w:rPr>
        <w:t>)</w:t>
      </w:r>
    </w:p>
    <w:p>
      <w:pPr>
        <w:spacing w:before="95"/>
        <w:ind w:left="540" w:right="403" w:firstLine="0"/>
        <w:jc w:val="center"/>
        <w:rPr>
          <w:sz w:val="14"/>
        </w:rPr>
      </w:pPr>
      <w:r>
        <w:rPr>
          <w:sz w:val="14"/>
        </w:rPr>
        <w:t>1,245</w:t>
      </w:r>
    </w:p>
    <w:p>
      <w:pPr>
        <w:spacing w:before="7"/>
        <w:ind w:left="540" w:right="298" w:firstLine="0"/>
        <w:jc w:val="center"/>
        <w:rPr>
          <w:sz w:val="14"/>
        </w:rPr>
      </w:pPr>
      <w:r>
        <w:rPr>
          <w:sz w:val="14"/>
        </w:rPr>
        <w:t>573</w:t>
      </w:r>
    </w:p>
    <w:p>
      <w:pPr>
        <w:spacing w:before="7"/>
        <w:ind w:left="540" w:right="298" w:firstLine="0"/>
        <w:jc w:val="center"/>
        <w:rPr>
          <w:sz w:val="14"/>
        </w:rPr>
      </w:pPr>
      <w:r>
        <w:rPr>
          <w:sz w:val="14"/>
        </w:rPr>
        <w:t>196</w:t>
      </w:r>
    </w:p>
    <w:p>
      <w:pPr>
        <w:spacing w:before="7"/>
        <w:ind w:left="540" w:right="228" w:firstLine="0"/>
        <w:jc w:val="center"/>
        <w:rPr>
          <w:sz w:val="14"/>
        </w:rPr>
      </w:pPr>
      <w:r>
        <w:rPr>
          <w:sz w:val="14"/>
        </w:rPr>
        <w:t>13</w:t>
      </w:r>
    </w:p>
    <w:p>
      <w:pPr>
        <w:pStyle w:val="BodyText"/>
        <w:spacing w:before="2"/>
        <w:rPr>
          <w:sz w:val="15"/>
        </w:rPr>
      </w:pPr>
    </w:p>
    <w:p>
      <w:pPr>
        <w:spacing w:before="0"/>
        <w:ind w:left="540" w:right="403" w:firstLine="0"/>
        <w:jc w:val="center"/>
        <w:rPr>
          <w:sz w:val="14"/>
        </w:rPr>
      </w:pPr>
      <w:r>
        <w:rPr>
          <w:sz w:val="14"/>
        </w:rPr>
        <w:t>0.003</w:t>
      </w:r>
    </w:p>
    <w:p>
      <w:pPr>
        <w:pStyle w:val="BodyText"/>
        <w:rPr>
          <w:sz w:val="11"/>
        </w:rPr>
      </w:pPr>
      <w:r>
        <w:rPr/>
        <w:br w:type="column"/>
      </w:r>
      <w:r>
        <w:rPr>
          <w:sz w:val="11"/>
        </w:rPr>
      </w:r>
    </w:p>
    <w:p>
      <w:pPr>
        <w:spacing w:line="249" w:lineRule="auto" w:before="0"/>
        <w:ind w:left="103" w:right="211" w:firstLine="0"/>
        <w:jc w:val="center"/>
        <w:rPr>
          <w:i/>
          <w:sz w:val="14"/>
        </w:rPr>
      </w:pPr>
      <w:r>
        <w:rPr>
          <w:i/>
          <w:sz w:val="14"/>
        </w:rPr>
        <w:t>Embratel </w:t>
      </w:r>
      <w:r>
        <w:rPr>
          <w:i/>
          <w:sz w:val="14"/>
        </w:rPr>
        <w:t>Brasil (millones de </w:t>
      </w:r>
      <w:r>
        <w:rPr>
          <w:i/>
          <w:sz w:val="11"/>
        </w:rPr>
        <w:t>USD</w:t>
      </w:r>
      <w:r>
        <w:rPr>
          <w:i/>
          <w:sz w:val="14"/>
        </w:rPr>
        <w:t>)</w:t>
      </w:r>
    </w:p>
    <w:p>
      <w:pPr>
        <w:spacing w:before="95"/>
        <w:ind w:left="163" w:right="211" w:firstLine="0"/>
        <w:jc w:val="center"/>
        <w:rPr>
          <w:sz w:val="14"/>
        </w:rPr>
      </w:pPr>
      <w:r>
        <w:rPr>
          <w:sz w:val="14"/>
        </w:rPr>
        <w:t>3,019</w:t>
      </w:r>
    </w:p>
    <w:p>
      <w:pPr>
        <w:spacing w:before="7"/>
        <w:ind w:left="80" w:right="26" w:firstLine="0"/>
        <w:jc w:val="center"/>
        <w:rPr>
          <w:sz w:val="14"/>
        </w:rPr>
      </w:pPr>
      <w:r>
        <w:rPr>
          <w:sz w:val="14"/>
        </w:rPr>
        <w:t>560</w:t>
      </w:r>
    </w:p>
    <w:p>
      <w:pPr>
        <w:spacing w:before="7"/>
        <w:ind w:left="103" w:right="26" w:firstLine="0"/>
        <w:jc w:val="center"/>
        <w:rPr>
          <w:sz w:val="14"/>
        </w:rPr>
      </w:pPr>
      <w:r>
        <w:rPr>
          <w:sz w:val="14"/>
        </w:rPr>
        <w:t>-64</w:t>
      </w:r>
    </w:p>
    <w:p>
      <w:pPr>
        <w:spacing w:before="7"/>
        <w:ind w:left="103" w:right="26" w:firstLine="0"/>
        <w:jc w:val="center"/>
        <w:rPr>
          <w:sz w:val="14"/>
        </w:rPr>
      </w:pPr>
      <w:r>
        <w:rPr>
          <w:sz w:val="14"/>
        </w:rPr>
        <w:t>-61</w:t>
      </w:r>
    </w:p>
    <w:p>
      <w:pPr>
        <w:pStyle w:val="BodyText"/>
        <w:spacing w:before="2"/>
        <w:rPr>
          <w:sz w:val="15"/>
        </w:rPr>
      </w:pPr>
    </w:p>
    <w:p>
      <w:pPr>
        <w:spacing w:before="0"/>
        <w:ind w:left="1" w:right="26" w:firstLine="0"/>
        <w:jc w:val="center"/>
        <w:rPr>
          <w:sz w:val="14"/>
        </w:rPr>
      </w:pPr>
      <w:r>
        <w:rPr>
          <w:sz w:val="14"/>
        </w:rPr>
        <w:t>-0.05</w:t>
      </w: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rPr>
          <w:sz w:val="14"/>
        </w:rPr>
      </w:pPr>
    </w:p>
    <w:p>
      <w:pPr>
        <w:pStyle w:val="BodyText"/>
        <w:spacing w:before="5"/>
        <w:rPr>
          <w:sz w:val="14"/>
        </w:rPr>
      </w:pPr>
    </w:p>
    <w:p>
      <w:pPr>
        <w:spacing w:before="0"/>
        <w:ind w:left="43" w:right="26" w:firstLine="0"/>
        <w:jc w:val="center"/>
        <w:rPr>
          <w:sz w:val="14"/>
        </w:rPr>
      </w:pPr>
      <w:r>
        <w:rPr/>
        <w:pict>
          <v:line style="position:absolute;mso-position-horizontal-relative:page;mso-position-vertical-relative:paragraph;z-index:1144" from="53.849979pt,-2.164854pt" to="413.849979pt,-2.164854pt" stroked="true" strokeweight=".5pt" strokecolor="#000000">
            <w10:wrap type="none"/>
          </v:line>
        </w:pict>
      </w:r>
      <w:r>
        <w:rPr>
          <w:sz w:val="14"/>
        </w:rPr>
        <w:t>continúa...</w:t>
      </w:r>
    </w:p>
    <w:p>
      <w:pPr>
        <w:spacing w:after="0"/>
        <w:jc w:val="center"/>
        <w:rPr>
          <w:sz w:val="14"/>
        </w:rPr>
        <w:sectPr>
          <w:type w:val="continuous"/>
          <w:pgSz w:w="9360" w:h="12760"/>
          <w:pgMar w:top="660" w:bottom="280" w:left="960" w:right="960"/>
          <w:cols w:num="7" w:equalWidth="0">
            <w:col w:w="2097" w:space="40"/>
            <w:col w:w="579" w:space="40"/>
            <w:col w:w="841" w:space="40"/>
            <w:col w:w="818" w:space="40"/>
            <w:col w:w="713" w:space="52"/>
            <w:col w:w="1299" w:space="40"/>
            <w:col w:w="841"/>
          </w:cols>
        </w:sectPr>
      </w:pPr>
    </w:p>
    <w:p>
      <w:pPr>
        <w:pStyle w:val="BodyText"/>
        <w:spacing w:before="10"/>
        <w:rPr>
          <w:sz w:val="27"/>
        </w:rPr>
      </w:pPr>
    </w:p>
    <w:p>
      <w:pPr>
        <w:spacing w:after="0"/>
        <w:rPr>
          <w:sz w:val="27"/>
        </w:rPr>
        <w:sectPr>
          <w:pgSz w:w="9360" w:h="12760"/>
          <w:pgMar w:header="771" w:footer="0" w:top="980" w:bottom="280" w:left="940" w:right="960"/>
        </w:sectPr>
      </w:pPr>
    </w:p>
    <w:p>
      <w:pPr>
        <w:spacing w:before="108"/>
        <w:ind w:left="137" w:right="-20" w:firstLine="0"/>
        <w:jc w:val="left"/>
        <w:rPr>
          <w:sz w:val="14"/>
        </w:rPr>
      </w:pPr>
      <w:r>
        <w:rPr>
          <w:sz w:val="14"/>
        </w:rPr>
        <w:t>termina...</w:t>
      </w:r>
    </w:p>
    <w:p>
      <w:pPr>
        <w:pStyle w:val="Heading1"/>
        <w:spacing w:before="59"/>
        <w:ind w:left="2062" w:right="3249"/>
      </w:pPr>
      <w:r>
        <w:rPr>
          <w:b w:val="0"/>
        </w:rPr>
        <w:br w:type="column"/>
      </w:r>
      <w:r>
        <w:rPr/>
        <w:t>Cuadro 2</w:t>
      </w:r>
    </w:p>
    <w:p>
      <w:pPr>
        <w:spacing w:line="264" w:lineRule="exact" w:before="5"/>
        <w:ind w:left="137" w:right="1308" w:firstLine="588"/>
        <w:jc w:val="left"/>
        <w:rPr>
          <w:b/>
          <w:sz w:val="15"/>
        </w:rPr>
      </w:pPr>
      <w:r>
        <w:rPr>
          <w:b/>
          <w:sz w:val="22"/>
        </w:rPr>
        <w:t>Costo social del monopolio de </w:t>
      </w:r>
      <w:r>
        <w:rPr>
          <w:b/>
          <w:sz w:val="17"/>
        </w:rPr>
        <w:t>TELMEX </w:t>
      </w:r>
      <w:r>
        <w:rPr>
          <w:b/>
          <w:sz w:val="22"/>
        </w:rPr>
        <w:t>utilizando empresas distintas a las estadounidenses (cifras del primer trimestre de 2002 anualizadas)</w:t>
      </w:r>
      <w:r>
        <w:rPr>
          <w:b/>
          <w:position w:val="9"/>
          <w:sz w:val="15"/>
        </w:rPr>
        <w:t>a</w:t>
      </w:r>
    </w:p>
    <w:p>
      <w:pPr>
        <w:spacing w:after="0" w:line="264" w:lineRule="exact"/>
        <w:jc w:val="left"/>
        <w:rPr>
          <w:sz w:val="15"/>
        </w:rPr>
        <w:sectPr>
          <w:type w:val="continuous"/>
          <w:pgSz w:w="9360" w:h="12760"/>
          <w:pgMar w:top="660" w:bottom="280" w:left="940" w:right="960"/>
          <w:cols w:num="2" w:equalWidth="0">
            <w:col w:w="670" w:space="551"/>
            <w:col w:w="6239"/>
          </w:cols>
        </w:sectPr>
      </w:pPr>
    </w:p>
    <w:p>
      <w:pPr>
        <w:pStyle w:val="BodyText"/>
        <w:spacing w:before="9"/>
        <w:rPr>
          <w:b/>
          <w:sz w:val="2"/>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04"/>
        <w:gridCol w:w="1567"/>
        <w:gridCol w:w="934"/>
        <w:gridCol w:w="806"/>
        <w:gridCol w:w="1203"/>
        <w:gridCol w:w="720"/>
      </w:tblGrid>
      <w:tr>
        <w:trPr>
          <w:trHeight w:val="733" w:hRule="exact"/>
        </w:trPr>
        <w:tc>
          <w:tcPr>
            <w:tcW w:w="2004" w:type="dxa"/>
            <w:tcBorders>
              <w:left w:val="nil"/>
              <w:right w:val="nil"/>
            </w:tcBorders>
          </w:tcPr>
          <w:p>
            <w:pPr/>
          </w:p>
        </w:tc>
        <w:tc>
          <w:tcPr>
            <w:tcW w:w="1567" w:type="dxa"/>
            <w:tcBorders>
              <w:left w:val="nil"/>
              <w:right w:val="nil"/>
            </w:tcBorders>
          </w:tcPr>
          <w:p>
            <w:pPr>
              <w:pStyle w:val="TableParagraph"/>
              <w:tabs>
                <w:tab w:pos="840" w:val="left" w:leader="none"/>
              </w:tabs>
              <w:spacing w:before="27"/>
              <w:ind w:left="123"/>
              <w:jc w:val="left"/>
              <w:rPr>
                <w:i/>
                <w:sz w:val="14"/>
              </w:rPr>
            </w:pPr>
            <w:r>
              <w:rPr>
                <w:i/>
                <w:sz w:val="11"/>
              </w:rPr>
              <w:t>TELMEX</w:t>
              <w:tab/>
            </w:r>
            <w:r>
              <w:rPr>
                <w:i/>
                <w:sz w:val="14"/>
              </w:rPr>
              <w:t>AT&amp;T</w:t>
            </w:r>
            <w:r>
              <w:rPr>
                <w:i/>
                <w:spacing w:val="-10"/>
                <w:sz w:val="14"/>
              </w:rPr>
              <w:t> </w:t>
            </w:r>
            <w:r>
              <w:rPr>
                <w:i/>
                <w:sz w:val="14"/>
              </w:rPr>
              <w:t>Ca-</w:t>
            </w:r>
          </w:p>
          <w:p>
            <w:pPr>
              <w:pStyle w:val="TableParagraph"/>
              <w:tabs>
                <w:tab w:pos="994" w:val="left" w:leader="none"/>
              </w:tabs>
              <w:spacing w:before="7"/>
              <w:ind w:left="74"/>
              <w:jc w:val="left"/>
              <w:rPr>
                <w:i/>
                <w:sz w:val="14"/>
              </w:rPr>
            </w:pPr>
            <w:r>
              <w:rPr>
                <w:i/>
                <w:sz w:val="14"/>
              </w:rPr>
              <w:t>(millones</w:t>
              <w:tab/>
              <w:t>nadá</w:t>
            </w:r>
          </w:p>
          <w:p>
            <w:pPr>
              <w:pStyle w:val="TableParagraph"/>
              <w:spacing w:before="7"/>
              <w:ind w:left="72"/>
              <w:jc w:val="left"/>
              <w:rPr>
                <w:i/>
                <w:sz w:val="14"/>
              </w:rPr>
            </w:pPr>
            <w:r>
              <w:rPr>
                <w:i/>
                <w:sz w:val="14"/>
              </w:rPr>
              <w:t>de pesos)     (millones de</w:t>
            </w:r>
          </w:p>
          <w:p>
            <w:pPr>
              <w:pStyle w:val="TableParagraph"/>
              <w:spacing w:before="7"/>
              <w:ind w:left="1002"/>
              <w:jc w:val="left"/>
              <w:rPr>
                <w:i/>
                <w:sz w:val="14"/>
              </w:rPr>
            </w:pPr>
            <w:r>
              <w:rPr>
                <w:i/>
                <w:sz w:val="11"/>
              </w:rPr>
              <w:t>USD</w:t>
            </w:r>
            <w:r>
              <w:rPr>
                <w:i/>
                <w:sz w:val="14"/>
              </w:rPr>
              <w:t>)</w:t>
            </w:r>
          </w:p>
        </w:tc>
        <w:tc>
          <w:tcPr>
            <w:tcW w:w="934" w:type="dxa"/>
            <w:tcBorders>
              <w:left w:val="nil"/>
              <w:right w:val="nil"/>
            </w:tcBorders>
          </w:tcPr>
          <w:p>
            <w:pPr>
              <w:pStyle w:val="TableParagraph"/>
              <w:spacing w:line="249" w:lineRule="auto" w:before="27"/>
              <w:ind w:left="49" w:right="163"/>
              <w:jc w:val="center"/>
              <w:rPr>
                <w:i/>
                <w:sz w:val="14"/>
              </w:rPr>
            </w:pPr>
            <w:r>
              <w:rPr>
                <w:i/>
                <w:sz w:val="14"/>
              </w:rPr>
              <w:t>Telefónica </w:t>
            </w:r>
            <w:r>
              <w:rPr>
                <w:i/>
                <w:sz w:val="14"/>
              </w:rPr>
              <w:t>de</w:t>
            </w:r>
            <w:r>
              <w:rPr>
                <w:i/>
                <w:spacing w:val="-9"/>
                <w:sz w:val="14"/>
              </w:rPr>
              <w:t> </w:t>
            </w:r>
            <w:r>
              <w:rPr>
                <w:i/>
                <w:sz w:val="14"/>
              </w:rPr>
              <w:t>Argentina</w:t>
            </w:r>
            <w:r>
              <w:rPr>
                <w:i/>
                <w:w w:val="100"/>
                <w:sz w:val="14"/>
              </w:rPr>
              <w:t> </w:t>
            </w:r>
            <w:r>
              <w:rPr>
                <w:i/>
                <w:sz w:val="14"/>
              </w:rPr>
              <w:t>(millones de </w:t>
            </w:r>
            <w:r>
              <w:rPr>
                <w:i/>
                <w:sz w:val="11"/>
              </w:rPr>
              <w:t>USD</w:t>
            </w:r>
            <w:r>
              <w:rPr>
                <w:i/>
                <w:sz w:val="14"/>
              </w:rPr>
              <w:t>)</w:t>
            </w:r>
          </w:p>
        </w:tc>
        <w:tc>
          <w:tcPr>
            <w:tcW w:w="806" w:type="dxa"/>
            <w:tcBorders>
              <w:left w:val="nil"/>
              <w:right w:val="nil"/>
            </w:tcBorders>
          </w:tcPr>
          <w:p>
            <w:pPr>
              <w:pStyle w:val="TableParagraph"/>
              <w:spacing w:line="249" w:lineRule="auto" w:before="27"/>
              <w:ind w:left="1" w:right="210"/>
              <w:jc w:val="center"/>
              <w:rPr>
                <w:i/>
                <w:sz w:val="14"/>
              </w:rPr>
            </w:pPr>
            <w:r>
              <w:rPr>
                <w:i/>
                <w:sz w:val="14"/>
              </w:rPr>
              <w:t>Telefónica </w:t>
            </w:r>
            <w:r>
              <w:rPr>
                <w:i/>
                <w:sz w:val="14"/>
              </w:rPr>
              <w:t>Perú (millones de </w:t>
            </w:r>
            <w:r>
              <w:rPr>
                <w:i/>
                <w:sz w:val="11"/>
              </w:rPr>
              <w:t>USD</w:t>
            </w:r>
            <w:r>
              <w:rPr>
                <w:i/>
                <w:sz w:val="14"/>
              </w:rPr>
              <w:t>)</w:t>
            </w:r>
          </w:p>
        </w:tc>
        <w:tc>
          <w:tcPr>
            <w:tcW w:w="1203" w:type="dxa"/>
            <w:tcBorders>
              <w:left w:val="nil"/>
              <w:right w:val="nil"/>
            </w:tcBorders>
          </w:tcPr>
          <w:p>
            <w:pPr>
              <w:pStyle w:val="TableParagraph"/>
              <w:spacing w:line="249" w:lineRule="auto" w:before="27"/>
              <w:ind w:right="69" w:hanging="1"/>
              <w:jc w:val="center"/>
              <w:rPr>
                <w:i/>
                <w:sz w:val="14"/>
              </w:rPr>
            </w:pPr>
            <w:r>
              <w:rPr>
                <w:i/>
                <w:sz w:val="14"/>
              </w:rPr>
              <w:t>Compañía de </w:t>
            </w:r>
            <w:r>
              <w:rPr>
                <w:i/>
                <w:spacing w:val="-1"/>
                <w:sz w:val="14"/>
              </w:rPr>
              <w:t>Telecomunicaciones </w:t>
            </w:r>
            <w:r>
              <w:rPr>
                <w:i/>
                <w:sz w:val="14"/>
              </w:rPr>
              <w:t>de Chile, S.A. (millones de </w:t>
            </w:r>
            <w:r>
              <w:rPr>
                <w:i/>
                <w:sz w:val="11"/>
              </w:rPr>
              <w:t>USD</w:t>
            </w:r>
            <w:r>
              <w:rPr>
                <w:i/>
                <w:sz w:val="14"/>
              </w:rPr>
              <w:t>)</w:t>
            </w:r>
          </w:p>
        </w:tc>
        <w:tc>
          <w:tcPr>
            <w:tcW w:w="720" w:type="dxa"/>
            <w:tcBorders>
              <w:left w:val="nil"/>
              <w:right w:val="nil"/>
            </w:tcBorders>
          </w:tcPr>
          <w:p>
            <w:pPr>
              <w:pStyle w:val="TableParagraph"/>
              <w:spacing w:line="249" w:lineRule="auto" w:before="27"/>
              <w:ind w:left="71" w:right="125"/>
              <w:jc w:val="center"/>
              <w:rPr>
                <w:i/>
                <w:sz w:val="14"/>
              </w:rPr>
            </w:pPr>
            <w:r>
              <w:rPr>
                <w:i/>
                <w:sz w:val="14"/>
              </w:rPr>
              <w:t>Embratel</w:t>
            </w:r>
            <w:r>
              <w:rPr>
                <w:i/>
                <w:w w:val="100"/>
                <w:sz w:val="14"/>
              </w:rPr>
              <w:t> </w:t>
            </w:r>
            <w:r>
              <w:rPr>
                <w:i/>
                <w:sz w:val="14"/>
              </w:rPr>
              <w:t>Brasil (millones</w:t>
            </w:r>
            <w:r>
              <w:rPr>
                <w:i/>
                <w:w w:val="100"/>
                <w:sz w:val="14"/>
              </w:rPr>
              <w:t> </w:t>
            </w:r>
            <w:r>
              <w:rPr>
                <w:i/>
                <w:sz w:val="14"/>
              </w:rPr>
              <w:t>de </w:t>
            </w:r>
            <w:r>
              <w:rPr>
                <w:i/>
                <w:sz w:val="11"/>
              </w:rPr>
              <w:t>USD</w:t>
            </w:r>
            <w:r>
              <w:rPr>
                <w:i/>
                <w:sz w:val="14"/>
              </w:rPr>
              <w:t>)</w:t>
            </w:r>
          </w:p>
        </w:tc>
      </w:tr>
      <w:tr>
        <w:trPr>
          <w:trHeight w:val="305" w:hRule="exact"/>
        </w:trPr>
        <w:tc>
          <w:tcPr>
            <w:tcW w:w="2004" w:type="dxa"/>
            <w:tcBorders>
              <w:left w:val="nil"/>
              <w:bottom w:val="nil"/>
              <w:right w:val="nil"/>
            </w:tcBorders>
          </w:tcPr>
          <w:p>
            <w:pPr>
              <w:pStyle w:val="TableParagraph"/>
              <w:spacing w:before="36"/>
              <w:ind w:left="35"/>
              <w:jc w:val="left"/>
              <w:rPr>
                <w:sz w:val="14"/>
              </w:rPr>
            </w:pPr>
            <w:r>
              <w:rPr>
                <w:sz w:val="14"/>
              </w:rPr>
              <w:t>Total Activo</w:t>
            </w:r>
          </w:p>
        </w:tc>
        <w:tc>
          <w:tcPr>
            <w:tcW w:w="1567" w:type="dxa"/>
            <w:tcBorders>
              <w:left w:val="nil"/>
              <w:bottom w:val="nil"/>
              <w:right w:val="nil"/>
            </w:tcBorders>
          </w:tcPr>
          <w:p>
            <w:pPr>
              <w:pStyle w:val="TableParagraph"/>
              <w:tabs>
                <w:tab w:pos="962" w:val="left" w:leader="none"/>
              </w:tabs>
              <w:spacing w:before="36"/>
              <w:ind w:right="47"/>
              <w:rPr>
                <w:sz w:val="14"/>
              </w:rPr>
            </w:pPr>
            <w:r>
              <w:rPr>
                <w:sz w:val="14"/>
              </w:rPr>
              <w:t>160,561</w:t>
              <w:tab/>
              <w:t>2,878</w:t>
            </w:r>
          </w:p>
        </w:tc>
        <w:tc>
          <w:tcPr>
            <w:tcW w:w="934" w:type="dxa"/>
            <w:tcBorders>
              <w:left w:val="nil"/>
              <w:bottom w:val="nil"/>
              <w:right w:val="nil"/>
            </w:tcBorders>
          </w:tcPr>
          <w:p>
            <w:pPr>
              <w:pStyle w:val="TableParagraph"/>
              <w:spacing w:before="36"/>
              <w:ind w:right="6"/>
              <w:rPr>
                <w:sz w:val="14"/>
              </w:rPr>
            </w:pPr>
            <w:r>
              <w:rPr>
                <w:sz w:val="14"/>
              </w:rPr>
              <w:t>3,176</w:t>
            </w:r>
          </w:p>
        </w:tc>
        <w:tc>
          <w:tcPr>
            <w:tcW w:w="806" w:type="dxa"/>
            <w:tcBorders>
              <w:left w:val="nil"/>
              <w:bottom w:val="nil"/>
              <w:right w:val="nil"/>
            </w:tcBorders>
          </w:tcPr>
          <w:p>
            <w:pPr>
              <w:pStyle w:val="TableParagraph"/>
              <w:spacing w:before="36"/>
              <w:rPr>
                <w:sz w:val="14"/>
              </w:rPr>
            </w:pPr>
            <w:r>
              <w:rPr>
                <w:sz w:val="14"/>
              </w:rPr>
              <w:t>2,686</w:t>
            </w:r>
          </w:p>
        </w:tc>
        <w:tc>
          <w:tcPr>
            <w:tcW w:w="1203" w:type="dxa"/>
            <w:tcBorders>
              <w:left w:val="nil"/>
              <w:bottom w:val="nil"/>
              <w:right w:val="nil"/>
            </w:tcBorders>
          </w:tcPr>
          <w:p>
            <w:pPr>
              <w:pStyle w:val="TableParagraph"/>
              <w:spacing w:before="36"/>
              <w:ind w:right="354"/>
              <w:rPr>
                <w:sz w:val="14"/>
              </w:rPr>
            </w:pPr>
            <w:r>
              <w:rPr>
                <w:sz w:val="14"/>
              </w:rPr>
              <w:t>4,374</w:t>
            </w:r>
          </w:p>
        </w:tc>
        <w:tc>
          <w:tcPr>
            <w:tcW w:w="720" w:type="dxa"/>
            <w:tcBorders>
              <w:left w:val="nil"/>
              <w:bottom w:val="nil"/>
              <w:right w:val="nil"/>
            </w:tcBorders>
          </w:tcPr>
          <w:p>
            <w:pPr>
              <w:pStyle w:val="TableParagraph"/>
              <w:spacing w:before="36"/>
              <w:ind w:right="112"/>
              <w:rPr>
                <w:sz w:val="14"/>
              </w:rPr>
            </w:pPr>
            <w:r>
              <w:rPr>
                <w:sz w:val="14"/>
              </w:rPr>
              <w:t>5,274</w:t>
            </w:r>
          </w:p>
        </w:tc>
      </w:tr>
      <w:tr>
        <w:trPr>
          <w:trHeight w:val="240" w:hRule="exact"/>
        </w:trPr>
        <w:tc>
          <w:tcPr>
            <w:tcW w:w="2004" w:type="dxa"/>
            <w:tcBorders>
              <w:top w:val="nil"/>
              <w:left w:val="nil"/>
              <w:bottom w:val="nil"/>
              <w:right w:val="nil"/>
            </w:tcBorders>
          </w:tcPr>
          <w:p>
            <w:pPr>
              <w:pStyle w:val="TableParagraph"/>
              <w:spacing w:before="72"/>
              <w:ind w:left="35"/>
              <w:jc w:val="left"/>
              <w:rPr>
                <w:sz w:val="14"/>
              </w:rPr>
            </w:pPr>
            <w:r>
              <w:rPr>
                <w:sz w:val="14"/>
              </w:rPr>
              <w:t>Rendimiento sobre activos (</w:t>
            </w:r>
            <w:r>
              <w:rPr>
                <w:sz w:val="11"/>
              </w:rPr>
              <w:t>ROA</w:t>
            </w:r>
            <w:r>
              <w:rPr>
                <w:sz w:val="14"/>
              </w:rPr>
              <w:t>)</w:t>
            </w:r>
          </w:p>
        </w:tc>
        <w:tc>
          <w:tcPr>
            <w:tcW w:w="1567" w:type="dxa"/>
            <w:tcBorders>
              <w:top w:val="nil"/>
              <w:left w:val="nil"/>
              <w:bottom w:val="nil"/>
              <w:right w:val="nil"/>
            </w:tcBorders>
          </w:tcPr>
          <w:p>
            <w:pPr>
              <w:pStyle w:val="TableParagraph"/>
              <w:tabs>
                <w:tab w:pos="776" w:val="left" w:leader="none"/>
              </w:tabs>
              <w:spacing w:before="72"/>
              <w:ind w:right="47"/>
              <w:rPr>
                <w:sz w:val="14"/>
              </w:rPr>
            </w:pPr>
            <w:r>
              <w:rPr>
                <w:sz w:val="14"/>
              </w:rPr>
              <w:t>13.83%</w:t>
              <w:tab/>
              <w:t>-13.74%</w:t>
            </w:r>
          </w:p>
        </w:tc>
        <w:tc>
          <w:tcPr>
            <w:tcW w:w="934" w:type="dxa"/>
            <w:tcBorders>
              <w:top w:val="nil"/>
              <w:left w:val="nil"/>
              <w:bottom w:val="nil"/>
              <w:right w:val="nil"/>
            </w:tcBorders>
          </w:tcPr>
          <w:p>
            <w:pPr>
              <w:pStyle w:val="TableParagraph"/>
              <w:spacing w:before="72"/>
              <w:ind w:right="6"/>
              <w:rPr>
                <w:sz w:val="14"/>
              </w:rPr>
            </w:pPr>
            <w:r>
              <w:rPr>
                <w:sz w:val="14"/>
              </w:rPr>
              <w:t>-152.02%</w:t>
            </w:r>
          </w:p>
        </w:tc>
        <w:tc>
          <w:tcPr>
            <w:tcW w:w="806" w:type="dxa"/>
            <w:tcBorders>
              <w:top w:val="nil"/>
              <w:left w:val="nil"/>
              <w:bottom w:val="nil"/>
              <w:right w:val="nil"/>
            </w:tcBorders>
          </w:tcPr>
          <w:p>
            <w:pPr>
              <w:pStyle w:val="TableParagraph"/>
              <w:spacing w:before="72"/>
              <w:rPr>
                <w:sz w:val="14"/>
              </w:rPr>
            </w:pPr>
            <w:r>
              <w:rPr>
                <w:sz w:val="14"/>
              </w:rPr>
              <w:t>2.51%</w:t>
            </w:r>
          </w:p>
        </w:tc>
        <w:tc>
          <w:tcPr>
            <w:tcW w:w="1203" w:type="dxa"/>
            <w:tcBorders>
              <w:top w:val="nil"/>
              <w:left w:val="nil"/>
              <w:bottom w:val="nil"/>
              <w:right w:val="nil"/>
            </w:tcBorders>
          </w:tcPr>
          <w:p>
            <w:pPr>
              <w:pStyle w:val="TableParagraph"/>
              <w:spacing w:before="72"/>
              <w:ind w:right="354"/>
              <w:rPr>
                <w:sz w:val="14"/>
              </w:rPr>
            </w:pPr>
            <w:r>
              <w:rPr>
                <w:sz w:val="14"/>
              </w:rPr>
              <w:t>0.31%</w:t>
            </w:r>
          </w:p>
        </w:tc>
        <w:tc>
          <w:tcPr>
            <w:tcW w:w="720" w:type="dxa"/>
            <w:tcBorders>
              <w:top w:val="nil"/>
              <w:left w:val="nil"/>
              <w:bottom w:val="nil"/>
              <w:right w:val="nil"/>
            </w:tcBorders>
          </w:tcPr>
          <w:p>
            <w:pPr>
              <w:pStyle w:val="TableParagraph"/>
              <w:spacing w:before="72"/>
              <w:ind w:right="111"/>
              <w:rPr>
                <w:sz w:val="14"/>
              </w:rPr>
            </w:pPr>
            <w:r>
              <w:rPr>
                <w:sz w:val="14"/>
              </w:rPr>
              <w:t>-1.16%</w:t>
            </w:r>
          </w:p>
        </w:tc>
      </w:tr>
      <w:tr>
        <w:trPr>
          <w:trHeight w:val="168" w:hRule="exact"/>
        </w:trPr>
        <w:tc>
          <w:tcPr>
            <w:tcW w:w="2004" w:type="dxa"/>
            <w:tcBorders>
              <w:top w:val="nil"/>
              <w:left w:val="nil"/>
              <w:bottom w:val="nil"/>
              <w:right w:val="nil"/>
            </w:tcBorders>
          </w:tcPr>
          <w:p>
            <w:pPr>
              <w:pStyle w:val="TableParagraph"/>
              <w:spacing w:line="162" w:lineRule="exact"/>
              <w:ind w:left="35"/>
              <w:jc w:val="left"/>
              <w:rPr>
                <w:sz w:val="14"/>
              </w:rPr>
            </w:pPr>
            <w:r>
              <w:rPr>
                <w:sz w:val="14"/>
              </w:rPr>
              <w:t>Costo social </w:t>
            </w:r>
            <w:r>
              <w:rPr>
                <w:position w:val="6"/>
                <w:sz w:val="9"/>
              </w:rPr>
              <w:t>c  </w:t>
            </w:r>
            <w:r>
              <w:rPr>
                <w:sz w:val="14"/>
              </w:rPr>
              <w:t>(millones de pesos)</w:t>
            </w:r>
          </w:p>
        </w:tc>
        <w:tc>
          <w:tcPr>
            <w:tcW w:w="1567" w:type="dxa"/>
            <w:tcBorders>
              <w:top w:val="nil"/>
              <w:left w:val="nil"/>
              <w:bottom w:val="nil"/>
              <w:right w:val="nil"/>
            </w:tcBorders>
          </w:tcPr>
          <w:p>
            <w:pPr>
              <w:pStyle w:val="TableParagraph"/>
              <w:ind w:right="47"/>
              <w:rPr>
                <w:sz w:val="14"/>
              </w:rPr>
            </w:pPr>
            <w:r>
              <w:rPr>
                <w:sz w:val="14"/>
              </w:rPr>
              <w:t>4,010.1</w:t>
            </w:r>
          </w:p>
        </w:tc>
        <w:tc>
          <w:tcPr>
            <w:tcW w:w="934" w:type="dxa"/>
            <w:tcBorders>
              <w:top w:val="nil"/>
              <w:left w:val="nil"/>
              <w:bottom w:val="nil"/>
              <w:right w:val="nil"/>
            </w:tcBorders>
          </w:tcPr>
          <w:p>
            <w:pPr>
              <w:pStyle w:val="TableParagraph"/>
              <w:ind w:right="6"/>
              <w:rPr>
                <w:sz w:val="14"/>
              </w:rPr>
            </w:pPr>
            <w:r>
              <w:rPr>
                <w:sz w:val="14"/>
              </w:rPr>
              <w:t>145,113.7</w:t>
            </w:r>
          </w:p>
        </w:tc>
        <w:tc>
          <w:tcPr>
            <w:tcW w:w="806" w:type="dxa"/>
            <w:tcBorders>
              <w:top w:val="nil"/>
              <w:left w:val="nil"/>
              <w:bottom w:val="nil"/>
              <w:right w:val="nil"/>
            </w:tcBorders>
          </w:tcPr>
          <w:p>
            <w:pPr>
              <w:pStyle w:val="TableParagraph"/>
              <w:rPr>
                <w:sz w:val="14"/>
              </w:rPr>
            </w:pPr>
            <w:r>
              <w:rPr>
                <w:sz w:val="14"/>
              </w:rPr>
              <w:t>675.6</w:t>
            </w:r>
          </w:p>
        </w:tc>
        <w:tc>
          <w:tcPr>
            <w:tcW w:w="1203" w:type="dxa"/>
            <w:tcBorders>
              <w:top w:val="nil"/>
              <w:left w:val="nil"/>
              <w:bottom w:val="nil"/>
              <w:right w:val="nil"/>
            </w:tcBorders>
          </w:tcPr>
          <w:p>
            <w:pPr>
              <w:pStyle w:val="TableParagraph"/>
              <w:ind w:right="354"/>
              <w:rPr>
                <w:sz w:val="14"/>
              </w:rPr>
            </w:pPr>
            <w:r>
              <w:rPr>
                <w:sz w:val="14"/>
              </w:rPr>
              <w:t>965.2</w:t>
            </w:r>
          </w:p>
        </w:tc>
        <w:tc>
          <w:tcPr>
            <w:tcW w:w="720" w:type="dxa"/>
            <w:tcBorders>
              <w:top w:val="nil"/>
              <w:left w:val="nil"/>
              <w:bottom w:val="nil"/>
              <w:right w:val="nil"/>
            </w:tcBorders>
          </w:tcPr>
          <w:p>
            <w:pPr>
              <w:pStyle w:val="TableParagraph"/>
              <w:ind w:right="112"/>
              <w:rPr>
                <w:sz w:val="14"/>
              </w:rPr>
            </w:pPr>
            <w:r>
              <w:rPr>
                <w:sz w:val="14"/>
              </w:rPr>
              <w:t>1,185.8</w:t>
            </w:r>
          </w:p>
        </w:tc>
      </w:tr>
      <w:tr>
        <w:trPr>
          <w:trHeight w:val="206" w:hRule="exact"/>
        </w:trPr>
        <w:tc>
          <w:tcPr>
            <w:tcW w:w="2004" w:type="dxa"/>
            <w:tcBorders>
              <w:top w:val="nil"/>
              <w:left w:val="nil"/>
              <w:right w:val="nil"/>
            </w:tcBorders>
          </w:tcPr>
          <w:p>
            <w:pPr>
              <w:pStyle w:val="TableParagraph"/>
              <w:spacing w:line="162" w:lineRule="exact"/>
              <w:ind w:left="35"/>
              <w:jc w:val="left"/>
              <w:rPr>
                <w:sz w:val="14"/>
              </w:rPr>
            </w:pPr>
            <w:r>
              <w:rPr>
                <w:sz w:val="14"/>
              </w:rPr>
              <w:t>Costo social </w:t>
            </w:r>
            <w:r>
              <w:rPr>
                <w:position w:val="6"/>
                <w:sz w:val="10"/>
              </w:rPr>
              <w:t>d </w:t>
            </w:r>
            <w:r>
              <w:rPr>
                <w:sz w:val="14"/>
              </w:rPr>
              <w:t>(millones de pesos)</w:t>
            </w:r>
          </w:p>
        </w:tc>
        <w:tc>
          <w:tcPr>
            <w:tcW w:w="1567" w:type="dxa"/>
            <w:tcBorders>
              <w:top w:val="nil"/>
              <w:left w:val="nil"/>
              <w:right w:val="nil"/>
            </w:tcBorders>
          </w:tcPr>
          <w:p>
            <w:pPr>
              <w:pStyle w:val="TableParagraph"/>
              <w:ind w:right="47"/>
              <w:rPr>
                <w:sz w:val="14"/>
              </w:rPr>
            </w:pPr>
            <w:r>
              <w:rPr>
                <w:sz w:val="14"/>
              </w:rPr>
              <w:t>22,133.5</w:t>
            </w:r>
          </w:p>
        </w:tc>
        <w:tc>
          <w:tcPr>
            <w:tcW w:w="934" w:type="dxa"/>
            <w:tcBorders>
              <w:top w:val="nil"/>
              <w:left w:val="nil"/>
              <w:right w:val="nil"/>
            </w:tcBorders>
          </w:tcPr>
          <w:p>
            <w:pPr>
              <w:pStyle w:val="TableParagraph"/>
              <w:ind w:right="6"/>
              <w:rPr>
                <w:sz w:val="14"/>
              </w:rPr>
            </w:pPr>
            <w:r>
              <w:rPr>
                <w:sz w:val="14"/>
              </w:rPr>
              <w:t>133,146.1</w:t>
            </w:r>
          </w:p>
        </w:tc>
        <w:tc>
          <w:tcPr>
            <w:tcW w:w="806" w:type="dxa"/>
            <w:tcBorders>
              <w:top w:val="nil"/>
              <w:left w:val="nil"/>
              <w:right w:val="nil"/>
            </w:tcBorders>
          </w:tcPr>
          <w:p>
            <w:pPr>
              <w:pStyle w:val="TableParagraph"/>
              <w:rPr>
                <w:sz w:val="14"/>
              </w:rPr>
            </w:pPr>
            <w:r>
              <w:rPr>
                <w:sz w:val="14"/>
              </w:rPr>
              <w:t>9,085.0</w:t>
            </w:r>
          </w:p>
        </w:tc>
        <w:tc>
          <w:tcPr>
            <w:tcW w:w="1203" w:type="dxa"/>
            <w:tcBorders>
              <w:top w:val="nil"/>
              <w:left w:val="nil"/>
              <w:right w:val="nil"/>
            </w:tcBorders>
          </w:tcPr>
          <w:p>
            <w:pPr>
              <w:pStyle w:val="TableParagraph"/>
              <w:ind w:right="354"/>
              <w:rPr>
                <w:sz w:val="14"/>
              </w:rPr>
            </w:pPr>
            <w:r>
              <w:rPr>
                <w:sz w:val="14"/>
              </w:rPr>
              <w:t>10,858.7</w:t>
            </w:r>
          </w:p>
        </w:tc>
        <w:tc>
          <w:tcPr>
            <w:tcW w:w="720" w:type="dxa"/>
            <w:tcBorders>
              <w:top w:val="nil"/>
              <w:left w:val="nil"/>
              <w:right w:val="nil"/>
            </w:tcBorders>
          </w:tcPr>
          <w:p>
            <w:pPr>
              <w:pStyle w:val="TableParagraph"/>
              <w:ind w:right="112"/>
              <w:rPr>
                <w:sz w:val="14"/>
              </w:rPr>
            </w:pPr>
            <w:r>
              <w:rPr>
                <w:sz w:val="14"/>
              </w:rPr>
              <w:t>12,035.8</w:t>
            </w:r>
          </w:p>
        </w:tc>
      </w:tr>
    </w:tbl>
    <w:p>
      <w:pPr>
        <w:spacing w:line="210" w:lineRule="exact" w:before="4"/>
        <w:ind w:left="137" w:right="0" w:firstLine="0"/>
        <w:jc w:val="both"/>
        <w:rPr>
          <w:sz w:val="18"/>
        </w:rPr>
      </w:pPr>
      <w:r>
        <w:rPr>
          <w:position w:val="7"/>
          <w:sz w:val="12"/>
        </w:rPr>
        <w:t>a  </w:t>
      </w:r>
      <w:r>
        <w:rPr>
          <w:sz w:val="18"/>
        </w:rPr>
        <w:t>Excepto las cifras de activos.</w:t>
      </w:r>
    </w:p>
    <w:p>
      <w:pPr>
        <w:spacing w:line="200" w:lineRule="exact" w:before="0"/>
        <w:ind w:left="137" w:right="0" w:firstLine="0"/>
        <w:jc w:val="both"/>
        <w:rPr>
          <w:sz w:val="18"/>
        </w:rPr>
      </w:pPr>
      <w:r>
        <w:rPr>
          <w:position w:val="7"/>
          <w:sz w:val="12"/>
        </w:rPr>
        <w:t>b  </w:t>
      </w:r>
      <w:r>
        <w:rPr>
          <w:sz w:val="18"/>
        </w:rPr>
        <w:t>Earnings Before Interest, Taxes, Depreciation and Amortization.</w:t>
      </w:r>
    </w:p>
    <w:p>
      <w:pPr>
        <w:spacing w:line="200" w:lineRule="exact" w:before="0"/>
        <w:ind w:left="137" w:right="0" w:firstLine="0"/>
        <w:jc w:val="both"/>
        <w:rPr>
          <w:sz w:val="18"/>
        </w:rPr>
      </w:pPr>
      <w:r>
        <w:rPr>
          <w:position w:val="7"/>
          <w:sz w:val="12"/>
        </w:rPr>
        <w:t>c </w:t>
      </w:r>
      <w:r>
        <w:rPr>
          <w:sz w:val="18"/>
        </w:rPr>
        <w:t>Harberger.</w:t>
      </w:r>
    </w:p>
    <w:p>
      <w:pPr>
        <w:spacing w:line="207" w:lineRule="exact" w:before="0"/>
        <w:ind w:left="137" w:right="0" w:firstLine="0"/>
        <w:jc w:val="both"/>
        <w:rPr>
          <w:sz w:val="18"/>
        </w:rPr>
      </w:pPr>
      <w:r>
        <w:rPr>
          <w:position w:val="7"/>
          <w:sz w:val="12"/>
        </w:rPr>
        <w:t>d </w:t>
      </w:r>
      <w:r>
        <w:rPr>
          <w:sz w:val="18"/>
        </w:rPr>
        <w:t>Cowing-Mueller.</w:t>
      </w:r>
    </w:p>
    <w:p>
      <w:pPr>
        <w:spacing w:line="200" w:lineRule="exact" w:before="4"/>
        <w:ind w:left="137" w:right="126" w:firstLine="0"/>
        <w:jc w:val="both"/>
        <w:rPr>
          <w:sz w:val="18"/>
        </w:rPr>
      </w:pPr>
      <w:r>
        <w:rPr>
          <w:sz w:val="18"/>
        </w:rPr>
        <w:t>Fuente: reportes ﬁnancieros de las empresas, obtenidos de los siguientes sitios de </w:t>
      </w:r>
      <w:r>
        <w:rPr>
          <w:i/>
          <w:sz w:val="18"/>
        </w:rPr>
        <w:t>internet</w:t>
      </w:r>
      <w:r>
        <w:rPr>
          <w:sz w:val="18"/>
        </w:rPr>
        <w:t>. México </w:t>
      </w:r>
      <w:r>
        <w:rPr>
          <w:spacing w:val="-3"/>
          <w:sz w:val="18"/>
        </w:rPr>
        <w:t>(http://www.telmex.com.mx); </w:t>
      </w:r>
      <w:r>
        <w:rPr>
          <w:sz w:val="18"/>
        </w:rPr>
        <w:t>Canadá </w:t>
      </w:r>
      <w:r>
        <w:rPr>
          <w:spacing w:val="-3"/>
          <w:sz w:val="18"/>
        </w:rPr>
        <w:t>(</w:t>
      </w:r>
      <w:hyperlink r:id="rId9">
        <w:r>
          <w:rPr>
            <w:spacing w:val="-3"/>
            <w:sz w:val="18"/>
          </w:rPr>
          <w:t>http://www.att.com/canada);</w:t>
        </w:r>
      </w:hyperlink>
      <w:r>
        <w:rPr>
          <w:spacing w:val="-3"/>
          <w:sz w:val="18"/>
        </w:rPr>
        <w:t> Argentina (http://www.telefonica. </w:t>
      </w:r>
      <w:r>
        <w:rPr>
          <w:sz w:val="18"/>
        </w:rPr>
        <w:t>com.ar);</w:t>
      </w:r>
      <w:r>
        <w:rPr>
          <w:spacing w:val="-30"/>
          <w:sz w:val="18"/>
        </w:rPr>
        <w:t> </w:t>
      </w:r>
      <w:r>
        <w:rPr>
          <w:sz w:val="18"/>
        </w:rPr>
        <w:t>Perú</w:t>
      </w:r>
      <w:r>
        <w:rPr>
          <w:spacing w:val="-30"/>
          <w:sz w:val="18"/>
        </w:rPr>
        <w:t> </w:t>
      </w:r>
      <w:r>
        <w:rPr>
          <w:sz w:val="18"/>
        </w:rPr>
        <w:t>(http://www.telefonica.com.pe);</w:t>
      </w:r>
      <w:r>
        <w:rPr>
          <w:spacing w:val="-30"/>
          <w:sz w:val="18"/>
        </w:rPr>
        <w:t> </w:t>
      </w:r>
      <w:r>
        <w:rPr>
          <w:sz w:val="18"/>
        </w:rPr>
        <w:t>Chile</w:t>
      </w:r>
      <w:r>
        <w:rPr>
          <w:spacing w:val="-30"/>
          <w:sz w:val="18"/>
        </w:rPr>
        <w:t> </w:t>
      </w:r>
      <w:r>
        <w:rPr>
          <w:sz w:val="18"/>
        </w:rPr>
        <w:t>(http://www.ctc.cl);</w:t>
      </w:r>
      <w:r>
        <w:rPr>
          <w:spacing w:val="-30"/>
          <w:sz w:val="18"/>
        </w:rPr>
        <w:t> </w:t>
      </w:r>
      <w:r>
        <w:rPr>
          <w:sz w:val="18"/>
        </w:rPr>
        <w:t>Brasil</w:t>
      </w:r>
      <w:r>
        <w:rPr>
          <w:spacing w:val="-30"/>
          <w:sz w:val="18"/>
        </w:rPr>
        <w:t> </w:t>
      </w:r>
      <w:r>
        <w:rPr>
          <w:sz w:val="18"/>
        </w:rPr>
        <w:t>(http://www.embratel. com.br).</w:t>
      </w:r>
    </w:p>
    <w:p>
      <w:pPr>
        <w:pStyle w:val="BodyText"/>
        <w:spacing w:before="6"/>
        <w:rPr>
          <w:sz w:val="17"/>
        </w:rPr>
      </w:pPr>
    </w:p>
    <w:p>
      <w:pPr>
        <w:spacing w:before="60"/>
        <w:ind w:left="364" w:right="37" w:firstLine="0"/>
        <w:jc w:val="left"/>
        <w:rPr>
          <w:sz w:val="22"/>
        </w:rPr>
      </w:pPr>
      <w:r>
        <w:rPr>
          <w:i/>
          <w:sz w:val="22"/>
        </w:rPr>
        <w:t>Journal of Economics</w:t>
      </w:r>
      <w:r>
        <w:rPr>
          <w:sz w:val="22"/>
        </w:rPr>
        <w:t>, febrero.</w:t>
      </w:r>
    </w:p>
    <w:p>
      <w:pPr>
        <w:spacing w:line="249" w:lineRule="auto" w:before="11"/>
        <w:ind w:left="363" w:right="37" w:hanging="227"/>
        <w:jc w:val="left"/>
        <w:rPr>
          <w:sz w:val="22"/>
        </w:rPr>
      </w:pPr>
      <w:r>
        <w:rPr>
          <w:sz w:val="22"/>
        </w:rPr>
        <w:t>Carlton, D. W. y J. M. Perloff (2000). </w:t>
      </w:r>
      <w:r>
        <w:rPr>
          <w:i/>
          <w:sz w:val="22"/>
        </w:rPr>
        <w:t>Modern industrial organization</w:t>
      </w:r>
      <w:r>
        <w:rPr>
          <w:sz w:val="22"/>
        </w:rPr>
        <w:t>, Addison Wesley Longman.</w:t>
      </w:r>
    </w:p>
    <w:p>
      <w:pPr>
        <w:pStyle w:val="BodyText"/>
        <w:spacing w:before="1"/>
        <w:ind w:left="136" w:right="37"/>
      </w:pPr>
      <w:r>
        <w:rPr/>
        <w:t>Cowling, K. y D. C. Mueller (1978). “The social costs of monopoly power” en</w:t>
      </w:r>
    </w:p>
    <w:p>
      <w:pPr>
        <w:spacing w:before="11"/>
        <w:ind w:left="364" w:right="37" w:firstLine="0"/>
        <w:jc w:val="left"/>
        <w:rPr>
          <w:sz w:val="22"/>
        </w:rPr>
      </w:pPr>
      <w:r>
        <w:rPr>
          <w:i/>
          <w:sz w:val="22"/>
        </w:rPr>
        <w:t>Economic Journal 88</w:t>
      </w:r>
      <w:r>
        <w:rPr>
          <w:sz w:val="22"/>
        </w:rPr>
        <w:t>, diciembre, pp. 727-748.</w:t>
      </w:r>
    </w:p>
    <w:p>
      <w:pPr>
        <w:spacing w:line="249" w:lineRule="auto" w:before="11"/>
        <w:ind w:left="364" w:right="37" w:hanging="227"/>
        <w:jc w:val="left"/>
        <w:rPr>
          <w:sz w:val="22"/>
        </w:rPr>
      </w:pPr>
      <w:r>
        <w:rPr>
          <w:spacing w:val="-4"/>
          <w:sz w:val="22"/>
        </w:rPr>
        <w:t>Harberger,</w:t>
      </w:r>
      <w:r>
        <w:rPr>
          <w:spacing w:val="-31"/>
          <w:sz w:val="22"/>
        </w:rPr>
        <w:t> </w:t>
      </w:r>
      <w:r>
        <w:rPr>
          <w:sz w:val="22"/>
        </w:rPr>
        <w:t>A.</w:t>
      </w:r>
      <w:r>
        <w:rPr>
          <w:spacing w:val="-19"/>
          <w:sz w:val="22"/>
        </w:rPr>
        <w:t> </w:t>
      </w:r>
      <w:r>
        <w:rPr>
          <w:sz w:val="22"/>
        </w:rPr>
        <w:t>C.</w:t>
      </w:r>
      <w:r>
        <w:rPr>
          <w:spacing w:val="-19"/>
          <w:sz w:val="22"/>
        </w:rPr>
        <w:t> </w:t>
      </w:r>
      <w:r>
        <w:rPr>
          <w:spacing w:val="-3"/>
          <w:sz w:val="22"/>
        </w:rPr>
        <w:t>(1954).</w:t>
      </w:r>
      <w:r>
        <w:rPr>
          <w:spacing w:val="-19"/>
          <w:sz w:val="22"/>
        </w:rPr>
        <w:t> </w:t>
      </w:r>
      <w:r>
        <w:rPr>
          <w:spacing w:val="-3"/>
          <w:sz w:val="22"/>
        </w:rPr>
        <w:t>“Monopoly</w:t>
      </w:r>
      <w:r>
        <w:rPr>
          <w:spacing w:val="-19"/>
          <w:sz w:val="22"/>
        </w:rPr>
        <w:t> </w:t>
      </w:r>
      <w:r>
        <w:rPr>
          <w:sz w:val="22"/>
        </w:rPr>
        <w:t>and</w:t>
      </w:r>
      <w:r>
        <w:rPr>
          <w:spacing w:val="-19"/>
          <w:sz w:val="22"/>
        </w:rPr>
        <w:t> </w:t>
      </w:r>
      <w:r>
        <w:rPr>
          <w:spacing w:val="-3"/>
          <w:sz w:val="22"/>
        </w:rPr>
        <w:t>resource</w:t>
      </w:r>
      <w:r>
        <w:rPr>
          <w:spacing w:val="-19"/>
          <w:sz w:val="22"/>
        </w:rPr>
        <w:t> </w:t>
      </w:r>
      <w:r>
        <w:rPr>
          <w:spacing w:val="-3"/>
          <w:sz w:val="22"/>
        </w:rPr>
        <w:t>allocation”</w:t>
      </w:r>
      <w:r>
        <w:rPr>
          <w:spacing w:val="-19"/>
          <w:sz w:val="22"/>
        </w:rPr>
        <w:t> </w:t>
      </w:r>
      <w:r>
        <w:rPr>
          <w:sz w:val="22"/>
        </w:rPr>
        <w:t>en</w:t>
      </w:r>
      <w:r>
        <w:rPr>
          <w:spacing w:val="-20"/>
          <w:sz w:val="22"/>
        </w:rPr>
        <w:t> </w:t>
      </w:r>
      <w:r>
        <w:rPr>
          <w:i/>
          <w:spacing w:val="-3"/>
          <w:sz w:val="22"/>
        </w:rPr>
        <w:t>American</w:t>
      </w:r>
      <w:r>
        <w:rPr>
          <w:i/>
          <w:spacing w:val="-19"/>
          <w:sz w:val="22"/>
        </w:rPr>
        <w:t> </w:t>
      </w:r>
      <w:r>
        <w:rPr>
          <w:i/>
          <w:spacing w:val="-3"/>
          <w:sz w:val="22"/>
        </w:rPr>
        <w:t>Economic </w:t>
      </w:r>
      <w:r>
        <w:rPr>
          <w:i/>
          <w:sz w:val="22"/>
        </w:rPr>
        <w:t>Review 44</w:t>
      </w:r>
      <w:r>
        <w:rPr>
          <w:sz w:val="22"/>
        </w:rPr>
        <w:t>, pp.</w:t>
      </w:r>
      <w:r>
        <w:rPr>
          <w:spacing w:val="-1"/>
          <w:sz w:val="22"/>
        </w:rPr>
        <w:t> </w:t>
      </w:r>
      <w:r>
        <w:rPr>
          <w:sz w:val="22"/>
        </w:rPr>
        <w:t>77-87.</w:t>
      </w:r>
    </w:p>
    <w:p>
      <w:pPr>
        <w:spacing w:line="249" w:lineRule="auto" w:before="1"/>
        <w:ind w:left="364" w:right="37" w:firstLine="603"/>
        <w:jc w:val="left"/>
        <w:rPr>
          <w:sz w:val="22"/>
        </w:rPr>
      </w:pPr>
      <w:r>
        <w:rPr/>
        <w:pict>
          <v:line style="position:absolute;mso-position-horizontal-relative:page;mso-position-vertical-relative:paragraph;z-index:-16912" from="53.85001pt,6.693388pt" to="92.350011pt,6.693388pt" stroked="true" strokeweight=".37730pt" strokecolor="#000000">
            <w10:wrap type="none"/>
          </v:line>
        </w:pict>
      </w:r>
      <w:r>
        <w:rPr>
          <w:sz w:val="22"/>
        </w:rPr>
        <w:t>(1971). “Three basic postulates for applied welfare economics: an inter- pretative essay” en </w:t>
      </w:r>
      <w:r>
        <w:rPr>
          <w:i/>
          <w:sz w:val="22"/>
        </w:rPr>
        <w:t>Journal of Economic Literature 9</w:t>
      </w:r>
      <w:r>
        <w:rPr>
          <w:sz w:val="22"/>
        </w:rPr>
        <w:t>, pp. 109-138.</w:t>
      </w:r>
    </w:p>
    <w:p>
      <w:pPr>
        <w:spacing w:line="249" w:lineRule="auto" w:before="1"/>
        <w:ind w:left="364" w:right="37" w:hanging="227"/>
        <w:jc w:val="left"/>
        <w:rPr>
          <w:sz w:val="22"/>
        </w:rPr>
      </w:pPr>
      <w:r>
        <w:rPr>
          <w:sz w:val="22"/>
        </w:rPr>
        <w:t>Lerner, A. (1934). “The concept of monopoly and the measurement of monopoly power” en </w:t>
      </w:r>
      <w:r>
        <w:rPr>
          <w:i/>
          <w:sz w:val="22"/>
        </w:rPr>
        <w:t>Review of Economic Studies</w:t>
      </w:r>
      <w:r>
        <w:rPr>
          <w:sz w:val="22"/>
        </w:rPr>
        <w:t>, junio.</w:t>
      </w:r>
    </w:p>
    <w:p>
      <w:pPr>
        <w:spacing w:line="249" w:lineRule="auto" w:before="1"/>
        <w:ind w:left="364" w:right="37" w:hanging="227"/>
        <w:jc w:val="left"/>
        <w:rPr>
          <w:sz w:val="22"/>
        </w:rPr>
      </w:pPr>
      <w:r>
        <w:rPr>
          <w:sz w:val="22"/>
        </w:rPr>
        <w:t>Mussa, M. y S. Rosen (1978). “Monopoly and product quality” en </w:t>
      </w:r>
      <w:r>
        <w:rPr>
          <w:i/>
          <w:sz w:val="22"/>
        </w:rPr>
        <w:t>Journal of Eco- </w:t>
      </w:r>
      <w:r>
        <w:rPr>
          <w:i/>
          <w:sz w:val="22"/>
        </w:rPr>
        <w:t>nomic Theory 18</w:t>
      </w:r>
      <w:r>
        <w:rPr>
          <w:sz w:val="22"/>
        </w:rPr>
        <w:t>, pp. 301-317.</w:t>
      </w:r>
    </w:p>
    <w:p>
      <w:pPr>
        <w:spacing w:line="249" w:lineRule="auto" w:before="1"/>
        <w:ind w:left="364" w:right="114" w:hanging="227"/>
        <w:jc w:val="left"/>
        <w:rPr>
          <w:sz w:val="22"/>
        </w:rPr>
      </w:pPr>
      <w:r>
        <w:rPr>
          <w:sz w:val="22"/>
        </w:rPr>
        <w:t>Newbery,</w:t>
      </w:r>
      <w:r>
        <w:rPr>
          <w:spacing w:val="-16"/>
          <w:sz w:val="22"/>
        </w:rPr>
        <w:t> </w:t>
      </w:r>
      <w:r>
        <w:rPr>
          <w:sz w:val="22"/>
        </w:rPr>
        <w:t>David</w:t>
      </w:r>
      <w:r>
        <w:rPr>
          <w:spacing w:val="-16"/>
          <w:sz w:val="22"/>
        </w:rPr>
        <w:t> </w:t>
      </w:r>
      <w:r>
        <w:rPr>
          <w:sz w:val="22"/>
        </w:rPr>
        <w:t>M.</w:t>
      </w:r>
      <w:r>
        <w:rPr>
          <w:spacing w:val="-16"/>
          <w:sz w:val="22"/>
        </w:rPr>
        <w:t> </w:t>
      </w:r>
      <w:r>
        <w:rPr>
          <w:sz w:val="22"/>
        </w:rPr>
        <w:t>(1999).</w:t>
      </w:r>
      <w:r>
        <w:rPr>
          <w:spacing w:val="-16"/>
          <w:sz w:val="22"/>
        </w:rPr>
        <w:t> </w:t>
      </w:r>
      <w:r>
        <w:rPr>
          <w:i/>
          <w:sz w:val="22"/>
        </w:rPr>
        <w:t>Privatization,</w:t>
      </w:r>
      <w:r>
        <w:rPr>
          <w:i/>
          <w:spacing w:val="-16"/>
          <w:sz w:val="22"/>
        </w:rPr>
        <w:t> </w:t>
      </w:r>
      <w:r>
        <w:rPr>
          <w:i/>
          <w:sz w:val="22"/>
        </w:rPr>
        <w:t>restructuring,</w:t>
      </w:r>
      <w:r>
        <w:rPr>
          <w:i/>
          <w:spacing w:val="-16"/>
          <w:sz w:val="22"/>
        </w:rPr>
        <w:t> </w:t>
      </w:r>
      <w:r>
        <w:rPr>
          <w:i/>
          <w:sz w:val="22"/>
        </w:rPr>
        <w:t>and</w:t>
      </w:r>
      <w:r>
        <w:rPr>
          <w:i/>
          <w:spacing w:val="-16"/>
          <w:sz w:val="22"/>
        </w:rPr>
        <w:t> </w:t>
      </w:r>
      <w:r>
        <w:rPr>
          <w:i/>
          <w:sz w:val="22"/>
        </w:rPr>
        <w:t>regulation</w:t>
      </w:r>
      <w:r>
        <w:rPr>
          <w:i/>
          <w:spacing w:val="-16"/>
          <w:sz w:val="22"/>
        </w:rPr>
        <w:t> </w:t>
      </w:r>
      <w:r>
        <w:rPr>
          <w:i/>
          <w:sz w:val="22"/>
        </w:rPr>
        <w:t>of</w:t>
      </w:r>
      <w:r>
        <w:rPr>
          <w:i/>
          <w:spacing w:val="-16"/>
          <w:sz w:val="22"/>
        </w:rPr>
        <w:t> </w:t>
      </w:r>
      <w:r>
        <w:rPr>
          <w:i/>
          <w:sz w:val="22"/>
        </w:rPr>
        <w:t>network </w:t>
      </w:r>
      <w:r>
        <w:rPr>
          <w:i/>
          <w:sz w:val="22"/>
        </w:rPr>
        <w:t>utilities</w:t>
      </w:r>
      <w:r>
        <w:rPr>
          <w:sz w:val="22"/>
        </w:rPr>
        <w:t>, EUA: </w:t>
      </w:r>
      <w:r>
        <w:rPr>
          <w:sz w:val="17"/>
        </w:rPr>
        <w:t>MIT</w:t>
      </w:r>
      <w:r>
        <w:rPr>
          <w:spacing w:val="22"/>
          <w:sz w:val="17"/>
        </w:rPr>
        <w:t> </w:t>
      </w:r>
      <w:r>
        <w:rPr>
          <w:sz w:val="22"/>
        </w:rPr>
        <w:t>Press.</w:t>
      </w:r>
    </w:p>
    <w:p>
      <w:pPr>
        <w:pStyle w:val="BodyText"/>
        <w:rPr>
          <w:sz w:val="20"/>
        </w:rPr>
      </w:pPr>
    </w:p>
    <w:p>
      <w:pPr>
        <w:pStyle w:val="BodyText"/>
        <w:spacing w:before="10"/>
        <w:rPr>
          <w:sz w:val="21"/>
        </w:rPr>
      </w:pPr>
    </w:p>
    <w:p>
      <w:pPr>
        <w:spacing w:line="249" w:lineRule="auto" w:before="0"/>
        <w:ind w:left="136" w:right="114" w:firstLine="170"/>
        <w:jc w:val="both"/>
        <w:rPr>
          <w:sz w:val="16"/>
        </w:rPr>
      </w:pPr>
      <w:r>
        <w:rPr>
          <w:position w:val="6"/>
          <w:sz w:val="11"/>
        </w:rPr>
        <w:t>9 </w:t>
      </w:r>
      <w:r>
        <w:rPr>
          <w:sz w:val="16"/>
        </w:rPr>
        <w:t>El costo social que resulta según los cálculos efectuados en el presente trabajo (metodología de Cowling y Muller), como proporción del </w:t>
      </w:r>
      <w:r>
        <w:rPr>
          <w:sz w:val="12"/>
        </w:rPr>
        <w:t>PIB </w:t>
      </w:r>
      <w:r>
        <w:rPr>
          <w:sz w:val="16"/>
        </w:rPr>
        <w:t>del país, aplicado al </w:t>
      </w:r>
      <w:r>
        <w:rPr>
          <w:sz w:val="12"/>
        </w:rPr>
        <w:t>PIB </w:t>
      </w:r>
      <w:r>
        <w:rPr>
          <w:sz w:val="16"/>
        </w:rPr>
        <w:t>nominal del primer trimestre de 2004 indica que el costo para la economía mexicana puede alcanzar poco más de 800 millones de dólares ((0.0013 * 7.2 billones (</w:t>
      </w:r>
      <w:r>
        <w:rPr>
          <w:sz w:val="12"/>
        </w:rPr>
        <w:t>PIB </w:t>
      </w:r>
      <w:r>
        <w:rPr>
          <w:sz w:val="16"/>
        </w:rPr>
        <w:t>nominal del primer trimestre de 2004))/11.4 (tipo de cambio interbancario promedio del primer trimestre de 2004)) tan sólo en 2004, incluyendo gastos de publicidad.</w:t>
      </w:r>
    </w:p>
    <w:p>
      <w:pPr>
        <w:spacing w:after="0" w:line="249" w:lineRule="auto"/>
        <w:jc w:val="both"/>
        <w:rPr>
          <w:sz w:val="16"/>
        </w:rPr>
        <w:sectPr>
          <w:type w:val="continuous"/>
          <w:pgSz w:w="9360" w:h="12760"/>
          <w:pgMar w:top="660" w:bottom="280" w:left="940" w:right="960"/>
        </w:sectPr>
      </w:pPr>
    </w:p>
    <w:p>
      <w:pPr>
        <w:pStyle w:val="BodyText"/>
        <w:rPr>
          <w:sz w:val="20"/>
        </w:rPr>
      </w:pPr>
    </w:p>
    <w:p>
      <w:pPr>
        <w:pStyle w:val="BodyText"/>
        <w:spacing w:before="9"/>
        <w:rPr>
          <w:sz w:val="15"/>
        </w:rPr>
      </w:pPr>
    </w:p>
    <w:p>
      <w:pPr>
        <w:spacing w:line="249" w:lineRule="auto" w:before="59"/>
        <w:ind w:left="343" w:right="51" w:hanging="227"/>
        <w:jc w:val="left"/>
        <w:rPr>
          <w:sz w:val="22"/>
        </w:rPr>
      </w:pPr>
      <w:r>
        <w:rPr>
          <w:sz w:val="22"/>
        </w:rPr>
        <w:t>Nicholson, W. (1997). </w:t>
      </w:r>
      <w:r>
        <w:rPr>
          <w:i/>
          <w:sz w:val="22"/>
        </w:rPr>
        <w:t>Teoría microeconómica. Principios básicos y aplicaciones</w:t>
      </w:r>
      <w:r>
        <w:rPr>
          <w:sz w:val="22"/>
        </w:rPr>
        <w:t>, México: McGraw Hill.</w:t>
      </w:r>
    </w:p>
    <w:p>
      <w:pPr>
        <w:spacing w:line="249" w:lineRule="auto" w:before="1"/>
        <w:ind w:left="343" w:right="39" w:hanging="227"/>
        <w:jc w:val="left"/>
        <w:rPr>
          <w:sz w:val="22"/>
        </w:rPr>
      </w:pPr>
      <w:r>
        <w:rPr>
          <w:sz w:val="22"/>
        </w:rPr>
        <w:t>Posner, R. A. (1975). “The social costs of monopoly and regulation” en </w:t>
      </w:r>
      <w:r>
        <w:rPr>
          <w:i/>
          <w:sz w:val="22"/>
        </w:rPr>
        <w:t>Journal of </w:t>
      </w:r>
      <w:r>
        <w:rPr>
          <w:i/>
          <w:sz w:val="22"/>
        </w:rPr>
        <w:t>Political Economy 83</w:t>
      </w:r>
      <w:r>
        <w:rPr>
          <w:sz w:val="22"/>
        </w:rPr>
        <w:t>, pp. 807-827.</w:t>
      </w:r>
    </w:p>
    <w:p>
      <w:pPr>
        <w:spacing w:line="249" w:lineRule="auto" w:before="1"/>
        <w:ind w:left="116" w:right="949" w:firstLine="0"/>
        <w:jc w:val="left"/>
        <w:rPr>
          <w:sz w:val="22"/>
        </w:rPr>
      </w:pPr>
      <w:r>
        <w:rPr>
          <w:sz w:val="22"/>
        </w:rPr>
        <w:t>Stigler, G. J. (1968). </w:t>
      </w:r>
      <w:r>
        <w:rPr>
          <w:i/>
          <w:sz w:val="22"/>
        </w:rPr>
        <w:t>The organization of industry</w:t>
      </w:r>
      <w:r>
        <w:rPr>
          <w:sz w:val="22"/>
        </w:rPr>
        <w:t>, Richard D. Irwin. Tirole, J. (1988). </w:t>
      </w:r>
      <w:r>
        <w:rPr>
          <w:i/>
          <w:sz w:val="22"/>
        </w:rPr>
        <w:t>The theory of industrial organization</w:t>
      </w:r>
      <w:r>
        <w:rPr>
          <w:sz w:val="22"/>
        </w:rPr>
        <w:t>, EUA: </w:t>
      </w:r>
      <w:r>
        <w:rPr>
          <w:sz w:val="17"/>
        </w:rPr>
        <w:t>MIT </w:t>
      </w:r>
      <w:r>
        <w:rPr>
          <w:sz w:val="22"/>
        </w:rPr>
        <w:t>Press.</w:t>
      </w:r>
    </w:p>
    <w:p>
      <w:pPr>
        <w:spacing w:line="249" w:lineRule="auto" w:before="1"/>
        <w:ind w:left="343" w:right="115" w:hanging="227"/>
        <w:jc w:val="left"/>
        <w:rPr>
          <w:sz w:val="22"/>
        </w:rPr>
      </w:pPr>
      <w:r>
        <w:rPr>
          <w:sz w:val="22"/>
        </w:rPr>
        <w:t>Viscusi, W. K., J. M. Vernon y J. E. Harrington (2000). </w:t>
      </w:r>
      <w:r>
        <w:rPr>
          <w:i/>
          <w:sz w:val="22"/>
        </w:rPr>
        <w:t>Economics of regulation </w:t>
      </w:r>
      <w:r>
        <w:rPr>
          <w:i/>
          <w:sz w:val="22"/>
        </w:rPr>
        <w:t>and antitrust</w:t>
      </w:r>
      <w:r>
        <w:rPr>
          <w:sz w:val="22"/>
        </w:rPr>
        <w:t>, EUA: </w:t>
      </w:r>
      <w:r>
        <w:rPr>
          <w:sz w:val="17"/>
        </w:rPr>
        <w:t>MIT </w:t>
      </w:r>
      <w:r>
        <w:rPr>
          <w:sz w:val="22"/>
        </w:rPr>
        <w:t>Press.</w:t>
      </w:r>
    </w:p>
    <w:sectPr>
      <w:pgSz w:w="9360" w:h="12760"/>
      <w:pgMar w:header="771" w:footer="0" w:top="980" w:bottom="280" w:left="960" w:right="9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Symbol">
    <w:altName w:val="Symbol"/>
    <w:charset w:val="2"/>
    <w:family w:val="roman"/>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056" from="54pt,49.150017pt" to="414pt,49.150017pt" stroked="true" strokeweight=".25pt" strokecolor="#000000">
          <w10:wrap type="none"/>
        </v:line>
      </w:pict>
    </w:r>
    <w:r>
      <w:rPr/>
      <w:pict>
        <v:shape style="position:absolute;margin-left:51.85001pt;margin-top:37.550007pt;width:171.55pt;height:11pt;mso-position-horizontal-relative:page;mso-position-vertical-relative:page;z-index:-17032" type="#_x0000_t202" filled="false" stroked="false">
          <v:textbox inset="0,0,0,0">
            <w:txbxContent>
              <w:p>
                <w:pPr>
                  <w:tabs>
                    <w:tab w:pos="549" w:val="left" w:leader="none"/>
                  </w:tabs>
                  <w:spacing w:line="194" w:lineRule="exact" w:before="0"/>
                  <w:ind w:left="40" w:right="0" w:firstLine="0"/>
                  <w:jc w:val="left"/>
                  <w:rPr>
                    <w:i/>
                    <w:sz w:val="18"/>
                  </w:rPr>
                </w:pPr>
                <w:r>
                  <w:rPr/>
                  <w:fldChar w:fldCharType="begin"/>
                </w:r>
                <w:r>
                  <w:rPr>
                    <w:sz w:val="18"/>
                  </w:rPr>
                  <w:instrText> PAGE </w:instrText>
                </w:r>
                <w:r>
                  <w:rPr/>
                  <w:fldChar w:fldCharType="separate"/>
                </w:r>
                <w:r>
                  <w:rPr/>
                  <w:t>188</w:t>
                </w:r>
                <w:r>
                  <w:rPr/>
                  <w:fldChar w:fldCharType="end"/>
                </w:r>
                <w:r>
                  <w:rPr>
                    <w:sz w:val="18"/>
                  </w:rPr>
                  <w:tab/>
                </w:r>
                <w:r>
                  <w:rPr>
                    <w:i/>
                    <w:sz w:val="18"/>
                  </w:rPr>
                  <w:t>González Lugo López, Zurita</w:t>
                </w:r>
                <w:r>
                  <w:rPr>
                    <w:i/>
                    <w:spacing w:val="44"/>
                    <w:sz w:val="18"/>
                  </w:rPr>
                  <w:t> </w:t>
                </w:r>
                <w:r>
                  <w:rPr>
                    <w:i/>
                    <w:sz w:val="18"/>
                  </w:rPr>
                  <w:t>González</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7008" from="53.849979pt,49.150028pt" to="413.849979pt,49.150028pt" stroked="true" strokeweight=".25pt" strokecolor="#000000">
          <w10:wrap type="none"/>
        </v:line>
      </w:pict>
    </w:r>
    <w:r>
      <w:rPr/>
      <w:pict>
        <v:shape style="position:absolute;margin-left:99.407837pt;margin-top:37.549988pt;width:287.9pt;height:11pt;mso-position-horizontal-relative:page;mso-position-vertical-relative:page;z-index:-16984" type="#_x0000_t202" filled="false" stroked="false">
          <v:textbox inset="0,0,0,0">
            <w:txbxContent>
              <w:p>
                <w:pPr>
                  <w:spacing w:line="194" w:lineRule="exact" w:before="0"/>
                  <w:ind w:left="20" w:right="0" w:firstLine="0"/>
                  <w:jc w:val="left"/>
                  <w:rPr>
                    <w:i/>
                    <w:sz w:val="18"/>
                  </w:rPr>
                </w:pPr>
                <w:r>
                  <w:rPr>
                    <w:i/>
                    <w:sz w:val="18"/>
                  </w:rPr>
                  <w:t>El costo social del monopolio de </w:t>
                </w:r>
                <w:r>
                  <w:rPr>
                    <w:i/>
                    <w:sz w:val="14"/>
                  </w:rPr>
                  <w:t>TELMEX  </w:t>
                </w:r>
                <w:r>
                  <w:rPr>
                    <w:i/>
                    <w:sz w:val="18"/>
                  </w:rPr>
                  <w:t>en el mercado de telefonía ﬁja   local</w:t>
                </w:r>
              </w:p>
            </w:txbxContent>
          </v:textbox>
          <w10:wrap type="none"/>
        </v:shape>
      </w:pict>
    </w:r>
    <w:r>
      <w:rPr/>
      <w:pict>
        <v:shape style="position:absolute;margin-left:398.349976pt;margin-top:37.549988pt;width:17.5pt;height:11pt;mso-position-horizontal-relative:page;mso-position-vertical-relative:page;z-index:-16960" type="#_x0000_t202" filled="false" stroked="false">
          <v:textbox inset="0,0,0,0">
            <w:txbxContent>
              <w:p>
                <w:pPr>
                  <w:spacing w:line="194" w:lineRule="exact" w:before="0"/>
                  <w:ind w:left="40" w:right="0" w:firstLine="0"/>
                  <w:jc w:val="left"/>
                  <w:rPr>
                    <w:sz w:val="18"/>
                  </w:rPr>
                </w:pPr>
                <w:r>
                  <w:rPr/>
                  <w:fldChar w:fldCharType="begin"/>
                </w:r>
                <w:r>
                  <w:rPr>
                    <w:sz w:val="18"/>
                  </w:rPr>
                  <w:instrText> PAGE </w:instrText>
                </w:r>
                <w:r>
                  <w:rPr/>
                  <w:fldChar w:fldCharType="separate"/>
                </w:r>
                <w:r>
                  <w:rPr/>
                  <w:t>189</w:t>
                </w:r>
                <w:r>
                  <w:rPr/>
                  <w:fldChar w:fldCharType="end"/>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117" w:hanging="220"/>
        <w:jc w:val="left"/>
      </w:pPr>
      <w:rPr>
        <w:rFonts w:hint="default" w:ascii="Times New Roman" w:hAnsi="Times New Roman" w:eastAsia="Times New Roman" w:cs="Times New Roman"/>
        <w:b/>
        <w:bCs/>
        <w:w w:val="99"/>
        <w:sz w:val="22"/>
        <w:szCs w:val="22"/>
      </w:rPr>
    </w:lvl>
    <w:lvl w:ilvl="1">
      <w:start w:val="1"/>
      <w:numFmt w:val="bullet"/>
      <w:lvlText w:val="•"/>
      <w:lvlJc w:val="left"/>
      <w:pPr>
        <w:ind w:left="851" w:hanging="220"/>
      </w:pPr>
      <w:rPr>
        <w:rFonts w:hint="default"/>
      </w:rPr>
    </w:lvl>
    <w:lvl w:ilvl="2">
      <w:start w:val="1"/>
      <w:numFmt w:val="bullet"/>
      <w:lvlText w:val="•"/>
      <w:lvlJc w:val="left"/>
      <w:pPr>
        <w:ind w:left="1582" w:hanging="220"/>
      </w:pPr>
      <w:rPr>
        <w:rFonts w:hint="default"/>
      </w:rPr>
    </w:lvl>
    <w:lvl w:ilvl="3">
      <w:start w:val="1"/>
      <w:numFmt w:val="bullet"/>
      <w:lvlText w:val="•"/>
      <w:lvlJc w:val="left"/>
      <w:pPr>
        <w:ind w:left="2314" w:hanging="220"/>
      </w:pPr>
      <w:rPr>
        <w:rFonts w:hint="default"/>
      </w:rPr>
    </w:lvl>
    <w:lvl w:ilvl="4">
      <w:start w:val="1"/>
      <w:numFmt w:val="bullet"/>
      <w:lvlText w:val="•"/>
      <w:lvlJc w:val="left"/>
      <w:pPr>
        <w:ind w:left="3045" w:hanging="220"/>
      </w:pPr>
      <w:rPr>
        <w:rFonts w:hint="default"/>
      </w:rPr>
    </w:lvl>
    <w:lvl w:ilvl="5">
      <w:start w:val="1"/>
      <w:numFmt w:val="bullet"/>
      <w:lvlText w:val="•"/>
      <w:lvlJc w:val="left"/>
      <w:pPr>
        <w:ind w:left="3777" w:hanging="220"/>
      </w:pPr>
      <w:rPr>
        <w:rFonts w:hint="default"/>
      </w:rPr>
    </w:lvl>
    <w:lvl w:ilvl="6">
      <w:start w:val="1"/>
      <w:numFmt w:val="bullet"/>
      <w:lvlText w:val="•"/>
      <w:lvlJc w:val="left"/>
      <w:pPr>
        <w:ind w:left="4508" w:hanging="220"/>
      </w:pPr>
      <w:rPr>
        <w:rFonts w:hint="default"/>
      </w:rPr>
    </w:lvl>
    <w:lvl w:ilvl="7">
      <w:start w:val="1"/>
      <w:numFmt w:val="bullet"/>
      <w:lvlText w:val="•"/>
      <w:lvlJc w:val="left"/>
      <w:pPr>
        <w:ind w:left="5239" w:hanging="220"/>
      </w:pPr>
      <w:rPr>
        <w:rFonts w:hint="default"/>
      </w:rPr>
    </w:lvl>
    <w:lvl w:ilvl="8">
      <w:start w:val="1"/>
      <w:numFmt w:val="bullet"/>
      <w:lvlText w:val="•"/>
      <w:lvlJc w:val="left"/>
      <w:pPr>
        <w:ind w:left="5971" w:hanging="22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2"/>
      <w:szCs w:val="22"/>
    </w:rPr>
  </w:style>
  <w:style w:styleId="Heading1" w:type="paragraph">
    <w:name w:val="Heading 1"/>
    <w:basedOn w:val="Normal"/>
    <w:uiPriority w:val="1"/>
    <w:qFormat/>
    <w:pPr>
      <w:ind w:left="117"/>
      <w:jc w:val="center"/>
      <w:outlineLvl w:val="1"/>
    </w:pPr>
    <w:rPr>
      <w:rFonts w:ascii="Times New Roman" w:hAnsi="Times New Roman" w:eastAsia="Times New Roman" w:cs="Times New Roman"/>
      <w:b/>
      <w:bCs/>
      <w:sz w:val="22"/>
      <w:szCs w:val="22"/>
    </w:rPr>
  </w:style>
  <w:style w:styleId="ListParagraph" w:type="paragraph">
    <w:name w:val="List Paragraph"/>
    <w:basedOn w:val="Normal"/>
    <w:uiPriority w:val="1"/>
    <w:qFormat/>
    <w:pPr>
      <w:ind w:left="117"/>
      <w:jc w:val="both"/>
    </w:pPr>
    <w:rPr>
      <w:rFonts w:ascii="Times New Roman" w:hAnsi="Times New Roman" w:eastAsia="Times New Roman" w:cs="Times New Roman"/>
    </w:rPr>
  </w:style>
  <w:style w:styleId="TableParagraph" w:type="paragraph">
    <w:name w:val="Table Paragraph"/>
    <w:basedOn w:val="Normal"/>
    <w:uiPriority w:val="1"/>
    <w:qFormat/>
    <w:pPr>
      <w:jc w:val="righ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yperlink" Target="mailto:(jzg@correo.azc.uam" TargetMode="External"/><Relationship Id="rId6" Type="http://schemas.openxmlformats.org/officeDocument/2006/relationships/header" Target="header1.xml"/><Relationship Id="rId7" Type="http://schemas.openxmlformats.org/officeDocument/2006/relationships/header" Target="header2.xml"/><Relationship Id="rId8" Type="http://schemas.openxmlformats.org/officeDocument/2006/relationships/image" Target="media/image1.jpeg"/><Relationship Id="rId9" Type="http://schemas.openxmlformats.org/officeDocument/2006/relationships/hyperlink" Target="http://www.att.com/canada)%3B" TargetMode="External"/><Relationship Id="rId1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gonzalez.indd</dc:title>
  <dcterms:created xsi:type="dcterms:W3CDTF">2017-06-06T16:25:57Z</dcterms:created>
  <dcterms:modified xsi:type="dcterms:W3CDTF">2017-06-06T16:25:57Z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2005-02-25T00:00:00Z</vt:filetime>
  </property>
  <property fmtid="{D5CDD505-2E9C-101B-9397-08002B2CF9AE}" pid="3" name="Creator">
    <vt:lpwstr>Adobe InDesign CS (3.0)</vt:lpwstr>
  </property>
  <property fmtid="{D5CDD505-2E9C-101B-9397-08002B2CF9AE}" pid="4" name="LastSaved">
    <vt:filetime>2017-06-06T00:00:00Z</vt:filetime>
  </property>
</Properties>
</file>