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53"/>
        <w:ind w:left="102" w:right="0" w:firstLine="0"/>
        <w:jc w:val="both"/>
        <w:rPr>
          <w:b/>
          <w:sz w:val="28"/>
        </w:rPr>
      </w:pPr>
      <w:r>
        <w:rPr>
          <w:b/>
          <w:color w:val="3366FF"/>
          <w:sz w:val="28"/>
        </w:rPr>
        <w:t>1.3    Medidas de posición</w:t>
      </w:r>
    </w:p>
    <w:p>
      <w:pPr>
        <w:pStyle w:val="BodyText"/>
        <w:rPr>
          <w:b/>
          <w:sz w:val="28"/>
        </w:rPr>
      </w:pPr>
    </w:p>
    <w:p>
      <w:pPr>
        <w:pStyle w:val="BodyText"/>
        <w:spacing w:before="7"/>
        <w:rPr>
          <w:b/>
          <w:sz w:val="24"/>
        </w:rPr>
      </w:pPr>
    </w:p>
    <w:p>
      <w:pPr>
        <w:pStyle w:val="BodyText"/>
        <w:ind w:left="102" w:right="121"/>
        <w:jc w:val="both"/>
      </w:pPr>
      <w:r>
        <w:rPr/>
        <w:t>La dispersión puede medirse en términos de la diferencia entre dos valores seleccionados del conjunto de datos. Las medidas de distancia son: el alcance, el alcance interfractil y el alcance intercuartil.</w:t>
      </w:r>
    </w:p>
    <w:p>
      <w:pPr>
        <w:pStyle w:val="BodyText"/>
        <w:spacing w:before="1"/>
        <w:rPr>
          <w:sz w:val="24"/>
        </w:rPr>
      </w:pPr>
    </w:p>
    <w:p>
      <w:pPr>
        <w:pStyle w:val="Heading1"/>
      </w:pPr>
      <w:r>
        <w:rPr/>
        <w:t>Alcance.</w:t>
      </w:r>
    </w:p>
    <w:p>
      <w:pPr>
        <w:pStyle w:val="BodyText"/>
        <w:spacing w:before="6"/>
        <w:rPr>
          <w:b/>
          <w:sz w:val="24"/>
        </w:rPr>
      </w:pPr>
    </w:p>
    <w:p>
      <w:pPr>
        <w:pStyle w:val="BodyText"/>
        <w:spacing w:line="506" w:lineRule="auto"/>
        <w:ind w:left="102" w:right="848"/>
      </w:pPr>
      <w:r>
        <w:rPr/>
        <w:t>Es la diferencia entre el más alto y el más pequeño de los valores observados. Alcance = valor de la observación más alta – valor de la observación más pequeña</w:t>
      </w:r>
    </w:p>
    <w:p>
      <w:pPr>
        <w:pStyle w:val="BodyText"/>
        <w:spacing w:before="10"/>
        <w:ind w:left="102" w:right="119"/>
        <w:jc w:val="both"/>
      </w:pPr>
      <w:r>
        <w:rPr/>
        <w:t>El alcance es fácil de entender y de encontrar, pero su utilidad como medida de dispersión es limitada. Sólo toma en cuenta los valores más alto y más bajo de una distribución y no considera ninguna otra observación del conjunto de datos. Ignora la naturaleza de la variación entre todas las demás observaciones, y se ve muy influido por los valores extremos.</w:t>
      </w:r>
    </w:p>
    <w:p>
      <w:pPr>
        <w:pStyle w:val="BodyText"/>
        <w:spacing w:before="3"/>
        <w:rPr>
          <w:sz w:val="24"/>
        </w:rPr>
      </w:pPr>
    </w:p>
    <w:p>
      <w:pPr>
        <w:pStyle w:val="BodyText"/>
        <w:spacing w:before="1"/>
        <w:ind w:left="102" w:right="121"/>
        <w:jc w:val="both"/>
      </w:pPr>
      <w:r>
        <w:rPr/>
        <w:t>Las distribuciones de extremo abierto no tienen alcance, pues no existe un valor más alto o más bajo en la clase de extremo abierto.</w:t>
      </w:r>
    </w:p>
    <w:p>
      <w:pPr>
        <w:pStyle w:val="BodyText"/>
        <w:spacing w:before="1"/>
        <w:rPr>
          <w:sz w:val="24"/>
        </w:rPr>
      </w:pPr>
    </w:p>
    <w:p>
      <w:pPr>
        <w:pStyle w:val="Heading1"/>
      </w:pPr>
      <w:r>
        <w:rPr/>
        <w:t>Alcance interfractil.</w:t>
      </w:r>
    </w:p>
    <w:p>
      <w:pPr>
        <w:pStyle w:val="BodyText"/>
        <w:spacing w:before="6"/>
        <w:rPr>
          <w:b/>
          <w:sz w:val="24"/>
        </w:rPr>
      </w:pPr>
    </w:p>
    <w:p>
      <w:pPr>
        <w:pStyle w:val="BodyText"/>
        <w:ind w:left="102" w:right="116"/>
        <w:jc w:val="both"/>
      </w:pPr>
      <w:r>
        <w:rPr/>
        <w:t>En una distribución de frecuencias, una fracción o proporción dada de los datos cae en un fractil o por debajo de éste. La mediana, por ejemplo, es el fractil 0,5, puesto que la mitad de</w:t>
      </w:r>
      <w:r>
        <w:rPr>
          <w:spacing w:val="-6"/>
        </w:rPr>
        <w:t> </w:t>
      </w:r>
      <w:r>
        <w:rPr/>
        <w:t>los</w:t>
      </w:r>
      <w:r>
        <w:rPr>
          <w:spacing w:val="-5"/>
        </w:rPr>
        <w:t> </w:t>
      </w:r>
      <w:r>
        <w:rPr/>
        <w:t>datos</w:t>
      </w:r>
      <w:r>
        <w:rPr>
          <w:spacing w:val="-8"/>
        </w:rPr>
        <w:t> </w:t>
      </w:r>
      <w:r>
        <w:rPr/>
        <w:t>es</w:t>
      </w:r>
      <w:r>
        <w:rPr>
          <w:spacing w:val="-8"/>
        </w:rPr>
        <w:t> </w:t>
      </w:r>
      <w:r>
        <w:rPr/>
        <w:t>menor</w:t>
      </w:r>
      <w:r>
        <w:rPr>
          <w:spacing w:val="-5"/>
        </w:rPr>
        <w:t> </w:t>
      </w:r>
      <w:r>
        <w:rPr/>
        <w:t>o</w:t>
      </w:r>
      <w:r>
        <w:rPr>
          <w:spacing w:val="-5"/>
        </w:rPr>
        <w:t> </w:t>
      </w:r>
      <w:r>
        <w:rPr/>
        <w:t>igual</w:t>
      </w:r>
      <w:r>
        <w:rPr>
          <w:spacing w:val="-6"/>
        </w:rPr>
        <w:t> </w:t>
      </w:r>
      <w:r>
        <w:rPr/>
        <w:t>a</w:t>
      </w:r>
      <w:r>
        <w:rPr>
          <w:spacing w:val="-8"/>
        </w:rPr>
        <w:t> </w:t>
      </w:r>
      <w:r>
        <w:rPr/>
        <w:t>este</w:t>
      </w:r>
      <w:r>
        <w:rPr>
          <w:spacing w:val="-7"/>
        </w:rPr>
        <w:t> </w:t>
      </w:r>
      <w:r>
        <w:rPr/>
        <w:t>valor.</w:t>
      </w:r>
      <w:r>
        <w:rPr>
          <w:spacing w:val="-5"/>
        </w:rPr>
        <w:t> </w:t>
      </w:r>
      <w:r>
        <w:rPr/>
        <w:t>Los</w:t>
      </w:r>
      <w:r>
        <w:rPr>
          <w:spacing w:val="-10"/>
        </w:rPr>
        <w:t> </w:t>
      </w:r>
      <w:r>
        <w:rPr/>
        <w:t>fractiles</w:t>
      </w:r>
      <w:r>
        <w:rPr>
          <w:spacing w:val="-5"/>
        </w:rPr>
        <w:t> </w:t>
      </w:r>
      <w:r>
        <w:rPr/>
        <w:t>son</w:t>
      </w:r>
      <w:r>
        <w:rPr>
          <w:spacing w:val="-6"/>
        </w:rPr>
        <w:t> </w:t>
      </w:r>
      <w:r>
        <w:rPr/>
        <w:t>parecidos</w:t>
      </w:r>
      <w:r>
        <w:rPr>
          <w:spacing w:val="-5"/>
        </w:rPr>
        <w:t> </w:t>
      </w:r>
      <w:r>
        <w:rPr/>
        <w:t>a</w:t>
      </w:r>
      <w:r>
        <w:rPr>
          <w:spacing w:val="-8"/>
        </w:rPr>
        <w:t> </w:t>
      </w:r>
      <w:r>
        <w:rPr/>
        <w:t>los</w:t>
      </w:r>
      <w:r>
        <w:rPr>
          <w:spacing w:val="-5"/>
        </w:rPr>
        <w:t> </w:t>
      </w:r>
      <w:r>
        <w:rPr/>
        <w:t>porcentajes.</w:t>
      </w:r>
      <w:r>
        <w:rPr>
          <w:spacing w:val="-5"/>
        </w:rPr>
        <w:t> </w:t>
      </w:r>
      <w:r>
        <w:rPr/>
        <w:t>En una</w:t>
      </w:r>
      <w:r>
        <w:rPr>
          <w:spacing w:val="-3"/>
        </w:rPr>
        <w:t> </w:t>
      </w:r>
      <w:r>
        <w:rPr/>
        <w:t>distribución</w:t>
      </w:r>
      <w:r>
        <w:rPr>
          <w:spacing w:val="-6"/>
        </w:rPr>
        <w:t> </w:t>
      </w:r>
      <w:r>
        <w:rPr/>
        <w:t>cualquiera,</w:t>
      </w:r>
      <w:r>
        <w:rPr>
          <w:spacing w:val="-4"/>
        </w:rPr>
        <w:t> </w:t>
      </w:r>
      <w:r>
        <w:rPr/>
        <w:t>el</w:t>
      </w:r>
      <w:r>
        <w:rPr>
          <w:spacing w:val="-4"/>
        </w:rPr>
        <w:t> </w:t>
      </w:r>
      <w:r>
        <w:rPr/>
        <w:t>25%</w:t>
      </w:r>
      <w:r>
        <w:rPr>
          <w:spacing w:val="-5"/>
        </w:rPr>
        <w:t> </w:t>
      </w:r>
      <w:r>
        <w:rPr/>
        <w:t>de</w:t>
      </w:r>
      <w:r>
        <w:rPr>
          <w:spacing w:val="-3"/>
        </w:rPr>
        <w:t> </w:t>
      </w:r>
      <w:r>
        <w:rPr/>
        <w:t>los</w:t>
      </w:r>
      <w:r>
        <w:rPr>
          <w:spacing w:val="-5"/>
        </w:rPr>
        <w:t> </w:t>
      </w:r>
      <w:r>
        <w:rPr/>
        <w:t>datos</w:t>
      </w:r>
      <w:r>
        <w:rPr>
          <w:spacing w:val="-5"/>
        </w:rPr>
        <w:t> </w:t>
      </w:r>
      <w:r>
        <w:rPr/>
        <w:t>está</w:t>
      </w:r>
      <w:r>
        <w:rPr>
          <w:spacing w:val="-3"/>
        </w:rPr>
        <w:t> </w:t>
      </w:r>
      <w:r>
        <w:rPr/>
        <w:t>en</w:t>
      </w:r>
      <w:r>
        <w:rPr>
          <w:spacing w:val="-6"/>
        </w:rPr>
        <w:t> </w:t>
      </w:r>
      <w:r>
        <w:rPr/>
        <w:t>el</w:t>
      </w:r>
      <w:r>
        <w:rPr>
          <w:spacing w:val="-6"/>
        </w:rPr>
        <w:t> </w:t>
      </w:r>
      <w:r>
        <w:rPr/>
        <w:t>fractil</w:t>
      </w:r>
      <w:r>
        <w:rPr>
          <w:spacing w:val="-4"/>
        </w:rPr>
        <w:t> </w:t>
      </w:r>
      <w:r>
        <w:rPr/>
        <w:t>0,25</w:t>
      </w:r>
      <w:r>
        <w:rPr>
          <w:spacing w:val="-5"/>
        </w:rPr>
        <w:t> </w:t>
      </w:r>
      <w:r>
        <w:rPr/>
        <w:t>o</w:t>
      </w:r>
      <w:r>
        <w:rPr>
          <w:spacing w:val="-3"/>
        </w:rPr>
        <w:t> </w:t>
      </w:r>
      <w:r>
        <w:rPr/>
        <w:t>por</w:t>
      </w:r>
      <w:r>
        <w:rPr>
          <w:spacing w:val="-4"/>
        </w:rPr>
        <w:t> </w:t>
      </w:r>
      <w:r>
        <w:rPr/>
        <w:t>debajo</w:t>
      </w:r>
      <w:r>
        <w:rPr>
          <w:spacing w:val="-5"/>
        </w:rPr>
        <w:t> </w:t>
      </w:r>
      <w:r>
        <w:rPr/>
        <w:t>de éste; igualmente, 25% de los datos cae en el vigésimo quinto percentil o por debajo de éste. El alcance</w:t>
      </w:r>
      <w:r>
        <w:rPr>
          <w:spacing w:val="-5"/>
        </w:rPr>
        <w:t> </w:t>
      </w:r>
      <w:r>
        <w:rPr/>
        <w:t>interfractil</w:t>
      </w:r>
      <w:r>
        <w:rPr>
          <w:spacing w:val="-6"/>
        </w:rPr>
        <w:t> </w:t>
      </w:r>
      <w:r>
        <w:rPr/>
        <w:t>es</w:t>
      </w:r>
      <w:r>
        <w:rPr>
          <w:spacing w:val="-5"/>
        </w:rPr>
        <w:t> </w:t>
      </w:r>
      <w:r>
        <w:rPr/>
        <w:t>una</w:t>
      </w:r>
      <w:r>
        <w:rPr>
          <w:spacing w:val="-5"/>
        </w:rPr>
        <w:t> </w:t>
      </w:r>
      <w:r>
        <w:rPr/>
        <w:t>medida</w:t>
      </w:r>
      <w:r>
        <w:rPr>
          <w:spacing w:val="-6"/>
        </w:rPr>
        <w:t> </w:t>
      </w:r>
      <w:r>
        <w:rPr/>
        <w:t>de</w:t>
      </w:r>
      <w:r>
        <w:rPr>
          <w:spacing w:val="-6"/>
        </w:rPr>
        <w:t> </w:t>
      </w:r>
      <w:r>
        <w:rPr/>
        <w:t>la</w:t>
      </w:r>
      <w:r>
        <w:rPr>
          <w:spacing w:val="-5"/>
        </w:rPr>
        <w:t> </w:t>
      </w:r>
      <w:r>
        <w:rPr/>
        <w:t>dispersión</w:t>
      </w:r>
      <w:r>
        <w:rPr>
          <w:spacing w:val="-5"/>
        </w:rPr>
        <w:t> </w:t>
      </w:r>
      <w:r>
        <w:rPr/>
        <w:t>entre</w:t>
      </w:r>
      <w:r>
        <w:rPr>
          <w:spacing w:val="-5"/>
        </w:rPr>
        <w:t> </w:t>
      </w:r>
      <w:r>
        <w:rPr/>
        <w:t>dos</w:t>
      </w:r>
      <w:r>
        <w:rPr>
          <w:spacing w:val="-10"/>
        </w:rPr>
        <w:t> </w:t>
      </w:r>
      <w:r>
        <w:rPr/>
        <w:t>fractiles</w:t>
      </w:r>
      <w:r>
        <w:rPr>
          <w:spacing w:val="-5"/>
        </w:rPr>
        <w:t> </w:t>
      </w:r>
      <w:r>
        <w:rPr/>
        <w:t>de</w:t>
      </w:r>
      <w:r>
        <w:rPr>
          <w:spacing w:val="-6"/>
        </w:rPr>
        <w:t> </w:t>
      </w:r>
      <w:r>
        <w:rPr/>
        <w:t>una</w:t>
      </w:r>
      <w:r>
        <w:rPr>
          <w:spacing w:val="-6"/>
        </w:rPr>
        <w:t> </w:t>
      </w:r>
      <w:r>
        <w:rPr/>
        <w:t>distribución</w:t>
      </w:r>
      <w:r>
        <w:rPr>
          <w:spacing w:val="-6"/>
        </w:rPr>
        <w:t> </w:t>
      </w:r>
      <w:r>
        <w:rPr/>
        <w:t>de frecuencias, es decir, la diferencia entre los valores de los dos</w:t>
      </w:r>
      <w:r>
        <w:rPr>
          <w:spacing w:val="-20"/>
        </w:rPr>
        <w:t> </w:t>
      </w:r>
      <w:r>
        <w:rPr/>
        <w:t>fractiles.</w:t>
      </w:r>
    </w:p>
    <w:p>
      <w:pPr>
        <w:pStyle w:val="BodyText"/>
        <w:spacing w:before="3"/>
        <w:rPr>
          <w:sz w:val="24"/>
        </w:rPr>
      </w:pPr>
    </w:p>
    <w:p>
      <w:pPr>
        <w:pStyle w:val="BodyText"/>
        <w:spacing w:before="1"/>
        <w:ind w:left="102" w:right="117"/>
        <w:jc w:val="both"/>
      </w:pPr>
      <w:r>
        <w:rPr/>
        <w:t>Los</w:t>
      </w:r>
      <w:r>
        <w:rPr>
          <w:spacing w:val="-6"/>
        </w:rPr>
        <w:t> </w:t>
      </w:r>
      <w:r>
        <w:rPr/>
        <w:t>fractiles</w:t>
      </w:r>
      <w:r>
        <w:rPr>
          <w:spacing w:val="-6"/>
        </w:rPr>
        <w:t> </w:t>
      </w:r>
      <w:r>
        <w:rPr/>
        <w:t>tienen</w:t>
      </w:r>
      <w:r>
        <w:rPr>
          <w:spacing w:val="-4"/>
        </w:rPr>
        <w:t> </w:t>
      </w:r>
      <w:r>
        <w:rPr/>
        <w:t>nombres</w:t>
      </w:r>
      <w:r>
        <w:rPr>
          <w:spacing w:val="-6"/>
        </w:rPr>
        <w:t> </w:t>
      </w:r>
      <w:r>
        <w:rPr/>
        <w:t>especiales,</w:t>
      </w:r>
      <w:r>
        <w:rPr>
          <w:spacing w:val="-5"/>
        </w:rPr>
        <w:t> </w:t>
      </w:r>
      <w:r>
        <w:rPr/>
        <w:t>dependiendo</w:t>
      </w:r>
      <w:r>
        <w:rPr>
          <w:spacing w:val="-4"/>
        </w:rPr>
        <w:t> </w:t>
      </w:r>
      <w:r>
        <w:rPr/>
        <w:t>del</w:t>
      </w:r>
      <w:r>
        <w:rPr>
          <w:spacing w:val="-7"/>
        </w:rPr>
        <w:t> </w:t>
      </w:r>
      <w:r>
        <w:rPr/>
        <w:t>número</w:t>
      </w:r>
      <w:r>
        <w:rPr>
          <w:spacing w:val="-6"/>
        </w:rPr>
        <w:t> </w:t>
      </w:r>
      <w:r>
        <w:rPr/>
        <w:t>de</w:t>
      </w:r>
      <w:r>
        <w:rPr>
          <w:spacing w:val="-7"/>
        </w:rPr>
        <w:t> </w:t>
      </w:r>
      <w:r>
        <w:rPr/>
        <w:t>partes</w:t>
      </w:r>
      <w:r>
        <w:rPr>
          <w:spacing w:val="-4"/>
        </w:rPr>
        <w:t> </w:t>
      </w:r>
      <w:r>
        <w:rPr/>
        <w:t>iguales</w:t>
      </w:r>
      <w:r>
        <w:rPr>
          <w:spacing w:val="-6"/>
        </w:rPr>
        <w:t> </w:t>
      </w:r>
      <w:r>
        <w:rPr/>
        <w:t>en</w:t>
      </w:r>
      <w:r>
        <w:rPr>
          <w:spacing w:val="-9"/>
        </w:rPr>
        <w:t> </w:t>
      </w:r>
      <w:r>
        <w:rPr/>
        <w:t>que se dividen los datos. Los fractiles que los dividen en 10 partes iguales se conocen como deciles. Los cuartiles dividen los datos en cuatro partes iguales. Los percentiles dividen el conjunto de datos en 100 partes</w:t>
      </w:r>
      <w:r>
        <w:rPr>
          <w:spacing w:val="-7"/>
        </w:rPr>
        <w:t> </w:t>
      </w:r>
      <w:r>
        <w:rPr/>
        <w:t>iguales.</w:t>
      </w:r>
    </w:p>
    <w:p>
      <w:pPr>
        <w:pStyle w:val="BodyText"/>
        <w:spacing w:before="1"/>
        <w:rPr>
          <w:sz w:val="24"/>
        </w:rPr>
      </w:pPr>
    </w:p>
    <w:p>
      <w:pPr>
        <w:pStyle w:val="Heading1"/>
      </w:pPr>
      <w:r>
        <w:rPr/>
        <w:t>Alcance intercuartil.</w:t>
      </w:r>
    </w:p>
    <w:p>
      <w:pPr>
        <w:pStyle w:val="BodyText"/>
        <w:spacing w:before="6"/>
        <w:rPr>
          <w:b/>
          <w:sz w:val="24"/>
        </w:rPr>
      </w:pPr>
    </w:p>
    <w:p>
      <w:pPr>
        <w:pStyle w:val="BodyText"/>
        <w:ind w:left="102" w:right="115"/>
        <w:jc w:val="both"/>
      </w:pPr>
      <w:r>
        <w:rPr/>
        <w:t>El alcance intercuartil mide aproximadamente qué tan lejos de la mediana tenemos que ir en cualquiera de las dos direcciones antes de que podamos recorrer una mitad de los valores del conjunto de datos. Para calcular este alcance, dividimos nuestros datos en cuatro</w:t>
      </w:r>
      <w:r>
        <w:rPr>
          <w:spacing w:val="-10"/>
        </w:rPr>
        <w:t> </w:t>
      </w:r>
      <w:r>
        <w:rPr/>
        <w:t>partes,</w:t>
      </w:r>
      <w:r>
        <w:rPr>
          <w:spacing w:val="-9"/>
        </w:rPr>
        <w:t> </w:t>
      </w:r>
      <w:r>
        <w:rPr/>
        <w:t>cada</w:t>
      </w:r>
      <w:r>
        <w:rPr>
          <w:spacing w:val="-10"/>
        </w:rPr>
        <w:t> </w:t>
      </w:r>
      <w:r>
        <w:rPr/>
        <w:t>una</w:t>
      </w:r>
      <w:r>
        <w:rPr>
          <w:spacing w:val="-12"/>
        </w:rPr>
        <w:t> </w:t>
      </w:r>
      <w:r>
        <w:rPr/>
        <w:t>de</w:t>
      </w:r>
      <w:r>
        <w:rPr>
          <w:spacing w:val="-10"/>
        </w:rPr>
        <w:t> </w:t>
      </w:r>
      <w:r>
        <w:rPr/>
        <w:t>las</w:t>
      </w:r>
      <w:r>
        <w:rPr>
          <w:spacing w:val="-10"/>
        </w:rPr>
        <w:t> </w:t>
      </w:r>
      <w:r>
        <w:rPr/>
        <w:t>cuales</w:t>
      </w:r>
      <w:r>
        <w:rPr>
          <w:spacing w:val="-10"/>
        </w:rPr>
        <w:t> </w:t>
      </w:r>
      <w:r>
        <w:rPr/>
        <w:t>contiene</w:t>
      </w:r>
      <w:r>
        <w:rPr>
          <w:spacing w:val="-10"/>
        </w:rPr>
        <w:t> </w:t>
      </w:r>
      <w:r>
        <w:rPr/>
        <w:t>25%</w:t>
      </w:r>
      <w:r>
        <w:rPr>
          <w:spacing w:val="-9"/>
        </w:rPr>
        <w:t> </w:t>
      </w:r>
      <w:r>
        <w:rPr/>
        <w:t>de</w:t>
      </w:r>
      <w:r>
        <w:rPr>
          <w:spacing w:val="-10"/>
        </w:rPr>
        <w:t> </w:t>
      </w:r>
      <w:r>
        <w:rPr/>
        <w:t>los</w:t>
      </w:r>
      <w:r>
        <w:rPr>
          <w:spacing w:val="-10"/>
        </w:rPr>
        <w:t> </w:t>
      </w:r>
      <w:r>
        <w:rPr/>
        <w:t>elementos</w:t>
      </w:r>
      <w:r>
        <w:rPr>
          <w:spacing w:val="-13"/>
        </w:rPr>
        <w:t> </w:t>
      </w:r>
      <w:r>
        <w:rPr/>
        <w:t>de</w:t>
      </w:r>
      <w:r>
        <w:rPr>
          <w:spacing w:val="-10"/>
        </w:rPr>
        <w:t> </w:t>
      </w:r>
      <w:r>
        <w:rPr/>
        <w:t>la</w:t>
      </w:r>
      <w:r>
        <w:rPr>
          <w:spacing w:val="-10"/>
        </w:rPr>
        <w:t> </w:t>
      </w:r>
      <w:r>
        <w:rPr/>
        <w:t>distribución.</w:t>
      </w:r>
      <w:r>
        <w:rPr>
          <w:spacing w:val="-9"/>
        </w:rPr>
        <w:t> </w:t>
      </w:r>
      <w:r>
        <w:rPr/>
        <w:t>Los cuartiles</w:t>
      </w:r>
      <w:r>
        <w:rPr>
          <w:spacing w:val="-10"/>
        </w:rPr>
        <w:t> </w:t>
      </w:r>
      <w:r>
        <w:rPr/>
        <w:t>son,</w:t>
      </w:r>
      <w:r>
        <w:rPr>
          <w:spacing w:val="-10"/>
        </w:rPr>
        <w:t> </w:t>
      </w:r>
      <w:r>
        <w:rPr/>
        <w:t>entonces,</w:t>
      </w:r>
      <w:r>
        <w:rPr>
          <w:spacing w:val="-10"/>
        </w:rPr>
        <w:t> </w:t>
      </w:r>
      <w:r>
        <w:rPr/>
        <w:t>los</w:t>
      </w:r>
      <w:r>
        <w:rPr>
          <w:spacing w:val="-9"/>
        </w:rPr>
        <w:t> </w:t>
      </w:r>
      <w:r>
        <w:rPr/>
        <w:t>valores</w:t>
      </w:r>
      <w:r>
        <w:rPr>
          <w:spacing w:val="-10"/>
        </w:rPr>
        <w:t> </w:t>
      </w:r>
      <w:r>
        <w:rPr/>
        <w:t>más</w:t>
      </w:r>
      <w:r>
        <w:rPr>
          <w:spacing w:val="-10"/>
        </w:rPr>
        <w:t> </w:t>
      </w:r>
      <w:r>
        <w:rPr/>
        <w:t>alto</w:t>
      </w:r>
      <w:r>
        <w:rPr>
          <w:spacing w:val="-10"/>
        </w:rPr>
        <w:t> </w:t>
      </w:r>
      <w:r>
        <w:rPr/>
        <w:t>y</w:t>
      </w:r>
      <w:r>
        <w:rPr>
          <w:spacing w:val="-10"/>
        </w:rPr>
        <w:t> </w:t>
      </w:r>
      <w:r>
        <w:rPr/>
        <w:t>más</w:t>
      </w:r>
      <w:r>
        <w:rPr>
          <w:spacing w:val="-8"/>
        </w:rPr>
        <w:t> </w:t>
      </w:r>
      <w:r>
        <w:rPr/>
        <w:t>bajo</w:t>
      </w:r>
      <w:r>
        <w:rPr>
          <w:spacing w:val="-9"/>
        </w:rPr>
        <w:t> </w:t>
      </w:r>
      <w:r>
        <w:rPr/>
        <w:t>de</w:t>
      </w:r>
      <w:r>
        <w:rPr>
          <w:spacing w:val="-10"/>
        </w:rPr>
        <w:t> </w:t>
      </w:r>
      <w:r>
        <w:rPr/>
        <w:t>estas</w:t>
      </w:r>
      <w:r>
        <w:rPr>
          <w:spacing w:val="-10"/>
        </w:rPr>
        <w:t> </w:t>
      </w:r>
      <w:r>
        <w:rPr/>
        <w:t>cuatro</w:t>
      </w:r>
      <w:r>
        <w:rPr>
          <w:spacing w:val="-10"/>
        </w:rPr>
        <w:t> </w:t>
      </w:r>
      <w:r>
        <w:rPr/>
        <w:t>partes,</w:t>
      </w:r>
      <w:r>
        <w:rPr>
          <w:spacing w:val="-10"/>
        </w:rPr>
        <w:t> </w:t>
      </w:r>
      <w:r>
        <w:rPr/>
        <w:t>y</w:t>
      </w:r>
      <w:r>
        <w:rPr>
          <w:spacing w:val="-10"/>
        </w:rPr>
        <w:t> </w:t>
      </w:r>
      <w:r>
        <w:rPr/>
        <w:t>el</w:t>
      </w:r>
      <w:r>
        <w:rPr>
          <w:spacing w:val="-10"/>
        </w:rPr>
        <w:t> </w:t>
      </w:r>
      <w:r>
        <w:rPr/>
        <w:t>alcance intercuartil es la diferencia entre los valores del primer cuartil y el tercer</w:t>
      </w:r>
      <w:r>
        <w:rPr>
          <w:spacing w:val="-25"/>
        </w:rPr>
        <w:t> </w:t>
      </w:r>
      <w:r>
        <w:rPr/>
        <w:t>cuartil.</w:t>
      </w:r>
    </w:p>
    <w:p>
      <w:pPr>
        <w:spacing w:after="0"/>
        <w:jc w:val="both"/>
        <w:sectPr>
          <w:type w:val="continuous"/>
          <w:pgSz w:w="12240" w:h="15840"/>
          <w:pgMar w:top="1360" w:bottom="280" w:left="1600" w:right="1580"/>
        </w:sectPr>
      </w:pPr>
    </w:p>
    <w:p>
      <w:pPr>
        <w:pStyle w:val="BodyText"/>
        <w:spacing w:before="53"/>
        <w:ind w:left="102" w:right="172"/>
      </w:pPr>
      <w:r>
        <w:rPr/>
        <w:t>Los cuartiles son los tres valores de la variable que dividen a un conjunto de datos ordenados en cuatro partes  iguales.</w:t>
      </w:r>
    </w:p>
    <w:p>
      <w:pPr>
        <w:pStyle w:val="BodyText"/>
        <w:ind w:left="102" w:right="172"/>
      </w:pPr>
      <w:r>
        <w:rPr>
          <w:spacing w:val="6"/>
        </w:rPr>
        <w:t>Q1, </w:t>
      </w:r>
      <w:r>
        <w:rPr>
          <w:spacing w:val="5"/>
        </w:rPr>
        <w:t>Q2 </w:t>
      </w:r>
      <w:r>
        <w:rPr/>
        <w:t>y </w:t>
      </w:r>
      <w:r>
        <w:rPr>
          <w:spacing w:val="5"/>
        </w:rPr>
        <w:t>Q3 </w:t>
      </w:r>
      <w:r>
        <w:rPr>
          <w:spacing w:val="8"/>
        </w:rPr>
        <w:t>determinan </w:t>
      </w:r>
      <w:r>
        <w:rPr>
          <w:spacing w:val="5"/>
        </w:rPr>
        <w:t>los </w:t>
      </w:r>
      <w:r>
        <w:rPr>
          <w:spacing w:val="7"/>
        </w:rPr>
        <w:t>valores </w:t>
      </w:r>
      <w:r>
        <w:rPr>
          <w:spacing w:val="8"/>
        </w:rPr>
        <w:t>correspondientes </w:t>
      </w:r>
      <w:r>
        <w:rPr>
          <w:spacing w:val="4"/>
        </w:rPr>
        <w:t>al </w:t>
      </w:r>
      <w:r>
        <w:rPr>
          <w:spacing w:val="6"/>
        </w:rPr>
        <w:t>25%, </w:t>
      </w:r>
      <w:r>
        <w:rPr>
          <w:spacing w:val="4"/>
        </w:rPr>
        <w:t>al </w:t>
      </w:r>
      <w:r>
        <w:rPr>
          <w:spacing w:val="5"/>
        </w:rPr>
        <w:t>50% </w:t>
      </w:r>
      <w:r>
        <w:rPr/>
        <w:t>y </w:t>
      </w:r>
      <w:r>
        <w:rPr>
          <w:spacing w:val="4"/>
        </w:rPr>
        <w:t>al </w:t>
      </w:r>
      <w:r>
        <w:rPr>
          <w:spacing w:val="6"/>
        </w:rPr>
        <w:t>75% </w:t>
      </w:r>
      <w:r>
        <w:rPr>
          <w:spacing w:val="4"/>
        </w:rPr>
        <w:t>de  </w:t>
      </w:r>
      <w:r>
        <w:rPr>
          <w:spacing w:val="5"/>
        </w:rPr>
        <w:t>los</w:t>
      </w:r>
      <w:r>
        <w:rPr>
          <w:spacing w:val="28"/>
        </w:rPr>
        <w:t> </w:t>
      </w:r>
      <w:r>
        <w:rPr>
          <w:spacing w:val="7"/>
        </w:rPr>
        <w:t>datos.</w:t>
      </w:r>
    </w:p>
    <w:p>
      <w:pPr>
        <w:pStyle w:val="BodyText"/>
        <w:spacing w:line="252" w:lineRule="exact"/>
        <w:ind w:left="102" w:right="172"/>
      </w:pPr>
      <w:r>
        <w:rPr/>
        <w:t>Q2 coincide con la  mediana.</w:t>
      </w:r>
    </w:p>
    <w:p>
      <w:pPr>
        <w:pStyle w:val="BodyText"/>
      </w:pPr>
    </w:p>
    <w:p>
      <w:pPr>
        <w:pStyle w:val="BodyText"/>
        <w:spacing w:line="252" w:lineRule="exact"/>
        <w:ind w:left="102" w:right="172"/>
      </w:pPr>
      <w:r>
        <w:rPr>
          <w:spacing w:val="7"/>
        </w:rPr>
        <w:t>Ejemplo cálculo </w:t>
      </w:r>
      <w:r>
        <w:rPr>
          <w:spacing w:val="4"/>
        </w:rPr>
        <w:t>de</w:t>
      </w:r>
      <w:r>
        <w:rPr>
          <w:spacing w:val="62"/>
        </w:rPr>
        <w:t> </w:t>
      </w:r>
      <w:r>
        <w:rPr>
          <w:spacing w:val="8"/>
        </w:rPr>
        <w:t>cuartiles</w:t>
      </w:r>
    </w:p>
    <w:p>
      <w:pPr>
        <w:pStyle w:val="BodyText"/>
        <w:spacing w:line="252" w:lineRule="exact"/>
        <w:ind w:left="174" w:right="172"/>
      </w:pPr>
      <w:r>
        <w:rPr/>
        <w:t>En las siguientes distribuciones de frecuencias calcular los   cuartiles,</w:t>
      </w:r>
    </w:p>
    <w:p>
      <w:pPr>
        <w:pStyle w:val="BodyText"/>
        <w:spacing w:before="5"/>
      </w:pPr>
    </w:p>
    <w:tbl>
      <w:tblPr>
        <w:tblW w:w="0" w:type="auto"/>
        <w:jc w:val="left"/>
        <w:tblInd w:w="30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18"/>
        <w:gridCol w:w="1419"/>
      </w:tblGrid>
      <w:tr>
        <w:trPr>
          <w:trHeight w:val="274" w:hRule="exact"/>
        </w:trPr>
        <w:tc>
          <w:tcPr>
            <w:tcW w:w="1418" w:type="dxa"/>
          </w:tcPr>
          <w:p>
            <w:pPr>
              <w:pStyle w:val="TableParagraph"/>
              <w:spacing w:line="251" w:lineRule="exact"/>
              <w:ind w:left="599"/>
              <w:rPr>
                <w:sz w:val="22"/>
              </w:rPr>
            </w:pPr>
            <w:r>
              <w:rPr>
                <w:sz w:val="22"/>
              </w:rPr>
              <w:t>Xi</w:t>
            </w:r>
          </w:p>
        </w:tc>
        <w:tc>
          <w:tcPr>
            <w:tcW w:w="1419" w:type="dxa"/>
          </w:tcPr>
          <w:p>
            <w:pPr>
              <w:pStyle w:val="TableParagraph"/>
              <w:spacing w:line="251" w:lineRule="exact"/>
              <w:ind w:left="614"/>
              <w:rPr>
                <w:sz w:val="22"/>
              </w:rPr>
            </w:pPr>
            <w:r>
              <w:rPr>
                <w:sz w:val="22"/>
              </w:rPr>
              <w:t>ni</w:t>
            </w:r>
          </w:p>
        </w:tc>
      </w:tr>
      <w:tr>
        <w:trPr>
          <w:trHeight w:val="274" w:hRule="exact"/>
        </w:trPr>
        <w:tc>
          <w:tcPr>
            <w:tcW w:w="1418" w:type="dxa"/>
          </w:tcPr>
          <w:p>
            <w:pPr>
              <w:pStyle w:val="TableParagraph"/>
              <w:spacing w:line="251" w:lineRule="exact"/>
              <w:ind w:left="638"/>
              <w:rPr>
                <w:sz w:val="22"/>
              </w:rPr>
            </w:pPr>
            <w:r>
              <w:rPr>
                <w:w w:val="100"/>
                <w:sz w:val="22"/>
              </w:rPr>
              <w:t>1</w:t>
            </w:r>
          </w:p>
        </w:tc>
        <w:tc>
          <w:tcPr>
            <w:tcW w:w="1419" w:type="dxa"/>
          </w:tcPr>
          <w:p>
            <w:pPr>
              <w:pStyle w:val="TableParagraph"/>
              <w:spacing w:line="251" w:lineRule="exact"/>
              <w:ind w:left="638"/>
              <w:rPr>
                <w:sz w:val="22"/>
              </w:rPr>
            </w:pPr>
            <w:r>
              <w:rPr>
                <w:w w:val="100"/>
                <w:sz w:val="22"/>
              </w:rPr>
              <w:t>2</w:t>
            </w:r>
          </w:p>
        </w:tc>
      </w:tr>
      <w:tr>
        <w:trPr>
          <w:trHeight w:val="271" w:hRule="exact"/>
        </w:trPr>
        <w:tc>
          <w:tcPr>
            <w:tcW w:w="1418" w:type="dxa"/>
          </w:tcPr>
          <w:p>
            <w:pPr>
              <w:pStyle w:val="TableParagraph"/>
              <w:spacing w:line="251" w:lineRule="exact"/>
              <w:ind w:left="638"/>
              <w:rPr>
                <w:sz w:val="22"/>
              </w:rPr>
            </w:pPr>
            <w:r>
              <w:rPr>
                <w:w w:val="100"/>
                <w:sz w:val="22"/>
              </w:rPr>
              <w:t>2</w:t>
            </w:r>
          </w:p>
        </w:tc>
        <w:tc>
          <w:tcPr>
            <w:tcW w:w="1419" w:type="dxa"/>
          </w:tcPr>
          <w:p>
            <w:pPr>
              <w:pStyle w:val="TableParagraph"/>
              <w:spacing w:line="251" w:lineRule="exact"/>
              <w:ind w:left="638"/>
              <w:rPr>
                <w:sz w:val="22"/>
              </w:rPr>
            </w:pPr>
            <w:r>
              <w:rPr>
                <w:w w:val="100"/>
                <w:sz w:val="22"/>
              </w:rPr>
              <w:t>4</w:t>
            </w:r>
          </w:p>
        </w:tc>
      </w:tr>
      <w:tr>
        <w:trPr>
          <w:trHeight w:val="274" w:hRule="exact"/>
        </w:trPr>
        <w:tc>
          <w:tcPr>
            <w:tcW w:w="1418" w:type="dxa"/>
          </w:tcPr>
          <w:p>
            <w:pPr>
              <w:pStyle w:val="TableParagraph"/>
              <w:ind w:left="638"/>
              <w:rPr>
                <w:sz w:val="22"/>
              </w:rPr>
            </w:pPr>
            <w:r>
              <w:rPr>
                <w:w w:val="100"/>
                <w:sz w:val="22"/>
              </w:rPr>
              <w:t>3</w:t>
            </w:r>
          </w:p>
        </w:tc>
        <w:tc>
          <w:tcPr>
            <w:tcW w:w="1419" w:type="dxa"/>
          </w:tcPr>
          <w:p>
            <w:pPr>
              <w:pStyle w:val="TableParagraph"/>
              <w:ind w:left="638"/>
              <w:rPr>
                <w:sz w:val="22"/>
              </w:rPr>
            </w:pPr>
            <w:r>
              <w:rPr>
                <w:w w:val="100"/>
                <w:sz w:val="22"/>
              </w:rPr>
              <w:t>2</w:t>
            </w:r>
          </w:p>
        </w:tc>
      </w:tr>
      <w:tr>
        <w:trPr>
          <w:trHeight w:val="274" w:hRule="exact"/>
        </w:trPr>
        <w:tc>
          <w:tcPr>
            <w:tcW w:w="1418" w:type="dxa"/>
          </w:tcPr>
          <w:p>
            <w:pPr>
              <w:pStyle w:val="TableParagraph"/>
              <w:spacing w:line="251" w:lineRule="exact"/>
              <w:ind w:left="638"/>
              <w:rPr>
                <w:sz w:val="22"/>
              </w:rPr>
            </w:pPr>
            <w:r>
              <w:rPr>
                <w:w w:val="100"/>
                <w:sz w:val="22"/>
              </w:rPr>
              <w:t>4</w:t>
            </w:r>
          </w:p>
        </w:tc>
        <w:tc>
          <w:tcPr>
            <w:tcW w:w="1419" w:type="dxa"/>
          </w:tcPr>
          <w:p>
            <w:pPr>
              <w:pStyle w:val="TableParagraph"/>
              <w:spacing w:line="251" w:lineRule="exact"/>
              <w:ind w:left="638"/>
              <w:rPr>
                <w:sz w:val="22"/>
              </w:rPr>
            </w:pPr>
            <w:r>
              <w:rPr>
                <w:w w:val="100"/>
                <w:sz w:val="22"/>
              </w:rPr>
              <w:t>6</w:t>
            </w:r>
          </w:p>
        </w:tc>
      </w:tr>
      <w:tr>
        <w:trPr>
          <w:trHeight w:val="274" w:hRule="exact"/>
        </w:trPr>
        <w:tc>
          <w:tcPr>
            <w:tcW w:w="1418" w:type="dxa"/>
          </w:tcPr>
          <w:p>
            <w:pPr>
              <w:pStyle w:val="TableParagraph"/>
              <w:spacing w:line="251" w:lineRule="exact"/>
              <w:ind w:left="638"/>
              <w:rPr>
                <w:sz w:val="22"/>
              </w:rPr>
            </w:pPr>
            <w:r>
              <w:rPr>
                <w:w w:val="100"/>
                <w:sz w:val="22"/>
              </w:rPr>
              <w:t>5</w:t>
            </w:r>
          </w:p>
        </w:tc>
        <w:tc>
          <w:tcPr>
            <w:tcW w:w="1419" w:type="dxa"/>
          </w:tcPr>
          <w:p>
            <w:pPr>
              <w:pStyle w:val="TableParagraph"/>
              <w:spacing w:line="251" w:lineRule="exact"/>
              <w:ind w:left="638"/>
              <w:rPr>
                <w:sz w:val="22"/>
              </w:rPr>
            </w:pPr>
            <w:r>
              <w:rPr>
                <w:w w:val="100"/>
                <w:sz w:val="22"/>
              </w:rPr>
              <w:t>4</w:t>
            </w:r>
          </w:p>
        </w:tc>
      </w:tr>
      <w:tr>
        <w:trPr>
          <w:trHeight w:val="271" w:hRule="exact"/>
        </w:trPr>
        <w:tc>
          <w:tcPr>
            <w:tcW w:w="1418" w:type="dxa"/>
          </w:tcPr>
          <w:p>
            <w:pPr>
              <w:pStyle w:val="TableParagraph"/>
              <w:spacing w:line="251" w:lineRule="exact"/>
              <w:ind w:left="638"/>
              <w:rPr>
                <w:sz w:val="22"/>
              </w:rPr>
            </w:pPr>
            <w:r>
              <w:rPr>
                <w:w w:val="100"/>
                <w:sz w:val="22"/>
              </w:rPr>
              <w:t>6</w:t>
            </w:r>
          </w:p>
        </w:tc>
        <w:tc>
          <w:tcPr>
            <w:tcW w:w="1419" w:type="dxa"/>
          </w:tcPr>
          <w:p>
            <w:pPr>
              <w:pStyle w:val="TableParagraph"/>
              <w:spacing w:line="251" w:lineRule="exact"/>
              <w:ind w:left="638"/>
              <w:rPr>
                <w:sz w:val="22"/>
              </w:rPr>
            </w:pPr>
            <w:r>
              <w:rPr>
                <w:w w:val="100"/>
                <w:sz w:val="22"/>
              </w:rPr>
              <w:t>2</w:t>
            </w:r>
          </w:p>
        </w:tc>
      </w:tr>
      <w:tr>
        <w:trPr>
          <w:trHeight w:val="274" w:hRule="exact"/>
        </w:trPr>
        <w:tc>
          <w:tcPr>
            <w:tcW w:w="1418" w:type="dxa"/>
          </w:tcPr>
          <w:p>
            <w:pPr>
              <w:pStyle w:val="TableParagraph"/>
              <w:ind w:left="638"/>
              <w:rPr>
                <w:sz w:val="22"/>
              </w:rPr>
            </w:pPr>
            <w:r>
              <w:rPr>
                <w:w w:val="100"/>
                <w:sz w:val="22"/>
              </w:rPr>
              <w:t>7</w:t>
            </w:r>
          </w:p>
        </w:tc>
        <w:tc>
          <w:tcPr>
            <w:tcW w:w="1419" w:type="dxa"/>
          </w:tcPr>
          <w:p>
            <w:pPr>
              <w:pStyle w:val="TableParagraph"/>
              <w:ind w:left="638"/>
              <w:rPr>
                <w:sz w:val="22"/>
              </w:rPr>
            </w:pPr>
            <w:r>
              <w:rPr>
                <w:w w:val="100"/>
                <w:sz w:val="22"/>
              </w:rPr>
              <w:t>2</w:t>
            </w:r>
          </w:p>
        </w:tc>
      </w:tr>
      <w:tr>
        <w:trPr>
          <w:trHeight w:val="274" w:hRule="exact"/>
        </w:trPr>
        <w:tc>
          <w:tcPr>
            <w:tcW w:w="1418" w:type="dxa"/>
          </w:tcPr>
          <w:p>
            <w:pPr>
              <w:pStyle w:val="TableParagraph"/>
              <w:spacing w:line="251" w:lineRule="exact"/>
              <w:ind w:left="638"/>
              <w:rPr>
                <w:sz w:val="22"/>
              </w:rPr>
            </w:pPr>
            <w:r>
              <w:rPr>
                <w:w w:val="100"/>
                <w:sz w:val="22"/>
              </w:rPr>
              <w:t>8</w:t>
            </w:r>
          </w:p>
        </w:tc>
        <w:tc>
          <w:tcPr>
            <w:tcW w:w="1419" w:type="dxa"/>
          </w:tcPr>
          <w:p>
            <w:pPr>
              <w:pStyle w:val="TableParagraph"/>
              <w:spacing w:line="251" w:lineRule="exact"/>
              <w:ind w:left="638"/>
              <w:rPr>
                <w:sz w:val="22"/>
              </w:rPr>
            </w:pPr>
            <w:r>
              <w:rPr>
                <w:w w:val="100"/>
                <w:sz w:val="22"/>
              </w:rPr>
              <w:t>2</w:t>
            </w:r>
          </w:p>
        </w:tc>
      </w:tr>
    </w:tbl>
    <w:p>
      <w:pPr>
        <w:pStyle w:val="BodyText"/>
        <w:rPr>
          <w:sz w:val="20"/>
        </w:rPr>
      </w:pPr>
    </w:p>
    <w:p>
      <w:pPr>
        <w:pStyle w:val="BodyText"/>
        <w:spacing w:before="6"/>
        <w:rPr>
          <w:sz w:val="17"/>
        </w:rPr>
      </w:pPr>
    </w:p>
    <w:p>
      <w:pPr>
        <w:pStyle w:val="BodyText"/>
        <w:spacing w:before="72"/>
        <w:ind w:left="102" w:right="172"/>
      </w:pPr>
      <w:r>
        <w:rPr/>
        <w:t>Los percentiles son los 99 valores que dividen la serie de datos en 100 partes iguales.</w:t>
      </w:r>
    </w:p>
    <w:p>
      <w:pPr>
        <w:pStyle w:val="BodyText"/>
        <w:spacing w:before="1"/>
        <w:ind w:left="102" w:right="172"/>
      </w:pPr>
      <w:r>
        <w:rPr/>
        <w:t>Los percentiles dan los valores correspondientes al 1%, al 2%... y al 99% de los datos</w:t>
      </w:r>
    </w:p>
    <w:p>
      <w:pPr>
        <w:pStyle w:val="BodyText"/>
      </w:pPr>
    </w:p>
    <w:p>
      <w:pPr>
        <w:pStyle w:val="BodyText"/>
        <w:tabs>
          <w:tab w:pos="5045" w:val="left" w:leader="none"/>
        </w:tabs>
        <w:ind w:left="102" w:right="121"/>
      </w:pPr>
      <w:r>
        <w:rPr>
          <w:spacing w:val="7"/>
        </w:rPr>
        <w:t>Ejemplo  cálculo  </w:t>
      </w:r>
      <w:r>
        <w:rPr>
          <w:spacing w:val="4"/>
        </w:rPr>
        <w:t>de  </w:t>
      </w:r>
      <w:r>
        <w:rPr>
          <w:spacing w:val="7"/>
        </w:rPr>
        <w:t>deciles</w:t>
      </w:r>
      <w:r>
        <w:rPr>
          <w:spacing w:val="51"/>
        </w:rPr>
        <w:t> </w:t>
      </w:r>
      <w:r>
        <w:rPr/>
        <w:t>y </w:t>
      </w:r>
      <w:r>
        <w:rPr>
          <w:spacing w:val="2"/>
        </w:rPr>
        <w:t> </w:t>
      </w:r>
      <w:r>
        <w:rPr>
          <w:spacing w:val="8"/>
        </w:rPr>
        <w:t>percentiles</w:t>
        <w:tab/>
      </w:r>
      <w:r>
        <w:rPr>
          <w:spacing w:val="4"/>
        </w:rPr>
        <w:t>En  </w:t>
      </w:r>
      <w:r>
        <w:rPr>
          <w:spacing w:val="5"/>
        </w:rPr>
        <w:t>las  </w:t>
      </w:r>
      <w:r>
        <w:rPr>
          <w:spacing w:val="8"/>
        </w:rPr>
        <w:t>siguientes</w:t>
      </w:r>
      <w:r>
        <w:rPr>
          <w:spacing w:val="57"/>
        </w:rPr>
        <w:t> </w:t>
      </w:r>
      <w:r>
        <w:rPr>
          <w:spacing w:val="8"/>
        </w:rPr>
        <w:t>distribuciones</w:t>
      </w:r>
      <w:r>
        <w:rPr>
          <w:spacing w:val="66"/>
        </w:rPr>
        <w:t> </w:t>
      </w:r>
      <w:r>
        <w:rPr>
          <w:spacing w:val="4"/>
        </w:rPr>
        <w:t>de</w:t>
      </w:r>
      <w:r>
        <w:rPr>
          <w:w w:val="100"/>
        </w:rPr>
        <w:t> </w:t>
      </w:r>
      <w:r>
        <w:rPr>
          <w:spacing w:val="8"/>
        </w:rPr>
        <w:t>frecuencias calcular, </w:t>
      </w:r>
      <w:r>
        <w:rPr>
          <w:spacing w:val="5"/>
        </w:rPr>
        <w:t>los </w:t>
      </w:r>
      <w:r>
        <w:rPr>
          <w:spacing w:val="7"/>
        </w:rPr>
        <w:t>deciles </w:t>
      </w:r>
      <w:r>
        <w:rPr/>
        <w:t>3 y 7 y </w:t>
      </w:r>
      <w:r>
        <w:rPr>
          <w:spacing w:val="6"/>
        </w:rPr>
        <w:t>los </w:t>
      </w:r>
      <w:r>
        <w:rPr>
          <w:spacing w:val="8"/>
        </w:rPr>
        <w:t>percentiles </w:t>
      </w:r>
      <w:r>
        <w:rPr>
          <w:spacing w:val="4"/>
        </w:rPr>
        <w:t>22   </w:t>
      </w:r>
      <w:r>
        <w:rPr>
          <w:spacing w:val="24"/>
        </w:rPr>
        <w:t> </w:t>
      </w:r>
      <w:r>
        <w:rPr/>
        <w:t>y </w:t>
      </w:r>
      <w:r>
        <w:rPr>
          <w:spacing w:val="4"/>
        </w:rPr>
        <w:t>45</w:t>
      </w:r>
    </w:p>
    <w:p>
      <w:pPr>
        <w:pStyle w:val="BodyText"/>
        <w:spacing w:before="4"/>
        <w:rPr>
          <w:sz w:val="24"/>
        </w:rPr>
      </w:pPr>
    </w:p>
    <w:tbl>
      <w:tblPr>
        <w:tblW w:w="0" w:type="auto"/>
        <w:jc w:val="left"/>
        <w:tblInd w:w="30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18"/>
        <w:gridCol w:w="1419"/>
      </w:tblGrid>
      <w:tr>
        <w:trPr>
          <w:trHeight w:val="298" w:hRule="exact"/>
        </w:trPr>
        <w:tc>
          <w:tcPr>
            <w:tcW w:w="1418" w:type="dxa"/>
          </w:tcPr>
          <w:p>
            <w:pPr>
              <w:pStyle w:val="TableParagraph"/>
              <w:ind w:left="592"/>
              <w:rPr>
                <w:sz w:val="24"/>
              </w:rPr>
            </w:pPr>
            <w:r>
              <w:rPr>
                <w:sz w:val="24"/>
              </w:rPr>
              <w:t>Xi</w:t>
            </w:r>
          </w:p>
        </w:tc>
        <w:tc>
          <w:tcPr>
            <w:tcW w:w="1419" w:type="dxa"/>
          </w:tcPr>
          <w:p>
            <w:pPr>
              <w:pStyle w:val="TableParagraph"/>
              <w:ind w:left="605"/>
              <w:rPr>
                <w:sz w:val="24"/>
              </w:rPr>
            </w:pPr>
            <w:r>
              <w:rPr>
                <w:sz w:val="24"/>
              </w:rPr>
              <w:t>ni</w:t>
            </w:r>
          </w:p>
        </w:tc>
      </w:tr>
      <w:tr>
        <w:trPr>
          <w:trHeight w:val="298" w:hRule="exact"/>
        </w:trPr>
        <w:tc>
          <w:tcPr>
            <w:tcW w:w="1418" w:type="dxa"/>
          </w:tcPr>
          <w:p>
            <w:pPr>
              <w:pStyle w:val="TableParagraph"/>
              <w:spacing w:line="274" w:lineRule="exact"/>
              <w:rPr>
                <w:sz w:val="24"/>
              </w:rPr>
            </w:pPr>
            <w:r>
              <w:rPr>
                <w:w w:val="99"/>
                <w:sz w:val="24"/>
              </w:rPr>
              <w:t>1</w:t>
            </w:r>
          </w:p>
        </w:tc>
        <w:tc>
          <w:tcPr>
            <w:tcW w:w="1419" w:type="dxa"/>
          </w:tcPr>
          <w:p>
            <w:pPr>
              <w:pStyle w:val="TableParagraph"/>
              <w:spacing w:line="274" w:lineRule="exact"/>
              <w:rPr>
                <w:sz w:val="24"/>
              </w:rPr>
            </w:pPr>
            <w:r>
              <w:rPr>
                <w:w w:val="99"/>
                <w:sz w:val="24"/>
              </w:rPr>
              <w:t>2</w:t>
            </w:r>
          </w:p>
        </w:tc>
      </w:tr>
      <w:tr>
        <w:trPr>
          <w:trHeight w:val="295" w:hRule="exact"/>
        </w:trPr>
        <w:tc>
          <w:tcPr>
            <w:tcW w:w="1418" w:type="dxa"/>
          </w:tcPr>
          <w:p>
            <w:pPr>
              <w:pStyle w:val="TableParagraph"/>
              <w:spacing w:line="274" w:lineRule="exact"/>
              <w:rPr>
                <w:sz w:val="24"/>
              </w:rPr>
            </w:pPr>
            <w:r>
              <w:rPr>
                <w:w w:val="99"/>
                <w:sz w:val="24"/>
              </w:rPr>
              <w:t>2</w:t>
            </w:r>
          </w:p>
        </w:tc>
        <w:tc>
          <w:tcPr>
            <w:tcW w:w="1419" w:type="dxa"/>
          </w:tcPr>
          <w:p>
            <w:pPr>
              <w:pStyle w:val="TableParagraph"/>
              <w:spacing w:line="274" w:lineRule="exact"/>
              <w:rPr>
                <w:sz w:val="24"/>
              </w:rPr>
            </w:pPr>
            <w:r>
              <w:rPr>
                <w:w w:val="99"/>
                <w:sz w:val="24"/>
              </w:rPr>
              <w:t>4</w:t>
            </w:r>
          </w:p>
        </w:tc>
      </w:tr>
      <w:tr>
        <w:trPr>
          <w:trHeight w:val="298" w:hRule="exact"/>
        </w:trPr>
        <w:tc>
          <w:tcPr>
            <w:tcW w:w="1418" w:type="dxa"/>
          </w:tcPr>
          <w:p>
            <w:pPr>
              <w:pStyle w:val="TableParagraph"/>
              <w:rPr>
                <w:sz w:val="24"/>
              </w:rPr>
            </w:pPr>
            <w:r>
              <w:rPr>
                <w:w w:val="99"/>
                <w:sz w:val="24"/>
              </w:rPr>
              <w:t>3</w:t>
            </w:r>
          </w:p>
        </w:tc>
        <w:tc>
          <w:tcPr>
            <w:tcW w:w="1419" w:type="dxa"/>
          </w:tcPr>
          <w:p>
            <w:pPr>
              <w:pStyle w:val="TableParagraph"/>
              <w:rPr>
                <w:sz w:val="24"/>
              </w:rPr>
            </w:pPr>
            <w:r>
              <w:rPr>
                <w:w w:val="99"/>
                <w:sz w:val="24"/>
              </w:rPr>
              <w:t>2</w:t>
            </w:r>
          </w:p>
        </w:tc>
      </w:tr>
      <w:tr>
        <w:trPr>
          <w:trHeight w:val="298" w:hRule="exact"/>
        </w:trPr>
        <w:tc>
          <w:tcPr>
            <w:tcW w:w="1418" w:type="dxa"/>
          </w:tcPr>
          <w:p>
            <w:pPr>
              <w:pStyle w:val="TableParagraph"/>
              <w:rPr>
                <w:sz w:val="24"/>
              </w:rPr>
            </w:pPr>
            <w:r>
              <w:rPr>
                <w:w w:val="99"/>
                <w:sz w:val="24"/>
              </w:rPr>
              <w:t>4</w:t>
            </w:r>
          </w:p>
        </w:tc>
        <w:tc>
          <w:tcPr>
            <w:tcW w:w="1419" w:type="dxa"/>
          </w:tcPr>
          <w:p>
            <w:pPr>
              <w:pStyle w:val="TableParagraph"/>
              <w:rPr>
                <w:sz w:val="24"/>
              </w:rPr>
            </w:pPr>
            <w:r>
              <w:rPr>
                <w:w w:val="99"/>
                <w:sz w:val="24"/>
              </w:rPr>
              <w:t>6</w:t>
            </w:r>
          </w:p>
        </w:tc>
      </w:tr>
      <w:tr>
        <w:trPr>
          <w:trHeight w:val="298" w:hRule="exact"/>
        </w:trPr>
        <w:tc>
          <w:tcPr>
            <w:tcW w:w="1418" w:type="dxa"/>
          </w:tcPr>
          <w:p>
            <w:pPr>
              <w:pStyle w:val="TableParagraph"/>
              <w:spacing w:line="274" w:lineRule="exact"/>
              <w:rPr>
                <w:sz w:val="24"/>
              </w:rPr>
            </w:pPr>
            <w:r>
              <w:rPr>
                <w:w w:val="99"/>
                <w:sz w:val="24"/>
              </w:rPr>
              <w:t>5</w:t>
            </w:r>
          </w:p>
        </w:tc>
        <w:tc>
          <w:tcPr>
            <w:tcW w:w="1419" w:type="dxa"/>
          </w:tcPr>
          <w:p>
            <w:pPr>
              <w:pStyle w:val="TableParagraph"/>
              <w:spacing w:line="274" w:lineRule="exact"/>
              <w:rPr>
                <w:sz w:val="24"/>
              </w:rPr>
            </w:pPr>
            <w:r>
              <w:rPr>
                <w:w w:val="99"/>
                <w:sz w:val="24"/>
              </w:rPr>
              <w:t>4</w:t>
            </w:r>
          </w:p>
        </w:tc>
      </w:tr>
      <w:tr>
        <w:trPr>
          <w:trHeight w:val="295" w:hRule="exact"/>
        </w:trPr>
        <w:tc>
          <w:tcPr>
            <w:tcW w:w="1418" w:type="dxa"/>
          </w:tcPr>
          <w:p>
            <w:pPr>
              <w:pStyle w:val="TableParagraph"/>
              <w:spacing w:line="274" w:lineRule="exact"/>
              <w:rPr>
                <w:sz w:val="24"/>
              </w:rPr>
            </w:pPr>
            <w:r>
              <w:rPr>
                <w:w w:val="99"/>
                <w:sz w:val="24"/>
              </w:rPr>
              <w:t>6</w:t>
            </w:r>
          </w:p>
        </w:tc>
        <w:tc>
          <w:tcPr>
            <w:tcW w:w="1419" w:type="dxa"/>
          </w:tcPr>
          <w:p>
            <w:pPr>
              <w:pStyle w:val="TableParagraph"/>
              <w:spacing w:line="274" w:lineRule="exact"/>
              <w:rPr>
                <w:sz w:val="24"/>
              </w:rPr>
            </w:pPr>
            <w:r>
              <w:rPr>
                <w:w w:val="99"/>
                <w:sz w:val="24"/>
              </w:rPr>
              <w:t>2</w:t>
            </w:r>
          </w:p>
        </w:tc>
      </w:tr>
      <w:tr>
        <w:trPr>
          <w:trHeight w:val="298" w:hRule="exact"/>
        </w:trPr>
        <w:tc>
          <w:tcPr>
            <w:tcW w:w="1418" w:type="dxa"/>
          </w:tcPr>
          <w:p>
            <w:pPr>
              <w:pStyle w:val="TableParagraph"/>
              <w:rPr>
                <w:sz w:val="24"/>
              </w:rPr>
            </w:pPr>
            <w:r>
              <w:rPr>
                <w:w w:val="99"/>
                <w:sz w:val="24"/>
              </w:rPr>
              <w:t>7</w:t>
            </w:r>
          </w:p>
        </w:tc>
        <w:tc>
          <w:tcPr>
            <w:tcW w:w="1419" w:type="dxa"/>
          </w:tcPr>
          <w:p>
            <w:pPr>
              <w:pStyle w:val="TableParagraph"/>
              <w:rPr>
                <w:sz w:val="24"/>
              </w:rPr>
            </w:pPr>
            <w:r>
              <w:rPr>
                <w:w w:val="99"/>
                <w:sz w:val="24"/>
              </w:rPr>
              <w:t>2</w:t>
            </w:r>
          </w:p>
        </w:tc>
      </w:tr>
      <w:tr>
        <w:trPr>
          <w:trHeight w:val="298" w:hRule="exact"/>
        </w:trPr>
        <w:tc>
          <w:tcPr>
            <w:tcW w:w="1418" w:type="dxa"/>
          </w:tcPr>
          <w:p>
            <w:pPr>
              <w:pStyle w:val="TableParagraph"/>
              <w:rPr>
                <w:sz w:val="24"/>
              </w:rPr>
            </w:pPr>
            <w:r>
              <w:rPr>
                <w:w w:val="99"/>
                <w:sz w:val="24"/>
              </w:rPr>
              <w:t>8</w:t>
            </w:r>
          </w:p>
        </w:tc>
        <w:tc>
          <w:tcPr>
            <w:tcW w:w="1419" w:type="dxa"/>
          </w:tcPr>
          <w:p>
            <w:pPr>
              <w:pStyle w:val="TableParagraph"/>
              <w:rPr>
                <w:sz w:val="24"/>
              </w:rPr>
            </w:pPr>
            <w:r>
              <w:rPr>
                <w:w w:val="99"/>
                <w:sz w:val="24"/>
              </w:rPr>
              <w:t>2</w:t>
            </w:r>
          </w:p>
        </w:tc>
      </w:tr>
    </w:tbl>
    <w:sectPr>
      <w:pgSz w:w="12240" w:h="15840"/>
      <w:pgMar w:top="1360" w:bottom="2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02"/>
      <w:jc w:val="both"/>
      <w:outlineLvl w:val="1"/>
    </w:pPr>
    <w:rPr>
      <w:rFonts w:ascii="Arial" w:hAnsi="Arial" w:eastAsia="Arial" w:cs="Arial"/>
      <w:b/>
      <w:bCs/>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ind w:left="631"/>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2017-05-27T20:44:29Z</dcterms:created>
  <dcterms:modified xsi:type="dcterms:W3CDTF">2017-05-27T20:44:29Z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