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numPr>
          <w:ilvl w:val="1"/>
          <w:numId w:val="1"/>
        </w:numPr>
        <w:tabs>
          <w:tab w:pos="642" w:val="left" w:leader="none"/>
        </w:tabs>
        <w:spacing w:line="506" w:lineRule="auto" w:before="51" w:after="14"/>
        <w:ind w:left="282" w:right="775" w:firstLine="0"/>
        <w:jc w:val="left"/>
      </w:pPr>
      <w:r>
        <w:rPr/>
        <w:drawing>
          <wp:anchor distT="0" distB="0" distL="0" distR="0" allowOverlap="1" layoutInCell="1" locked="0" behindDoc="0" simplePos="0" relativeHeight="0">
            <wp:simplePos x="0" y="0"/>
            <wp:positionH relativeFrom="page">
              <wp:posOffset>2446273</wp:posOffset>
            </wp:positionH>
            <wp:positionV relativeFrom="page">
              <wp:posOffset>2976626</wp:posOffset>
            </wp:positionV>
            <wp:extent cx="3196368" cy="155448"/>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3196368" cy="155448"/>
                    </a:xfrm>
                    <a:prstGeom prst="rect">
                      <a:avLst/>
                    </a:prstGeom>
                  </pic:spPr>
                </pic:pic>
              </a:graphicData>
            </a:graphic>
          </wp:anchor>
        </w:drawing>
      </w:r>
      <w:r>
        <w:rPr>
          <w:color w:val="3366FF"/>
        </w:rPr>
        <w:t>Medidas de variación: Rango, desviación estándar y coeficiente de variación </w:t>
      </w:r>
      <w:r>
        <w:rPr/>
        <w:t>Medidas de</w:t>
      </w:r>
      <w:r>
        <w:rPr>
          <w:spacing w:val="-5"/>
        </w:rPr>
        <w:t> </w:t>
      </w:r>
      <w:r>
        <w:rPr/>
        <w:t>Variación</w:t>
      </w:r>
    </w:p>
    <w:tbl>
      <w:tblPr>
        <w:tblW w:w="0" w:type="auto"/>
        <w:jc w:val="left"/>
        <w:tblInd w:w="118"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CellMar>
          <w:top w:w="0" w:type="dxa"/>
          <w:left w:w="0" w:type="dxa"/>
          <w:bottom w:w="0" w:type="dxa"/>
          <w:right w:w="0" w:type="dxa"/>
        </w:tblCellMar>
        <w:tblLook w:val="01E0"/>
      </w:tblPr>
      <w:tblGrid>
        <w:gridCol w:w="2214"/>
        <w:gridCol w:w="6752"/>
        <w:gridCol w:w="176"/>
      </w:tblGrid>
      <w:tr>
        <w:trPr>
          <w:trHeight w:val="670" w:hRule="exact"/>
        </w:trPr>
        <w:tc>
          <w:tcPr>
            <w:tcW w:w="2214" w:type="dxa"/>
            <w:tcBorders>
              <w:left w:val="double" w:sz="5" w:space="0" w:color="EFEFEF"/>
            </w:tcBorders>
            <w:shd w:val="clear" w:color="auto" w:fill="EDFFFF"/>
          </w:tcPr>
          <w:p>
            <w:pPr>
              <w:pStyle w:val="TableParagraph"/>
              <w:spacing w:before="55"/>
              <w:ind w:right="932"/>
              <w:rPr>
                <w:b/>
                <w:sz w:val="22"/>
              </w:rPr>
            </w:pPr>
            <w:r>
              <w:rPr>
                <w:b/>
                <w:sz w:val="22"/>
              </w:rPr>
              <w:t>Amplitud</w:t>
            </w:r>
          </w:p>
        </w:tc>
        <w:tc>
          <w:tcPr>
            <w:tcW w:w="6752" w:type="dxa"/>
            <w:tcBorders>
              <w:right w:val="double" w:sz="5" w:space="0" w:color="9F9F9F"/>
            </w:tcBorders>
          </w:tcPr>
          <w:p>
            <w:pPr>
              <w:pStyle w:val="TableParagraph"/>
              <w:ind w:right="0"/>
              <w:rPr>
                <w:sz w:val="22"/>
              </w:rPr>
            </w:pPr>
            <w:r>
              <w:rPr>
                <w:sz w:val="22"/>
              </w:rPr>
              <w:t>Diferencia entre los valores mayor y menor de un conjunto de datos obtenidos en una medición.</w:t>
            </w:r>
          </w:p>
        </w:tc>
        <w:tc>
          <w:tcPr>
            <w:tcW w:w="176" w:type="dxa"/>
            <w:tcBorders>
              <w:top w:val="nil"/>
              <w:left w:val="double" w:sz="5" w:space="0" w:color="9F9F9F"/>
              <w:bottom w:val="single" w:sz="6" w:space="0" w:color="9F9F9F"/>
              <w:right w:val="nil"/>
            </w:tcBorders>
          </w:tcPr>
          <w:p>
            <w:pPr/>
          </w:p>
        </w:tc>
      </w:tr>
      <w:tr>
        <w:trPr>
          <w:trHeight w:val="922" w:hRule="exact"/>
        </w:trPr>
        <w:tc>
          <w:tcPr>
            <w:tcW w:w="2214" w:type="dxa"/>
            <w:tcBorders>
              <w:left w:val="double" w:sz="5" w:space="0" w:color="EFEFEF"/>
            </w:tcBorders>
            <w:shd w:val="clear" w:color="auto" w:fill="EDFFFF"/>
          </w:tcPr>
          <w:p>
            <w:pPr>
              <w:pStyle w:val="TableParagraph"/>
              <w:tabs>
                <w:tab w:pos="1856" w:val="left" w:leader="none"/>
              </w:tabs>
              <w:spacing w:before="55"/>
              <w:ind w:right="59"/>
              <w:rPr>
                <w:b/>
                <w:sz w:val="22"/>
              </w:rPr>
            </w:pPr>
            <w:r>
              <w:rPr>
                <w:b/>
                <w:sz w:val="22"/>
              </w:rPr>
              <w:t>Coeficiente</w:t>
              <w:tab/>
              <w:t>de variación</w:t>
            </w:r>
          </w:p>
        </w:tc>
        <w:tc>
          <w:tcPr>
            <w:tcW w:w="6928" w:type="dxa"/>
            <w:gridSpan w:val="2"/>
            <w:tcBorders>
              <w:top w:val="single" w:sz="6" w:space="0" w:color="9F9F9F"/>
              <w:bottom w:val="single" w:sz="6" w:space="0" w:color="9F9F9F"/>
              <w:right w:val="double" w:sz="5" w:space="0" w:color="9F9F9F"/>
            </w:tcBorders>
          </w:tcPr>
          <w:p>
            <w:pPr>
              <w:pStyle w:val="TableParagraph"/>
              <w:spacing w:before="72"/>
              <w:ind w:right="70"/>
              <w:jc w:val="both"/>
              <w:rPr>
                <w:sz w:val="22"/>
              </w:rPr>
            </w:pPr>
            <w:r>
              <w:rPr>
                <w:sz w:val="22"/>
              </w:rPr>
              <w:t>Equivale a la desviación típica expresada en porcentaje respecto de la media aritmética. Es la desviación típica partido por la media aritmética.</w:t>
            </w:r>
          </w:p>
        </w:tc>
      </w:tr>
      <w:tr>
        <w:trPr>
          <w:trHeight w:val="1177" w:hRule="exact"/>
        </w:trPr>
        <w:tc>
          <w:tcPr>
            <w:tcW w:w="2214" w:type="dxa"/>
            <w:tcBorders>
              <w:left w:val="double" w:sz="5" w:space="0" w:color="EFEFEF"/>
            </w:tcBorders>
            <w:shd w:val="clear" w:color="auto" w:fill="EDFFFF"/>
          </w:tcPr>
          <w:p>
            <w:pPr>
              <w:pStyle w:val="TableParagraph"/>
              <w:ind w:right="932"/>
              <w:rPr>
                <w:b/>
                <w:sz w:val="22"/>
              </w:rPr>
            </w:pPr>
            <w:r>
              <w:rPr>
                <w:b/>
                <w:sz w:val="22"/>
              </w:rPr>
              <w:t>Desviación estándar</w:t>
            </w:r>
          </w:p>
        </w:tc>
        <w:tc>
          <w:tcPr>
            <w:tcW w:w="6752" w:type="dxa"/>
            <w:tcBorders>
              <w:right w:val="single" w:sz="6" w:space="0" w:color="EFEFEF"/>
            </w:tcBorders>
          </w:tcPr>
          <w:p>
            <w:pPr>
              <w:pStyle w:val="TableParagraph"/>
              <w:spacing w:before="60"/>
              <w:ind w:left="0" w:right="59"/>
              <w:jc w:val="right"/>
              <w:rPr>
                <w:sz w:val="22"/>
              </w:rPr>
            </w:pPr>
            <w:r>
              <w:rPr>
                <w:sz w:val="22"/>
              </w:rPr>
              <w:t>Medida de la dispersión de una distribución de frecuencias respecto</w:t>
            </w:r>
            <w:r>
              <w:rPr>
                <w:w w:val="100"/>
                <w:sz w:val="22"/>
              </w:rPr>
              <w:t> </w:t>
            </w:r>
            <w:r>
              <w:rPr>
                <w:sz w:val="22"/>
              </w:rPr>
              <w:t>de su media. Equivale a la raíz cuadrada de la varianza. Se expresa</w:t>
            </w:r>
          </w:p>
          <w:p>
            <w:pPr>
              <w:pStyle w:val="TableParagraph"/>
              <w:spacing w:line="250" w:lineRule="exact" w:before="0"/>
              <w:ind w:left="0" w:right="58"/>
              <w:jc w:val="right"/>
              <w:rPr>
                <w:sz w:val="22"/>
              </w:rPr>
            </w:pPr>
            <w:r>
              <w:rPr>
                <w:b/>
                <w:sz w:val="22"/>
              </w:rPr>
              <w:t>s </w:t>
            </w:r>
            <w:r>
              <w:rPr>
                <w:sz w:val="22"/>
              </w:rPr>
              <w:t>si corresponde</w:t>
            </w:r>
          </w:p>
          <w:p>
            <w:pPr>
              <w:pStyle w:val="TableParagraph"/>
              <w:spacing w:before="4"/>
              <w:rPr>
                <w:sz w:val="22"/>
              </w:rPr>
            </w:pPr>
            <w:r>
              <w:rPr>
                <w:sz w:val="22"/>
              </w:rPr>
              <w:t>a una muestra de la población</w:t>
            </w:r>
          </w:p>
        </w:tc>
        <w:tc>
          <w:tcPr>
            <w:tcW w:w="176" w:type="dxa"/>
            <w:vMerge w:val="restart"/>
            <w:tcBorders>
              <w:top w:val="single" w:sz="6" w:space="0" w:color="EFEFEF"/>
              <w:left w:val="single" w:sz="6" w:space="0" w:color="EFEFEF"/>
              <w:right w:val="single" w:sz="6" w:space="0" w:color="9F9F9F"/>
            </w:tcBorders>
          </w:tcPr>
          <w:p>
            <w:pPr/>
          </w:p>
        </w:tc>
      </w:tr>
      <w:tr>
        <w:trPr>
          <w:trHeight w:val="418" w:hRule="exact"/>
        </w:trPr>
        <w:tc>
          <w:tcPr>
            <w:tcW w:w="2214" w:type="dxa"/>
            <w:tcBorders>
              <w:left w:val="double" w:sz="5" w:space="0" w:color="EFEFEF"/>
            </w:tcBorders>
            <w:shd w:val="clear" w:color="auto" w:fill="EDFFFF"/>
          </w:tcPr>
          <w:p>
            <w:pPr>
              <w:pStyle w:val="TableParagraph"/>
              <w:ind w:right="932"/>
              <w:rPr>
                <w:b/>
                <w:sz w:val="22"/>
              </w:rPr>
            </w:pPr>
            <w:r>
              <w:rPr>
                <w:b/>
                <w:sz w:val="22"/>
              </w:rPr>
              <w:t>Rango</w:t>
            </w:r>
          </w:p>
        </w:tc>
        <w:tc>
          <w:tcPr>
            <w:tcW w:w="6752" w:type="dxa"/>
            <w:tcBorders>
              <w:right w:val="single" w:sz="6" w:space="0" w:color="EFEFEF"/>
            </w:tcBorders>
          </w:tcPr>
          <w:p>
            <w:pPr>
              <w:pStyle w:val="TableParagraph"/>
              <w:spacing w:before="60"/>
              <w:rPr>
                <w:sz w:val="22"/>
              </w:rPr>
            </w:pPr>
            <w:r>
              <w:rPr>
                <w:sz w:val="22"/>
              </w:rPr>
              <w:t>Medida equivalente a la amplitud</w:t>
            </w:r>
          </w:p>
        </w:tc>
        <w:tc>
          <w:tcPr>
            <w:tcW w:w="176" w:type="dxa"/>
            <w:vMerge/>
            <w:tcBorders>
              <w:left w:val="single" w:sz="6" w:space="0" w:color="EFEFEF"/>
              <w:right w:val="single" w:sz="6" w:space="0" w:color="9F9F9F"/>
            </w:tcBorders>
          </w:tcPr>
          <w:p>
            <w:pPr/>
          </w:p>
        </w:tc>
      </w:tr>
      <w:tr>
        <w:trPr>
          <w:trHeight w:val="924" w:hRule="exact"/>
        </w:trPr>
        <w:tc>
          <w:tcPr>
            <w:tcW w:w="2214" w:type="dxa"/>
            <w:tcBorders>
              <w:left w:val="double" w:sz="5" w:space="0" w:color="EFEFEF"/>
            </w:tcBorders>
            <w:shd w:val="clear" w:color="auto" w:fill="EDFFFF"/>
          </w:tcPr>
          <w:p>
            <w:pPr>
              <w:pStyle w:val="TableParagraph"/>
              <w:spacing w:before="55"/>
              <w:ind w:right="932"/>
              <w:rPr>
                <w:b/>
                <w:sz w:val="22"/>
              </w:rPr>
            </w:pPr>
            <w:r>
              <w:rPr>
                <w:b/>
                <w:sz w:val="22"/>
              </w:rPr>
              <w:t>Valor Z</w:t>
            </w:r>
          </w:p>
        </w:tc>
        <w:tc>
          <w:tcPr>
            <w:tcW w:w="6752" w:type="dxa"/>
            <w:tcBorders>
              <w:right w:val="single" w:sz="6" w:space="0" w:color="EFEFEF"/>
            </w:tcBorders>
          </w:tcPr>
          <w:p>
            <w:pPr>
              <w:pStyle w:val="TableParagraph"/>
              <w:rPr>
                <w:sz w:val="22"/>
              </w:rPr>
            </w:pPr>
            <w:r>
              <w:rPr>
                <w:sz w:val="22"/>
              </w:rPr>
              <w:t>Medida del número de desviaciones estándar que un valor se aleja de la media</w:t>
            </w:r>
          </w:p>
          <w:p>
            <w:pPr>
              <w:pStyle w:val="TableParagraph"/>
              <w:spacing w:line="254" w:lineRule="exact" w:before="0"/>
              <w:rPr>
                <w:sz w:val="22"/>
              </w:rPr>
            </w:pPr>
            <w:r>
              <w:rPr>
                <w:position w:val="2"/>
                <w:sz w:val="22"/>
              </w:rPr>
              <w:t>Z= (x</w:t>
            </w:r>
            <w:r>
              <w:rPr>
                <w:sz w:val="14"/>
              </w:rPr>
              <w:t>i  </w:t>
            </w:r>
            <w:r>
              <w:rPr>
                <w:position w:val="2"/>
                <w:sz w:val="22"/>
              </w:rPr>
              <w:t>- X) / s o Z= (x</w:t>
            </w:r>
            <w:r>
              <w:rPr>
                <w:sz w:val="14"/>
              </w:rPr>
              <w:t>i  </w:t>
            </w:r>
            <w:r>
              <w:rPr>
                <w:position w:val="2"/>
                <w:sz w:val="22"/>
              </w:rPr>
              <w:t>- x ) / n</w:t>
            </w:r>
          </w:p>
        </w:tc>
        <w:tc>
          <w:tcPr>
            <w:tcW w:w="176" w:type="dxa"/>
            <w:vMerge/>
            <w:tcBorders>
              <w:left w:val="single" w:sz="6" w:space="0" w:color="EFEFEF"/>
              <w:right w:val="single" w:sz="6" w:space="0" w:color="9F9F9F"/>
            </w:tcBorders>
          </w:tcPr>
          <w:p>
            <w:pPr/>
          </w:p>
        </w:tc>
      </w:tr>
      <w:tr>
        <w:trPr>
          <w:trHeight w:val="1682" w:hRule="exact"/>
        </w:trPr>
        <w:tc>
          <w:tcPr>
            <w:tcW w:w="2214" w:type="dxa"/>
            <w:tcBorders>
              <w:left w:val="double" w:sz="5" w:space="0" w:color="EFEFEF"/>
            </w:tcBorders>
            <w:shd w:val="clear" w:color="auto" w:fill="EDFFFF"/>
          </w:tcPr>
          <w:p>
            <w:pPr>
              <w:pStyle w:val="TableParagraph"/>
              <w:spacing w:before="55"/>
              <w:ind w:right="932"/>
              <w:rPr>
                <w:b/>
                <w:sz w:val="22"/>
              </w:rPr>
            </w:pPr>
            <w:r>
              <w:rPr>
                <w:b/>
                <w:sz w:val="22"/>
              </w:rPr>
              <w:t>Varianza</w:t>
            </w:r>
          </w:p>
        </w:tc>
        <w:tc>
          <w:tcPr>
            <w:tcW w:w="6752" w:type="dxa"/>
            <w:tcBorders>
              <w:right w:val="single" w:sz="6" w:space="0" w:color="EFEFEF"/>
            </w:tcBorders>
          </w:tcPr>
          <w:p>
            <w:pPr>
              <w:pStyle w:val="TableParagraph"/>
              <w:rPr>
                <w:sz w:val="22"/>
              </w:rPr>
            </w:pPr>
            <w:r>
              <w:rPr>
                <w:sz w:val="22"/>
              </w:rPr>
              <w:t>Medida de la variación de una serie de observaciones respecto de la</w:t>
            </w:r>
            <w:r>
              <w:rPr>
                <w:spacing w:val="-5"/>
                <w:sz w:val="22"/>
              </w:rPr>
              <w:t> </w:t>
            </w:r>
            <w:r>
              <w:rPr>
                <w:sz w:val="22"/>
              </w:rPr>
              <w:t>media.</w:t>
            </w:r>
            <w:r>
              <w:rPr>
                <w:spacing w:val="-4"/>
                <w:sz w:val="22"/>
              </w:rPr>
              <w:t> </w:t>
            </w:r>
            <w:r>
              <w:rPr>
                <w:sz w:val="22"/>
              </w:rPr>
              <w:t>Equivale</w:t>
            </w:r>
            <w:r>
              <w:rPr>
                <w:spacing w:val="-5"/>
                <w:sz w:val="22"/>
              </w:rPr>
              <w:t> </w:t>
            </w:r>
            <w:r>
              <w:rPr>
                <w:sz w:val="22"/>
              </w:rPr>
              <w:t>a</w:t>
            </w:r>
            <w:r>
              <w:rPr>
                <w:spacing w:val="-5"/>
                <w:sz w:val="22"/>
              </w:rPr>
              <w:t> </w:t>
            </w:r>
            <w:r>
              <w:rPr>
                <w:sz w:val="22"/>
              </w:rPr>
              <w:t>la</w:t>
            </w:r>
            <w:r>
              <w:rPr>
                <w:spacing w:val="-5"/>
                <w:sz w:val="22"/>
              </w:rPr>
              <w:t> </w:t>
            </w:r>
            <w:r>
              <w:rPr>
                <w:sz w:val="22"/>
              </w:rPr>
              <w:t>dispersión</w:t>
            </w:r>
            <w:r>
              <w:rPr>
                <w:spacing w:val="-5"/>
                <w:sz w:val="22"/>
              </w:rPr>
              <w:t> </w:t>
            </w:r>
            <w:r>
              <w:rPr>
                <w:sz w:val="22"/>
              </w:rPr>
              <w:t>respecto</w:t>
            </w:r>
            <w:r>
              <w:rPr>
                <w:spacing w:val="-8"/>
                <w:sz w:val="22"/>
              </w:rPr>
              <w:t> </w:t>
            </w:r>
            <w:r>
              <w:rPr>
                <w:sz w:val="22"/>
              </w:rPr>
              <w:t>de</w:t>
            </w:r>
            <w:r>
              <w:rPr>
                <w:spacing w:val="-6"/>
                <w:sz w:val="22"/>
              </w:rPr>
              <w:t> </w:t>
            </w:r>
            <w:r>
              <w:rPr>
                <w:sz w:val="22"/>
              </w:rPr>
              <w:t>la</w:t>
            </w:r>
            <w:r>
              <w:rPr>
                <w:spacing w:val="-8"/>
                <w:sz w:val="22"/>
              </w:rPr>
              <w:t> </w:t>
            </w:r>
            <w:r>
              <w:rPr>
                <w:sz w:val="22"/>
              </w:rPr>
              <w:t>media</w:t>
            </w:r>
            <w:r>
              <w:rPr>
                <w:spacing w:val="-5"/>
                <w:sz w:val="22"/>
              </w:rPr>
              <w:t> </w:t>
            </w:r>
            <w:r>
              <w:rPr>
                <w:sz w:val="22"/>
              </w:rPr>
              <w:t>en</w:t>
            </w:r>
            <w:r>
              <w:rPr>
                <w:spacing w:val="-6"/>
                <w:sz w:val="22"/>
              </w:rPr>
              <w:t> </w:t>
            </w:r>
            <w:r>
              <w:rPr>
                <w:sz w:val="22"/>
              </w:rPr>
              <w:t>una</w:t>
            </w:r>
            <w:r>
              <w:rPr>
                <w:spacing w:val="-8"/>
                <w:sz w:val="22"/>
              </w:rPr>
              <w:t> </w:t>
            </w:r>
            <w:r>
              <w:rPr>
                <w:sz w:val="22"/>
              </w:rPr>
              <w:t>serie</w:t>
            </w:r>
          </w:p>
          <w:p>
            <w:pPr>
              <w:pStyle w:val="TableParagraph"/>
              <w:spacing w:line="235" w:lineRule="auto" w:before="0"/>
              <w:ind w:right="56" w:firstLine="5615"/>
              <w:jc w:val="both"/>
              <w:rPr>
                <w:sz w:val="22"/>
              </w:rPr>
            </w:pPr>
            <w:r>
              <w:rPr>
                <w:sz w:val="14"/>
              </w:rPr>
              <w:t>i</w:t>
            </w:r>
            <w:r>
              <w:rPr>
                <w:position w:val="2"/>
                <w:sz w:val="22"/>
              </w:rPr>
              <w:t>- x)</w:t>
            </w:r>
            <w:r>
              <w:rPr>
                <w:position w:val="10"/>
                <w:sz w:val="14"/>
              </w:rPr>
              <w:t>2</w:t>
            </w:r>
            <w:r>
              <w:rPr>
                <w:position w:val="2"/>
                <w:sz w:val="22"/>
              </w:rPr>
              <w:t>/n si corresponde</w:t>
            </w:r>
            <w:r>
              <w:rPr>
                <w:spacing w:val="-13"/>
                <w:position w:val="2"/>
                <w:sz w:val="22"/>
              </w:rPr>
              <w:t> </w:t>
            </w:r>
            <w:r>
              <w:rPr>
                <w:position w:val="2"/>
                <w:sz w:val="22"/>
              </w:rPr>
              <w:t>a</w:t>
            </w:r>
            <w:r>
              <w:rPr>
                <w:spacing w:val="-10"/>
                <w:position w:val="2"/>
                <w:sz w:val="22"/>
              </w:rPr>
              <w:t> </w:t>
            </w:r>
            <w:r>
              <w:rPr>
                <w:position w:val="2"/>
                <w:sz w:val="22"/>
              </w:rPr>
              <w:t>la</w:t>
            </w:r>
            <w:r>
              <w:rPr>
                <w:spacing w:val="-10"/>
                <w:position w:val="2"/>
                <w:sz w:val="22"/>
              </w:rPr>
              <w:t> </w:t>
            </w:r>
            <w:r>
              <w:rPr>
                <w:position w:val="2"/>
                <w:sz w:val="22"/>
              </w:rPr>
              <w:t>población</w:t>
            </w:r>
            <w:r>
              <w:rPr>
                <w:spacing w:val="-10"/>
                <w:position w:val="2"/>
                <w:sz w:val="22"/>
              </w:rPr>
              <w:t> </w:t>
            </w:r>
            <w:r>
              <w:rPr>
                <w:position w:val="2"/>
                <w:sz w:val="22"/>
              </w:rPr>
              <w:t>total</w:t>
            </w:r>
            <w:r>
              <w:rPr>
                <w:spacing w:val="-10"/>
                <w:position w:val="2"/>
                <w:sz w:val="22"/>
              </w:rPr>
              <w:t> </w:t>
            </w:r>
            <w:r>
              <w:rPr>
                <w:position w:val="2"/>
                <w:sz w:val="22"/>
              </w:rPr>
              <w:t>o</w:t>
            </w:r>
            <w:r>
              <w:rPr>
                <w:spacing w:val="-10"/>
                <w:position w:val="2"/>
                <w:sz w:val="22"/>
              </w:rPr>
              <w:t> </w:t>
            </w:r>
            <w:r>
              <w:rPr>
                <w:position w:val="2"/>
                <w:sz w:val="22"/>
              </w:rPr>
              <w:t>sigma</w:t>
            </w:r>
            <w:r>
              <w:rPr>
                <w:spacing w:val="-9"/>
                <w:position w:val="2"/>
                <w:sz w:val="22"/>
              </w:rPr>
              <w:t> </w:t>
            </w:r>
            <w:r>
              <w:rPr>
                <w:position w:val="2"/>
                <w:sz w:val="22"/>
              </w:rPr>
              <w:t>(x</w:t>
            </w:r>
            <w:r>
              <w:rPr>
                <w:sz w:val="14"/>
              </w:rPr>
              <w:t>i</w:t>
            </w:r>
            <w:r>
              <w:rPr>
                <w:position w:val="2"/>
                <w:sz w:val="22"/>
              </w:rPr>
              <w:t>-</w:t>
            </w:r>
            <w:r>
              <w:rPr>
                <w:spacing w:val="-11"/>
                <w:position w:val="2"/>
                <w:sz w:val="22"/>
              </w:rPr>
              <w:t> </w:t>
            </w:r>
            <w:r>
              <w:rPr>
                <w:position w:val="2"/>
                <w:sz w:val="22"/>
              </w:rPr>
              <w:t>X)</w:t>
            </w:r>
            <w:r>
              <w:rPr>
                <w:position w:val="10"/>
                <w:sz w:val="14"/>
              </w:rPr>
              <w:t>2</w:t>
            </w:r>
            <w:r>
              <w:rPr>
                <w:position w:val="2"/>
                <w:sz w:val="22"/>
              </w:rPr>
              <w:t>/(n-1)</w:t>
            </w:r>
            <w:r>
              <w:rPr>
                <w:spacing w:val="-9"/>
                <w:position w:val="2"/>
                <w:sz w:val="22"/>
              </w:rPr>
              <w:t> </w:t>
            </w:r>
            <w:r>
              <w:rPr>
                <w:position w:val="2"/>
                <w:sz w:val="22"/>
              </w:rPr>
              <w:t>si</w:t>
            </w:r>
            <w:r>
              <w:rPr>
                <w:spacing w:val="-11"/>
                <w:position w:val="2"/>
                <w:sz w:val="22"/>
              </w:rPr>
              <w:t> </w:t>
            </w:r>
            <w:r>
              <w:rPr>
                <w:position w:val="2"/>
                <w:sz w:val="22"/>
              </w:rPr>
              <w:t>corresponde </w:t>
            </w:r>
            <w:r>
              <w:rPr>
                <w:sz w:val="22"/>
              </w:rPr>
              <w:t>a una muestra de esa población, siendo </w:t>
            </w:r>
            <w:r>
              <w:rPr>
                <w:b/>
                <w:sz w:val="22"/>
              </w:rPr>
              <w:t>X </w:t>
            </w:r>
            <w:r>
              <w:rPr>
                <w:sz w:val="22"/>
              </w:rPr>
              <w:t>la media, </w:t>
            </w:r>
            <w:r>
              <w:rPr>
                <w:b/>
                <w:sz w:val="22"/>
              </w:rPr>
              <w:t>n </w:t>
            </w:r>
            <w:r>
              <w:rPr>
                <w:sz w:val="22"/>
              </w:rPr>
              <w:t>el tamaño de </w:t>
            </w:r>
            <w:r>
              <w:rPr>
                <w:position w:val="2"/>
                <w:sz w:val="22"/>
              </w:rPr>
              <w:t>la población o de la muestra y </w:t>
            </w:r>
            <w:r>
              <w:rPr>
                <w:b/>
                <w:position w:val="2"/>
                <w:sz w:val="22"/>
              </w:rPr>
              <w:t>x</w:t>
            </w:r>
            <w:r>
              <w:rPr>
                <w:b/>
                <w:sz w:val="14"/>
              </w:rPr>
              <w:t>i  </w:t>
            </w:r>
            <w:r>
              <w:rPr>
                <w:position w:val="2"/>
                <w:sz w:val="22"/>
              </w:rPr>
              <w:t>cada uno de los</w:t>
            </w:r>
            <w:r>
              <w:rPr>
                <w:spacing w:val="-31"/>
                <w:position w:val="2"/>
                <w:sz w:val="22"/>
              </w:rPr>
              <w:t> </w:t>
            </w:r>
            <w:r>
              <w:rPr>
                <w:position w:val="2"/>
                <w:sz w:val="22"/>
              </w:rPr>
              <w:t>valores.</w:t>
            </w:r>
          </w:p>
        </w:tc>
        <w:tc>
          <w:tcPr>
            <w:tcW w:w="176" w:type="dxa"/>
            <w:vMerge/>
            <w:tcBorders>
              <w:left w:val="single" w:sz="6" w:space="0" w:color="EFEFEF"/>
              <w:bottom w:val="single" w:sz="6" w:space="0" w:color="9F9F9F"/>
              <w:right w:val="single" w:sz="6" w:space="0" w:color="9F9F9F"/>
            </w:tcBorders>
          </w:tcPr>
          <w:p>
            <w:pPr/>
          </w:p>
        </w:tc>
      </w:tr>
    </w:tbl>
    <w:p>
      <w:pPr>
        <w:pStyle w:val="BodyText"/>
        <w:spacing w:before="2"/>
        <w:rPr>
          <w:b/>
          <w:sz w:val="15"/>
        </w:rPr>
      </w:pPr>
    </w:p>
    <w:p>
      <w:pPr>
        <w:spacing w:before="73"/>
        <w:ind w:left="589" w:right="0" w:firstLine="0"/>
        <w:jc w:val="left"/>
        <w:rPr>
          <w:b/>
          <w:sz w:val="22"/>
        </w:rPr>
      </w:pPr>
      <w:r>
        <w:rPr/>
        <w:drawing>
          <wp:anchor distT="0" distB="0" distL="0" distR="0" allowOverlap="1" layoutInCell="1" locked="0" behindDoc="0" simplePos="0" relativeHeight="1048">
            <wp:simplePos x="0" y="0"/>
            <wp:positionH relativeFrom="page">
              <wp:posOffset>2446273</wp:posOffset>
            </wp:positionH>
            <wp:positionV relativeFrom="paragraph">
              <wp:posOffset>-816510</wp:posOffset>
            </wp:positionV>
            <wp:extent cx="3601211" cy="155448"/>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3601211" cy="155448"/>
                    </a:xfrm>
                    <a:prstGeom prst="rect">
                      <a:avLst/>
                    </a:prstGeom>
                  </pic:spPr>
                </pic:pic>
              </a:graphicData>
            </a:graphic>
          </wp:anchor>
        </w:drawing>
      </w:r>
      <w:r>
        <w:rPr>
          <w:b/>
          <w:color w:val="3366FF"/>
          <w:sz w:val="22"/>
        </w:rPr>
        <w:t>1.2.1 Varianza.</w:t>
      </w:r>
    </w:p>
    <w:p>
      <w:pPr>
        <w:pStyle w:val="BodyText"/>
        <w:spacing w:before="1"/>
        <w:ind w:left="282" w:right="318"/>
        <w:jc w:val="both"/>
      </w:pPr>
      <w:r>
        <w:rPr/>
        <w:t>Existe otro mecanismo para solucionar el efecto de cancelación para entre diferencias positivas</w:t>
      </w:r>
      <w:r>
        <w:rPr>
          <w:spacing w:val="-11"/>
        </w:rPr>
        <w:t> </w:t>
      </w:r>
      <w:r>
        <w:rPr/>
        <w:t>y</w:t>
      </w:r>
      <w:r>
        <w:rPr>
          <w:spacing w:val="-13"/>
        </w:rPr>
        <w:t> </w:t>
      </w:r>
      <w:r>
        <w:rPr/>
        <w:t>negativas.</w:t>
      </w:r>
      <w:r>
        <w:rPr>
          <w:spacing w:val="-10"/>
        </w:rPr>
        <w:t> </w:t>
      </w:r>
      <w:r>
        <w:rPr/>
        <w:t>Si</w:t>
      </w:r>
      <w:r>
        <w:rPr>
          <w:spacing w:val="-17"/>
        </w:rPr>
        <w:t> </w:t>
      </w:r>
      <w:r>
        <w:rPr/>
        <w:t>elevamos</w:t>
      </w:r>
      <w:r>
        <w:rPr>
          <w:spacing w:val="-11"/>
        </w:rPr>
        <w:t> </w:t>
      </w:r>
      <w:r>
        <w:rPr/>
        <w:t>al</w:t>
      </w:r>
      <w:r>
        <w:rPr>
          <w:spacing w:val="-12"/>
        </w:rPr>
        <w:t> </w:t>
      </w:r>
      <w:r>
        <w:rPr/>
        <w:t>cuadrado</w:t>
      </w:r>
      <w:r>
        <w:rPr>
          <w:spacing w:val="-14"/>
        </w:rPr>
        <w:t> </w:t>
      </w:r>
      <w:r>
        <w:rPr/>
        <w:t>cada</w:t>
      </w:r>
      <w:r>
        <w:rPr>
          <w:spacing w:val="-11"/>
        </w:rPr>
        <w:t> </w:t>
      </w:r>
      <w:r>
        <w:rPr/>
        <w:t>diferencia</w:t>
      </w:r>
      <w:r>
        <w:rPr>
          <w:spacing w:val="-11"/>
        </w:rPr>
        <w:t> </w:t>
      </w:r>
      <w:r>
        <w:rPr/>
        <w:t>antes</w:t>
      </w:r>
      <w:r>
        <w:rPr>
          <w:spacing w:val="-14"/>
        </w:rPr>
        <w:t> </w:t>
      </w:r>
      <w:r>
        <w:rPr/>
        <w:t>de</w:t>
      </w:r>
      <w:r>
        <w:rPr>
          <w:spacing w:val="-14"/>
        </w:rPr>
        <w:t> </w:t>
      </w:r>
      <w:r>
        <w:rPr/>
        <w:t>sumar,</w:t>
      </w:r>
      <w:r>
        <w:rPr>
          <w:spacing w:val="-12"/>
        </w:rPr>
        <w:t> </w:t>
      </w:r>
      <w:r>
        <w:rPr/>
        <w:t>desaparece la</w:t>
      </w:r>
      <w:r>
        <w:rPr>
          <w:spacing w:val="-3"/>
        </w:rPr>
        <w:t> </w:t>
      </w:r>
      <w:r>
        <w:rPr/>
        <w:t>cancelación:</w:t>
      </w:r>
    </w:p>
    <w:p>
      <w:pPr>
        <w:pStyle w:val="BodyText"/>
        <w:ind w:left="3296"/>
        <w:rPr>
          <w:sz w:val="20"/>
        </w:rPr>
      </w:pPr>
      <w:r>
        <w:rPr>
          <w:sz w:val="20"/>
        </w:rPr>
        <w:drawing>
          <wp:inline distT="0" distB="0" distL="0" distR="0">
            <wp:extent cx="1781810" cy="1019175"/>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781810" cy="1019175"/>
                    </a:xfrm>
                    <a:prstGeom prst="rect">
                      <a:avLst/>
                    </a:prstGeom>
                  </pic:spPr>
                </pic:pic>
              </a:graphicData>
            </a:graphic>
          </wp:inline>
        </w:drawing>
      </w:r>
      <w:r>
        <w:rPr>
          <w:sz w:val="20"/>
        </w:rPr>
      </w:r>
    </w:p>
    <w:p>
      <w:pPr>
        <w:pStyle w:val="BodyText"/>
        <w:ind w:left="282" w:right="316"/>
        <w:jc w:val="both"/>
      </w:pPr>
      <w:r>
        <w:rPr/>
        <w:t>Esta</w:t>
      </w:r>
      <w:r>
        <w:rPr>
          <w:spacing w:val="-10"/>
        </w:rPr>
        <w:t> </w:t>
      </w:r>
      <w:r>
        <w:rPr/>
        <w:t>fórmula</w:t>
      </w:r>
      <w:r>
        <w:rPr>
          <w:spacing w:val="-8"/>
        </w:rPr>
        <w:t> </w:t>
      </w:r>
      <w:r>
        <w:rPr/>
        <w:t>tiene</w:t>
      </w:r>
      <w:r>
        <w:rPr>
          <w:spacing w:val="-8"/>
        </w:rPr>
        <w:t> </w:t>
      </w:r>
      <w:r>
        <w:rPr/>
        <w:t>una</w:t>
      </w:r>
      <w:r>
        <w:rPr>
          <w:spacing w:val="-8"/>
        </w:rPr>
        <w:t> </w:t>
      </w:r>
      <w:r>
        <w:rPr/>
        <w:t>desventaja,</w:t>
      </w:r>
      <w:r>
        <w:rPr>
          <w:spacing w:val="-7"/>
        </w:rPr>
        <w:t> </w:t>
      </w:r>
      <w:r>
        <w:rPr/>
        <w:t>y</w:t>
      </w:r>
      <w:r>
        <w:rPr>
          <w:spacing w:val="-7"/>
        </w:rPr>
        <w:t> </w:t>
      </w:r>
      <w:r>
        <w:rPr/>
        <w:t>es</w:t>
      </w:r>
      <w:r>
        <w:rPr>
          <w:spacing w:val="-10"/>
        </w:rPr>
        <w:t> </w:t>
      </w:r>
      <w:r>
        <w:rPr/>
        <w:t>que</w:t>
      </w:r>
      <w:r>
        <w:rPr>
          <w:spacing w:val="-8"/>
        </w:rPr>
        <w:t> </w:t>
      </w:r>
      <w:r>
        <w:rPr/>
        <w:t>sus</w:t>
      </w:r>
      <w:r>
        <w:rPr>
          <w:spacing w:val="-8"/>
        </w:rPr>
        <w:t> </w:t>
      </w:r>
      <w:r>
        <w:rPr/>
        <w:t>unidades</w:t>
      </w:r>
      <w:r>
        <w:rPr>
          <w:spacing w:val="-5"/>
        </w:rPr>
        <w:t> </w:t>
      </w:r>
      <w:r>
        <w:rPr/>
        <w:t>no</w:t>
      </w:r>
      <w:r>
        <w:rPr>
          <w:spacing w:val="-8"/>
        </w:rPr>
        <w:t> </w:t>
      </w:r>
      <w:r>
        <w:rPr/>
        <w:t>son</w:t>
      </w:r>
      <w:r>
        <w:rPr>
          <w:spacing w:val="-8"/>
        </w:rPr>
        <w:t> </w:t>
      </w:r>
      <w:r>
        <w:rPr/>
        <w:t>las</w:t>
      </w:r>
      <w:r>
        <w:rPr>
          <w:spacing w:val="-7"/>
        </w:rPr>
        <w:t> </w:t>
      </w:r>
      <w:r>
        <w:rPr/>
        <w:t>mismas</w:t>
      </w:r>
      <w:r>
        <w:rPr>
          <w:spacing w:val="-8"/>
        </w:rPr>
        <w:t> </w:t>
      </w:r>
      <w:r>
        <w:rPr/>
        <w:t>que</w:t>
      </w:r>
      <w:r>
        <w:rPr>
          <w:spacing w:val="-8"/>
        </w:rPr>
        <w:t> </w:t>
      </w:r>
      <w:r>
        <w:rPr/>
        <w:t>las</w:t>
      </w:r>
      <w:r>
        <w:rPr>
          <w:spacing w:val="-8"/>
        </w:rPr>
        <w:t> </w:t>
      </w:r>
      <w:r>
        <w:rPr/>
        <w:t>de</w:t>
      </w:r>
      <w:r>
        <w:rPr>
          <w:spacing w:val="-8"/>
        </w:rPr>
        <w:t> </w:t>
      </w:r>
      <w:r>
        <w:rPr/>
        <w:t>las observaciones, ya que son unidades</w:t>
      </w:r>
      <w:r>
        <w:rPr>
          <w:spacing w:val="-6"/>
        </w:rPr>
        <w:t> </w:t>
      </w:r>
      <w:r>
        <w:rPr/>
        <w:t>cuadradas.</w:t>
      </w:r>
    </w:p>
    <w:p>
      <w:pPr>
        <w:pStyle w:val="BodyText"/>
      </w:pPr>
    </w:p>
    <w:p>
      <w:pPr>
        <w:pStyle w:val="BodyText"/>
        <w:spacing w:before="3"/>
        <w:rPr>
          <w:sz w:val="24"/>
        </w:rPr>
      </w:pPr>
    </w:p>
    <w:p>
      <w:pPr>
        <w:pStyle w:val="BodyText"/>
        <w:ind w:left="282"/>
        <w:jc w:val="both"/>
      </w:pPr>
      <w:r>
        <w:rPr/>
        <w:t>Esta dificultad se soluciona, tomando la raíz cuadrada de la ecuación anterior:</w:t>
      </w:r>
    </w:p>
    <w:p>
      <w:pPr>
        <w:pStyle w:val="BodyText"/>
        <w:spacing w:before="1"/>
        <w:rPr>
          <w:sz w:val="24"/>
        </w:rPr>
      </w:pPr>
    </w:p>
    <w:p>
      <w:pPr>
        <w:pStyle w:val="Heading1"/>
        <w:ind w:left="282"/>
      </w:pPr>
      <w:r>
        <w:rPr/>
        <w:t>Varianza</w:t>
      </w:r>
    </w:p>
    <w:p>
      <w:pPr>
        <w:pStyle w:val="BodyText"/>
        <w:spacing w:before="6"/>
        <w:rPr>
          <w:b/>
          <w:sz w:val="24"/>
        </w:rPr>
      </w:pPr>
    </w:p>
    <w:p>
      <w:pPr>
        <w:pStyle w:val="BodyText"/>
        <w:ind w:left="282" w:right="316"/>
        <w:jc w:val="both"/>
      </w:pPr>
      <w:r>
        <w:rPr/>
        <w:t>Es</w:t>
      </w:r>
      <w:r>
        <w:rPr>
          <w:spacing w:val="-12"/>
        </w:rPr>
        <w:t> </w:t>
      </w:r>
      <w:r>
        <w:rPr/>
        <w:t>otra</w:t>
      </w:r>
      <w:r>
        <w:rPr>
          <w:spacing w:val="-12"/>
        </w:rPr>
        <w:t> </w:t>
      </w:r>
      <w:r>
        <w:rPr/>
        <w:t>de</w:t>
      </w:r>
      <w:r>
        <w:rPr>
          <w:spacing w:val="-12"/>
        </w:rPr>
        <w:t> </w:t>
      </w:r>
      <w:r>
        <w:rPr/>
        <w:t>las</w:t>
      </w:r>
      <w:r>
        <w:rPr>
          <w:spacing w:val="-15"/>
        </w:rPr>
        <w:t> </w:t>
      </w:r>
      <w:r>
        <w:rPr/>
        <w:t>variaciones</w:t>
      </w:r>
      <w:r>
        <w:rPr>
          <w:spacing w:val="-12"/>
        </w:rPr>
        <w:t> </w:t>
      </w:r>
      <w:r>
        <w:rPr/>
        <w:t>absolutas</w:t>
      </w:r>
      <w:r>
        <w:rPr>
          <w:spacing w:val="-14"/>
        </w:rPr>
        <w:t> </w:t>
      </w:r>
      <w:r>
        <w:rPr/>
        <w:t>y</w:t>
      </w:r>
      <w:r>
        <w:rPr>
          <w:spacing w:val="-15"/>
        </w:rPr>
        <w:t> </w:t>
      </w:r>
      <w:r>
        <w:rPr/>
        <w:t>la</w:t>
      </w:r>
      <w:r>
        <w:rPr>
          <w:spacing w:val="-15"/>
        </w:rPr>
        <w:t> </w:t>
      </w:r>
      <w:r>
        <w:rPr/>
        <w:t>misma</w:t>
      </w:r>
      <w:r>
        <w:rPr>
          <w:spacing w:val="-15"/>
        </w:rPr>
        <w:t> </w:t>
      </w:r>
      <w:r>
        <w:rPr/>
        <w:t>se</w:t>
      </w:r>
      <w:r>
        <w:rPr>
          <w:spacing w:val="-12"/>
        </w:rPr>
        <w:t> </w:t>
      </w:r>
      <w:r>
        <w:rPr/>
        <w:t>define</w:t>
      </w:r>
      <w:r>
        <w:rPr>
          <w:spacing w:val="-15"/>
        </w:rPr>
        <w:t> </w:t>
      </w:r>
      <w:r>
        <w:rPr/>
        <w:t>como</w:t>
      </w:r>
      <w:r>
        <w:rPr>
          <w:spacing w:val="-14"/>
        </w:rPr>
        <w:t> </w:t>
      </w:r>
      <w:r>
        <w:rPr/>
        <w:t>el</w:t>
      </w:r>
      <w:r>
        <w:rPr>
          <w:spacing w:val="-16"/>
        </w:rPr>
        <w:t> </w:t>
      </w:r>
      <w:r>
        <w:rPr/>
        <w:t>cuadrado</w:t>
      </w:r>
      <w:r>
        <w:rPr>
          <w:spacing w:val="-12"/>
        </w:rPr>
        <w:t> </w:t>
      </w:r>
      <w:r>
        <w:rPr/>
        <w:t>de</w:t>
      </w:r>
      <w:r>
        <w:rPr>
          <w:spacing w:val="-13"/>
        </w:rPr>
        <w:t> </w:t>
      </w:r>
      <w:r>
        <w:rPr/>
        <w:t>la</w:t>
      </w:r>
      <w:r>
        <w:rPr>
          <w:spacing w:val="-15"/>
        </w:rPr>
        <w:t> </w:t>
      </w:r>
      <w:r>
        <w:rPr/>
        <w:t>desviación típica; viene expresada con las mismas letras de la desviación típica pero elevada al cuadrado,</w:t>
      </w:r>
      <w:r>
        <w:rPr>
          <w:spacing w:val="-6"/>
        </w:rPr>
        <w:t> </w:t>
      </w:r>
      <w:r>
        <w:rPr/>
        <w:t>así</w:t>
      </w:r>
      <w:r>
        <w:rPr>
          <w:spacing w:val="-8"/>
        </w:rPr>
        <w:t> </w:t>
      </w:r>
      <w:r>
        <w:rPr/>
        <w:t>S2</w:t>
      </w:r>
      <w:r>
        <w:rPr>
          <w:spacing w:val="-6"/>
        </w:rPr>
        <w:t> </w:t>
      </w:r>
      <w:r>
        <w:rPr/>
        <w:t>y</w:t>
      </w:r>
      <w:r>
        <w:rPr>
          <w:spacing w:val="-6"/>
        </w:rPr>
        <w:t> </w:t>
      </w:r>
      <w:r>
        <w:rPr/>
        <w:t>s2.</w:t>
      </w:r>
      <w:r>
        <w:rPr>
          <w:spacing w:val="-5"/>
        </w:rPr>
        <w:t> </w:t>
      </w:r>
      <w:r>
        <w:rPr/>
        <w:t>Las</w:t>
      </w:r>
      <w:r>
        <w:rPr>
          <w:spacing w:val="-6"/>
        </w:rPr>
        <w:t> </w:t>
      </w:r>
      <w:r>
        <w:rPr/>
        <w:t>fórmulas</w:t>
      </w:r>
      <w:r>
        <w:rPr>
          <w:spacing w:val="-6"/>
        </w:rPr>
        <w:t> </w:t>
      </w:r>
      <w:r>
        <w:rPr/>
        <w:t>para</w:t>
      </w:r>
      <w:r>
        <w:rPr>
          <w:spacing w:val="-6"/>
        </w:rPr>
        <w:t> </w:t>
      </w:r>
      <w:r>
        <w:rPr/>
        <w:t>calcular</w:t>
      </w:r>
      <w:r>
        <w:rPr>
          <w:spacing w:val="-6"/>
        </w:rPr>
        <w:t> </w:t>
      </w:r>
      <w:r>
        <w:rPr/>
        <w:t>la</w:t>
      </w:r>
      <w:r>
        <w:rPr>
          <w:spacing w:val="-6"/>
        </w:rPr>
        <w:t> </w:t>
      </w:r>
      <w:r>
        <w:rPr/>
        <w:t>varianza</w:t>
      </w:r>
      <w:r>
        <w:rPr>
          <w:spacing w:val="-4"/>
        </w:rPr>
        <w:t> </w:t>
      </w:r>
      <w:r>
        <w:rPr/>
        <w:t>son</w:t>
      </w:r>
      <w:r>
        <w:rPr>
          <w:spacing w:val="-4"/>
        </w:rPr>
        <w:t> </w:t>
      </w:r>
      <w:r>
        <w:rPr/>
        <w:t>las</w:t>
      </w:r>
      <w:r>
        <w:rPr>
          <w:spacing w:val="-9"/>
        </w:rPr>
        <w:t> </w:t>
      </w:r>
      <w:r>
        <w:rPr/>
        <w:t>mismas</w:t>
      </w:r>
      <w:r>
        <w:rPr>
          <w:spacing w:val="-4"/>
        </w:rPr>
        <w:t> </w:t>
      </w:r>
      <w:r>
        <w:rPr/>
        <w:t>utilizadas</w:t>
      </w:r>
      <w:r>
        <w:rPr>
          <w:spacing w:val="-4"/>
        </w:rPr>
        <w:t> </w:t>
      </w:r>
      <w:r>
        <w:rPr/>
        <w:t>por</w:t>
      </w:r>
    </w:p>
    <w:p>
      <w:pPr>
        <w:spacing w:after="0"/>
        <w:jc w:val="both"/>
        <w:sectPr>
          <w:type w:val="continuous"/>
          <w:pgSz w:w="12240" w:h="15840"/>
          <w:pgMar w:top="1360" w:bottom="280" w:left="1420" w:right="1380"/>
        </w:sectPr>
      </w:pPr>
    </w:p>
    <w:p>
      <w:pPr>
        <w:pStyle w:val="BodyText"/>
        <w:spacing w:before="53"/>
        <w:ind w:left="102" w:right="120"/>
        <w:jc w:val="both"/>
      </w:pPr>
      <w:r>
        <w:rPr/>
        <w:t>la desviación típica, exceptuando las respectivas raíces, las cuales desaparecen al estar elevados el primer miembro al cuadrado.</w:t>
      </w:r>
    </w:p>
    <w:p>
      <w:pPr>
        <w:pStyle w:val="BodyText"/>
        <w:spacing w:before="10"/>
        <w:rPr>
          <w:sz w:val="23"/>
        </w:rPr>
      </w:pPr>
    </w:p>
    <w:p>
      <w:pPr>
        <w:pStyle w:val="Heading1"/>
      </w:pPr>
      <w:r>
        <w:rPr/>
        <w:t>Varianza</w:t>
      </w:r>
    </w:p>
    <w:p>
      <w:pPr>
        <w:pStyle w:val="BodyText"/>
        <w:spacing w:before="7"/>
        <w:rPr>
          <w:b/>
          <w:sz w:val="24"/>
        </w:rPr>
      </w:pPr>
    </w:p>
    <w:p>
      <w:pPr>
        <w:pStyle w:val="BodyText"/>
        <w:spacing w:before="1"/>
        <w:ind w:left="102"/>
        <w:jc w:val="both"/>
      </w:pPr>
      <w:r>
        <w:rPr>
          <w:position w:val="2"/>
        </w:rPr>
        <w:t>Denotando por </w:t>
      </w:r>
      <w:r>
        <w:rPr>
          <w:i/>
          <w:position w:val="2"/>
        </w:rPr>
        <w:t>x</w:t>
      </w:r>
      <w:r>
        <w:rPr>
          <w:i/>
          <w:sz w:val="14"/>
        </w:rPr>
        <w:t>1</w:t>
      </w:r>
      <w:r>
        <w:rPr>
          <w:i/>
          <w:position w:val="2"/>
        </w:rPr>
        <w:t>,...,x</w:t>
      </w:r>
      <w:r>
        <w:rPr>
          <w:i/>
          <w:sz w:val="14"/>
        </w:rPr>
        <w:t>k  </w:t>
      </w:r>
      <w:r>
        <w:rPr>
          <w:position w:val="2"/>
        </w:rPr>
        <w:t>los datos o las marcas de clase, llamaremos varianza a</w:t>
      </w:r>
    </w:p>
    <w:p>
      <w:pPr>
        <w:pStyle w:val="BodyText"/>
        <w:spacing w:before="7"/>
        <w:rPr>
          <w:sz w:val="20"/>
        </w:rPr>
      </w:pPr>
      <w:r>
        <w:rPr/>
        <w:drawing>
          <wp:anchor distT="0" distB="0" distL="0" distR="0" allowOverlap="1" layoutInCell="1" locked="0" behindDoc="0" simplePos="0" relativeHeight="1072">
            <wp:simplePos x="0" y="0"/>
            <wp:positionH relativeFrom="page">
              <wp:posOffset>1537969</wp:posOffset>
            </wp:positionH>
            <wp:positionV relativeFrom="paragraph">
              <wp:posOffset>175725</wp:posOffset>
            </wp:positionV>
            <wp:extent cx="2590800" cy="542925"/>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2590800" cy="542925"/>
                    </a:xfrm>
                    <a:prstGeom prst="rect">
                      <a:avLst/>
                    </a:prstGeom>
                  </pic:spPr>
                </pic:pic>
              </a:graphicData>
            </a:graphic>
          </wp:anchor>
        </w:drawing>
      </w:r>
    </w:p>
    <w:p>
      <w:pPr>
        <w:pStyle w:val="BodyText"/>
        <w:spacing w:before="10"/>
        <w:rPr>
          <w:sz w:val="21"/>
        </w:rPr>
      </w:pPr>
    </w:p>
    <w:p>
      <w:pPr>
        <w:pStyle w:val="BodyText"/>
        <w:ind w:left="102"/>
        <w:jc w:val="both"/>
      </w:pPr>
      <w:r>
        <w:rPr/>
        <w:t>siendo </w:t>
      </w:r>
      <w:r>
        <w:rPr>
          <w:i/>
        </w:rPr>
        <w:t>a </w:t>
      </w:r>
      <w:r>
        <w:rPr/>
        <w:t>la media de la distribución.</w:t>
      </w:r>
    </w:p>
    <w:p>
      <w:pPr>
        <w:pStyle w:val="BodyText"/>
        <w:spacing w:before="4"/>
        <w:rPr>
          <w:sz w:val="24"/>
        </w:rPr>
      </w:pPr>
    </w:p>
    <w:p>
      <w:pPr>
        <w:pStyle w:val="BodyText"/>
        <w:ind w:left="102"/>
        <w:jc w:val="both"/>
      </w:pPr>
      <w:r>
        <w:rPr/>
        <w:t>Al valor</w:t>
      </w:r>
    </w:p>
    <w:p>
      <w:pPr>
        <w:pStyle w:val="BodyText"/>
        <w:spacing w:before="9"/>
        <w:rPr>
          <w:sz w:val="20"/>
        </w:rPr>
      </w:pPr>
      <w:r>
        <w:rPr/>
        <w:drawing>
          <wp:anchor distT="0" distB="0" distL="0" distR="0" allowOverlap="1" layoutInCell="1" locked="0" behindDoc="0" simplePos="0" relativeHeight="1096">
            <wp:simplePos x="0" y="0"/>
            <wp:positionH relativeFrom="page">
              <wp:posOffset>1537969</wp:posOffset>
            </wp:positionH>
            <wp:positionV relativeFrom="paragraph">
              <wp:posOffset>176897</wp:posOffset>
            </wp:positionV>
            <wp:extent cx="2435393" cy="51435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2435393" cy="514350"/>
                    </a:xfrm>
                    <a:prstGeom prst="rect">
                      <a:avLst/>
                    </a:prstGeom>
                  </pic:spPr>
                </pic:pic>
              </a:graphicData>
            </a:graphic>
          </wp:anchor>
        </w:drawing>
      </w:r>
    </w:p>
    <w:p>
      <w:pPr>
        <w:pStyle w:val="BodyText"/>
        <w:spacing w:before="10"/>
        <w:rPr>
          <w:sz w:val="21"/>
        </w:rPr>
      </w:pPr>
    </w:p>
    <w:p>
      <w:pPr>
        <w:spacing w:before="0"/>
        <w:ind w:left="102" w:right="0" w:firstLine="0"/>
        <w:jc w:val="both"/>
        <w:rPr>
          <w:sz w:val="22"/>
        </w:rPr>
      </w:pPr>
      <w:r>
        <w:rPr>
          <w:sz w:val="22"/>
        </w:rPr>
        <w:t>se le denomina </w:t>
      </w:r>
      <w:r>
        <w:rPr>
          <w:i/>
          <w:sz w:val="22"/>
        </w:rPr>
        <w:t>cuasivarzanza</w:t>
      </w:r>
      <w:r>
        <w:rPr>
          <w:sz w:val="22"/>
        </w:rPr>
        <w:t>.</w:t>
      </w:r>
    </w:p>
    <w:p>
      <w:pPr>
        <w:pStyle w:val="BodyText"/>
        <w:spacing w:before="1"/>
        <w:rPr>
          <w:sz w:val="24"/>
        </w:rPr>
      </w:pPr>
    </w:p>
    <w:p>
      <w:pPr>
        <w:pStyle w:val="Heading1"/>
      </w:pPr>
      <w:r>
        <w:rPr/>
        <w:t>VARIANZA.</w:t>
      </w:r>
    </w:p>
    <w:p>
      <w:pPr>
        <w:pStyle w:val="BodyText"/>
        <w:spacing w:before="6"/>
        <w:rPr>
          <w:b/>
          <w:sz w:val="24"/>
        </w:rPr>
      </w:pPr>
    </w:p>
    <w:p>
      <w:pPr>
        <w:pStyle w:val="BodyText"/>
        <w:ind w:left="102" w:right="121"/>
        <w:jc w:val="both"/>
      </w:pPr>
      <w:r>
        <w:rPr/>
        <w:t>Una medida de dispersión mucho más común, que se calcula al promediar los cuadrados de las desviaciones individuales a partir de la media, es la media de desviaciones cuadráticas o la varianza.</w:t>
      </w:r>
    </w:p>
    <w:p>
      <w:pPr>
        <w:pStyle w:val="BodyText"/>
        <w:spacing w:before="4"/>
        <w:rPr>
          <w:sz w:val="24"/>
        </w:rPr>
      </w:pPr>
    </w:p>
    <w:p>
      <w:pPr>
        <w:pStyle w:val="BodyText"/>
        <w:ind w:left="102" w:right="119"/>
        <w:jc w:val="both"/>
      </w:pPr>
      <w:r>
        <w:rPr/>
        <w:t>La varianza es una medida de dispersión promedia de un conjunto de datos. Para una población se construye al tomar la diferencia entre cada valor observado y la media poblacional, elevando al cuadrado cada una de estas desviaciones y luego hallando la media aritmética de los valores cuadrados. Para una muestra, una expresión casi análoga se construye con la ayuda de su media.</w:t>
      </w:r>
    </w:p>
    <w:p>
      <w:pPr>
        <w:pStyle w:val="BodyText"/>
        <w:spacing w:before="1"/>
        <w:rPr>
          <w:sz w:val="24"/>
        </w:rPr>
      </w:pPr>
    </w:p>
    <w:p>
      <w:pPr>
        <w:pStyle w:val="Heading1"/>
        <w:ind w:left="3488" w:right="3501"/>
        <w:jc w:val="center"/>
      </w:pPr>
      <w:r>
        <w:rPr/>
        <w:t>Para una población</w:t>
      </w:r>
    </w:p>
    <w:p>
      <w:pPr>
        <w:pStyle w:val="BodyText"/>
        <w:spacing w:before="2"/>
        <w:rPr>
          <w:b/>
          <w:sz w:val="21"/>
        </w:rPr>
      </w:pPr>
      <w:r>
        <w:rPr/>
        <w:drawing>
          <wp:anchor distT="0" distB="0" distL="0" distR="0" allowOverlap="1" layoutInCell="1" locked="0" behindDoc="0" simplePos="0" relativeHeight="1120">
            <wp:simplePos x="0" y="0"/>
            <wp:positionH relativeFrom="page">
              <wp:posOffset>3281045</wp:posOffset>
            </wp:positionH>
            <wp:positionV relativeFrom="paragraph">
              <wp:posOffset>179564</wp:posOffset>
            </wp:positionV>
            <wp:extent cx="1210310" cy="200025"/>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1210310" cy="200025"/>
                    </a:xfrm>
                    <a:prstGeom prst="rect">
                      <a:avLst/>
                    </a:prstGeom>
                  </pic:spPr>
                </pic:pic>
              </a:graphicData>
            </a:graphic>
          </wp:anchor>
        </w:drawing>
      </w:r>
    </w:p>
    <w:p>
      <w:pPr>
        <w:pStyle w:val="BodyText"/>
        <w:spacing w:before="4"/>
        <w:rPr>
          <w:b/>
          <w:sz w:val="21"/>
        </w:rPr>
      </w:pPr>
    </w:p>
    <w:p>
      <w:pPr>
        <w:spacing w:before="0"/>
        <w:ind w:left="3485" w:right="3501" w:firstLine="0"/>
        <w:jc w:val="center"/>
        <w:rPr>
          <w:b/>
          <w:sz w:val="22"/>
        </w:rPr>
      </w:pPr>
      <w:r>
        <w:rPr>
          <w:b/>
          <w:sz w:val="22"/>
        </w:rPr>
        <w:t>Para una muestra</w:t>
      </w:r>
    </w:p>
    <w:p>
      <w:pPr>
        <w:pStyle w:val="BodyText"/>
        <w:spacing w:before="4"/>
        <w:rPr>
          <w:b/>
          <w:sz w:val="21"/>
        </w:rPr>
      </w:pPr>
      <w:r>
        <w:rPr/>
        <w:drawing>
          <wp:anchor distT="0" distB="0" distL="0" distR="0" allowOverlap="1" layoutInCell="1" locked="0" behindDoc="0" simplePos="0" relativeHeight="1144">
            <wp:simplePos x="0" y="0"/>
            <wp:positionH relativeFrom="page">
              <wp:posOffset>3119754</wp:posOffset>
            </wp:positionH>
            <wp:positionV relativeFrom="paragraph">
              <wp:posOffset>181088</wp:posOffset>
            </wp:positionV>
            <wp:extent cx="1532890" cy="200025"/>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1" cstate="print"/>
                    <a:stretch>
                      <a:fillRect/>
                    </a:stretch>
                  </pic:blipFill>
                  <pic:spPr>
                    <a:xfrm>
                      <a:off x="0" y="0"/>
                      <a:ext cx="1532890" cy="200025"/>
                    </a:xfrm>
                    <a:prstGeom prst="rect">
                      <a:avLst/>
                    </a:prstGeom>
                  </pic:spPr>
                </pic:pic>
              </a:graphicData>
            </a:graphic>
          </wp:anchor>
        </w:drawing>
      </w:r>
    </w:p>
    <w:p>
      <w:pPr>
        <w:pStyle w:val="BodyText"/>
        <w:spacing w:before="4"/>
        <w:rPr>
          <w:b/>
          <w:sz w:val="21"/>
        </w:rPr>
      </w:pPr>
    </w:p>
    <w:p>
      <w:pPr>
        <w:pStyle w:val="BodyText"/>
        <w:spacing w:before="1"/>
        <w:ind w:left="102"/>
        <w:jc w:val="both"/>
      </w:pPr>
      <w:r>
        <w:rPr>
          <w:b/>
        </w:rPr>
        <w:t>EJEMPLO </w:t>
      </w:r>
      <w:r>
        <w:rPr/>
        <w:t>Calcule la varianza para una población de N = 5 valores: 2, 2, 4, 7 y 15.</w:t>
      </w:r>
    </w:p>
    <w:p>
      <w:pPr>
        <w:pStyle w:val="BodyText"/>
        <w:spacing w:before="6"/>
        <w:rPr>
          <w:sz w:val="24"/>
        </w:rPr>
      </w:pPr>
    </w:p>
    <w:p>
      <w:pPr>
        <w:pStyle w:val="BodyText"/>
        <w:ind w:left="102" w:right="115"/>
        <w:jc w:val="both"/>
      </w:pPr>
      <w:r>
        <w:rPr>
          <w:b/>
        </w:rPr>
        <w:t>SOLUCION </w:t>
      </w:r>
      <w:r>
        <w:rPr/>
        <w:t>La tabla que muestra la forma en que la varianza se calcula para datos poblacionales, procedimiento por demás tedioso cuando el número de observaciones es grande. Los programas modernos para computadora efectúan con suma rapidez este tipo de operación.</w:t>
      </w:r>
    </w:p>
    <w:p>
      <w:pPr>
        <w:spacing w:after="0"/>
        <w:jc w:val="both"/>
        <w:sectPr>
          <w:pgSz w:w="12240" w:h="15840"/>
          <w:pgMar w:top="1360" w:bottom="280" w:left="1600" w:right="1580"/>
        </w:sectPr>
      </w:pPr>
    </w:p>
    <w:p>
      <w:pPr>
        <w:pStyle w:val="Heading1"/>
        <w:spacing w:before="51" w:after="6"/>
      </w:pPr>
      <w:r>
        <w:rPr/>
        <w:t>Tabla</w:t>
      </w:r>
    </w:p>
    <w:p>
      <w:pPr>
        <w:pStyle w:val="BodyText"/>
        <w:ind w:left="1753"/>
        <w:rPr>
          <w:sz w:val="20"/>
        </w:rPr>
      </w:pPr>
      <w:r>
        <w:rPr>
          <w:sz w:val="20"/>
        </w:rPr>
        <w:drawing>
          <wp:inline distT="0" distB="0" distL="0" distR="0">
            <wp:extent cx="3514090" cy="2247900"/>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2" cstate="print"/>
                    <a:stretch>
                      <a:fillRect/>
                    </a:stretch>
                  </pic:blipFill>
                  <pic:spPr>
                    <a:xfrm>
                      <a:off x="0" y="0"/>
                      <a:ext cx="3514090" cy="2247900"/>
                    </a:xfrm>
                    <a:prstGeom prst="rect">
                      <a:avLst/>
                    </a:prstGeom>
                  </pic:spPr>
                </pic:pic>
              </a:graphicData>
            </a:graphic>
          </wp:inline>
        </w:drawing>
      </w:r>
      <w:r>
        <w:rPr>
          <w:sz w:val="20"/>
        </w:rPr>
      </w:r>
    </w:p>
    <w:p>
      <w:pPr>
        <w:pStyle w:val="BodyText"/>
        <w:spacing w:before="10"/>
        <w:rPr>
          <w:b/>
          <w:sz w:val="23"/>
        </w:rPr>
      </w:pPr>
    </w:p>
    <w:p>
      <w:pPr>
        <w:spacing w:before="0"/>
        <w:ind w:left="102" w:right="0" w:firstLine="0"/>
        <w:jc w:val="both"/>
        <w:rPr>
          <w:b/>
          <w:sz w:val="22"/>
        </w:rPr>
      </w:pPr>
      <w:r>
        <w:rPr>
          <w:b/>
          <w:sz w:val="22"/>
        </w:rPr>
        <w:t>PROBLEMAS PRACTICOS</w:t>
      </w:r>
    </w:p>
    <w:p>
      <w:pPr>
        <w:pStyle w:val="BodyText"/>
        <w:spacing w:before="8"/>
        <w:rPr>
          <w:b/>
          <w:sz w:val="24"/>
        </w:rPr>
      </w:pPr>
    </w:p>
    <w:p>
      <w:pPr>
        <w:pStyle w:val="BodyText"/>
        <w:ind w:left="102" w:right="114"/>
        <w:jc w:val="both"/>
      </w:pPr>
      <w:r>
        <w:rPr/>
        <w:t>Por desgracia hay dos problemas prácticos relacionados con el uso de concepto de varianza. Primero la varianza tiende a ser un número grande en comparación con las observaciones cuya dispersión haya de describirse. Cuando las observaciones originales son iguales a unos pocos miles de millones, su varianza puede ser igual a muchos cientos de miles de millones. En segundo término, y más grave es que la varianza, siendo un número elevado al cuadrado no se expresa en las mismas unidades que los valores observados en sí.</w:t>
      </w:r>
    </w:p>
    <w:p>
      <w:pPr>
        <w:pStyle w:val="BodyText"/>
        <w:spacing w:before="3"/>
        <w:rPr>
          <w:sz w:val="24"/>
        </w:rPr>
      </w:pPr>
    </w:p>
    <w:p>
      <w:pPr>
        <w:pStyle w:val="BodyText"/>
        <w:spacing w:before="1"/>
        <w:ind w:left="102" w:right="120"/>
        <w:jc w:val="both"/>
      </w:pPr>
      <w:r>
        <w:rPr/>
        <w:t>Pero también hay buenas noticias: ambas dificultades conceptuales se pueden vencer de un solo golpe al trabajar con la raíz cuadrada de la varianza, concepto el cual vemos en seguida.</w:t>
      </w:r>
    </w:p>
    <w:p>
      <w:pPr>
        <w:pStyle w:val="BodyText"/>
      </w:pPr>
    </w:p>
    <w:p>
      <w:pPr>
        <w:pStyle w:val="BodyText"/>
        <w:rPr>
          <w:sz w:val="24"/>
        </w:rPr>
      </w:pPr>
    </w:p>
    <w:p>
      <w:pPr>
        <w:pStyle w:val="Heading1"/>
        <w:numPr>
          <w:ilvl w:val="2"/>
          <w:numId w:val="1"/>
        </w:numPr>
        <w:tabs>
          <w:tab w:pos="822" w:val="left" w:leader="none"/>
        </w:tabs>
        <w:spacing w:line="240" w:lineRule="auto" w:before="0" w:after="0"/>
        <w:ind w:left="822" w:right="0" w:hanging="360"/>
        <w:jc w:val="left"/>
      </w:pPr>
      <w:r>
        <w:rPr>
          <w:color w:val="3366FF"/>
        </w:rPr>
        <w:t>2. 2 Desviación</w:t>
      </w:r>
      <w:r>
        <w:rPr>
          <w:color w:val="3366FF"/>
          <w:spacing w:val="-8"/>
        </w:rPr>
        <w:t> </w:t>
      </w:r>
      <w:r>
        <w:rPr>
          <w:color w:val="3366FF"/>
        </w:rPr>
        <w:t>estándar.</w:t>
      </w:r>
    </w:p>
    <w:p>
      <w:pPr>
        <w:pStyle w:val="BodyText"/>
        <w:spacing w:before="6"/>
        <w:rPr>
          <w:b/>
          <w:sz w:val="24"/>
        </w:rPr>
      </w:pPr>
    </w:p>
    <w:p>
      <w:pPr>
        <w:pStyle w:val="BodyText"/>
        <w:ind w:left="102"/>
        <w:jc w:val="both"/>
      </w:pPr>
      <w:r>
        <w:rPr/>
        <w:t>VARIANZAY DESVIACIÓN ESTÁNDAR</w:t>
      </w:r>
    </w:p>
    <w:p>
      <w:pPr>
        <w:pStyle w:val="BodyText"/>
        <w:spacing w:before="8"/>
        <w:rPr>
          <w:sz w:val="24"/>
        </w:rPr>
      </w:pPr>
    </w:p>
    <w:p>
      <w:pPr>
        <w:pStyle w:val="BodyText"/>
        <w:spacing w:line="237" w:lineRule="auto"/>
        <w:ind w:left="102" w:right="118"/>
        <w:jc w:val="both"/>
      </w:pPr>
      <w:r>
        <w:rPr/>
        <w:t>La varianza se asemeja a la desviación media absoluta en que se basa en la diferencia entre</w:t>
      </w:r>
      <w:r>
        <w:rPr>
          <w:spacing w:val="-8"/>
        </w:rPr>
        <w:t> </w:t>
      </w:r>
      <w:r>
        <w:rPr/>
        <w:t>cada</w:t>
      </w:r>
      <w:r>
        <w:rPr>
          <w:spacing w:val="-5"/>
        </w:rPr>
        <w:t> </w:t>
      </w:r>
      <w:r>
        <w:rPr/>
        <w:t>valor</w:t>
      </w:r>
      <w:r>
        <w:rPr>
          <w:spacing w:val="-5"/>
        </w:rPr>
        <w:t> </w:t>
      </w:r>
      <w:r>
        <w:rPr/>
        <w:t>del</w:t>
      </w:r>
      <w:r>
        <w:rPr>
          <w:spacing w:val="-6"/>
        </w:rPr>
        <w:t> </w:t>
      </w:r>
      <w:r>
        <w:rPr/>
        <w:t>conjunto</w:t>
      </w:r>
      <w:r>
        <w:rPr>
          <w:spacing w:val="-5"/>
        </w:rPr>
        <w:t> </w:t>
      </w:r>
      <w:r>
        <w:rPr/>
        <w:t>de</w:t>
      </w:r>
      <w:r>
        <w:rPr>
          <w:spacing w:val="-6"/>
        </w:rPr>
        <w:t> </w:t>
      </w:r>
      <w:r>
        <w:rPr/>
        <w:t>datos</w:t>
      </w:r>
      <w:r>
        <w:rPr>
          <w:spacing w:val="-5"/>
        </w:rPr>
        <w:t> </w:t>
      </w:r>
      <w:r>
        <w:rPr/>
        <w:t>y</w:t>
      </w:r>
      <w:r>
        <w:rPr>
          <w:spacing w:val="-7"/>
        </w:rPr>
        <w:t> </w:t>
      </w:r>
      <w:r>
        <w:rPr/>
        <w:t>la</w:t>
      </w:r>
      <w:r>
        <w:rPr>
          <w:spacing w:val="-5"/>
        </w:rPr>
        <w:t> </w:t>
      </w:r>
      <w:r>
        <w:rPr/>
        <w:t>media</w:t>
      </w:r>
      <w:r>
        <w:rPr>
          <w:spacing w:val="-8"/>
        </w:rPr>
        <w:t> </w:t>
      </w:r>
      <w:r>
        <w:rPr/>
        <w:t>del</w:t>
      </w:r>
      <w:r>
        <w:rPr>
          <w:spacing w:val="-6"/>
        </w:rPr>
        <w:t> </w:t>
      </w:r>
      <w:r>
        <w:rPr/>
        <w:t>grupo.</w:t>
      </w:r>
      <w:r>
        <w:rPr>
          <w:spacing w:val="-4"/>
        </w:rPr>
        <w:t> </w:t>
      </w:r>
      <w:r>
        <w:rPr/>
        <w:t>Pero</w:t>
      </w:r>
      <w:r>
        <w:rPr>
          <w:spacing w:val="-5"/>
        </w:rPr>
        <w:t> </w:t>
      </w:r>
      <w:r>
        <w:rPr/>
        <w:t>se</w:t>
      </w:r>
      <w:r>
        <w:rPr>
          <w:spacing w:val="-8"/>
        </w:rPr>
        <w:t> </w:t>
      </w:r>
      <w:r>
        <w:rPr/>
        <w:t>distingue</w:t>
      </w:r>
      <w:r>
        <w:rPr>
          <w:spacing w:val="-6"/>
        </w:rPr>
        <w:t> </w:t>
      </w:r>
      <w:r>
        <w:rPr/>
        <w:t>de</w:t>
      </w:r>
      <w:r>
        <w:rPr>
          <w:spacing w:val="-8"/>
        </w:rPr>
        <w:t> </w:t>
      </w:r>
      <w:r>
        <w:rPr/>
        <w:t>ella</w:t>
      </w:r>
      <w:r>
        <w:rPr>
          <w:spacing w:val="-5"/>
        </w:rPr>
        <w:t> </w:t>
      </w:r>
      <w:r>
        <w:rPr/>
        <w:t>en</w:t>
      </w:r>
      <w:r>
        <w:rPr>
          <w:spacing w:val="-6"/>
        </w:rPr>
        <w:t> </w:t>
      </w:r>
      <w:r>
        <w:rPr/>
        <w:t>un muy</w:t>
      </w:r>
      <w:r>
        <w:rPr>
          <w:spacing w:val="-15"/>
        </w:rPr>
        <w:t> </w:t>
      </w:r>
      <w:r>
        <w:rPr/>
        <w:t>importante</w:t>
      </w:r>
      <w:r>
        <w:rPr>
          <w:spacing w:val="-15"/>
        </w:rPr>
        <w:t> </w:t>
      </w:r>
      <w:r>
        <w:rPr/>
        <w:t>aspecto:</w:t>
      </w:r>
      <w:r>
        <w:rPr>
          <w:spacing w:val="-14"/>
        </w:rPr>
        <w:t> </w:t>
      </w:r>
      <w:r>
        <w:rPr/>
        <w:t>cada</w:t>
      </w:r>
      <w:r>
        <w:rPr>
          <w:spacing w:val="-12"/>
        </w:rPr>
        <w:t> </w:t>
      </w:r>
      <w:r>
        <w:rPr/>
        <w:t>diferencia</w:t>
      </w:r>
      <w:r>
        <w:rPr>
          <w:spacing w:val="-12"/>
        </w:rPr>
        <w:t> </w:t>
      </w:r>
      <w:r>
        <w:rPr/>
        <w:t>se</w:t>
      </w:r>
      <w:r>
        <w:rPr>
          <w:spacing w:val="-15"/>
        </w:rPr>
        <w:t> </w:t>
      </w:r>
      <w:r>
        <w:rPr/>
        <w:t>eleva</w:t>
      </w:r>
      <w:r>
        <w:rPr>
          <w:spacing w:val="-15"/>
        </w:rPr>
        <w:t> </w:t>
      </w:r>
      <w:r>
        <w:rPr/>
        <w:t>al</w:t>
      </w:r>
      <w:r>
        <w:rPr>
          <w:spacing w:val="-14"/>
        </w:rPr>
        <w:t> </w:t>
      </w:r>
      <w:r>
        <w:rPr/>
        <w:t>cuadrado</w:t>
      </w:r>
      <w:r>
        <w:rPr>
          <w:spacing w:val="-15"/>
        </w:rPr>
        <w:t> </w:t>
      </w:r>
      <w:r>
        <w:rPr/>
        <w:t>antes</w:t>
      </w:r>
      <w:r>
        <w:rPr>
          <w:spacing w:val="-12"/>
        </w:rPr>
        <w:t> </w:t>
      </w:r>
      <w:r>
        <w:rPr/>
        <w:t>de</w:t>
      </w:r>
      <w:r>
        <w:rPr>
          <w:spacing w:val="-15"/>
        </w:rPr>
        <w:t> </w:t>
      </w:r>
      <w:r>
        <w:rPr/>
        <w:t>sumarse.</w:t>
      </w:r>
      <w:r>
        <w:rPr>
          <w:spacing w:val="-14"/>
        </w:rPr>
        <w:t> </w:t>
      </w:r>
      <w:r>
        <w:rPr/>
        <w:t>En</w:t>
      </w:r>
      <w:r>
        <w:rPr>
          <w:spacing w:val="-12"/>
        </w:rPr>
        <w:t> </w:t>
      </w:r>
      <w:r>
        <w:rPr/>
        <w:t>el</w:t>
      </w:r>
      <w:r>
        <w:rPr>
          <w:spacing w:val="-16"/>
        </w:rPr>
        <w:t> </w:t>
      </w:r>
      <w:r>
        <w:rPr/>
        <w:t>caso de una población, la varianza se representa con V(X) o, más habitualmente, con la letra griega minúscula o</w:t>
      </w:r>
      <w:r>
        <w:rPr>
          <w:position w:val="8"/>
          <w:sz w:val="14"/>
        </w:rPr>
        <w:t>2  </w:t>
      </w:r>
      <w:r>
        <w:rPr/>
        <w:t>("sigma cuadrada"). La fórmula</w:t>
      </w:r>
      <w:r>
        <w:rPr>
          <w:spacing w:val="-31"/>
        </w:rPr>
        <w:t> </w:t>
      </w:r>
      <w:r>
        <w:rPr/>
        <w:t>es</w:t>
      </w:r>
    </w:p>
    <w:p>
      <w:pPr>
        <w:pStyle w:val="BodyText"/>
        <w:rPr>
          <w:sz w:val="21"/>
        </w:rPr>
      </w:pPr>
      <w:r>
        <w:rPr/>
        <w:drawing>
          <wp:anchor distT="0" distB="0" distL="0" distR="0" allowOverlap="1" layoutInCell="1" locked="0" behindDoc="0" simplePos="0" relativeHeight="1168">
            <wp:simplePos x="0" y="0"/>
            <wp:positionH relativeFrom="page">
              <wp:posOffset>2971800</wp:posOffset>
            </wp:positionH>
            <wp:positionV relativeFrom="paragraph">
              <wp:posOffset>178590</wp:posOffset>
            </wp:positionV>
            <wp:extent cx="1835097" cy="555117"/>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3" cstate="print"/>
                    <a:stretch>
                      <a:fillRect/>
                    </a:stretch>
                  </pic:blipFill>
                  <pic:spPr>
                    <a:xfrm>
                      <a:off x="0" y="0"/>
                      <a:ext cx="1835097" cy="555117"/>
                    </a:xfrm>
                    <a:prstGeom prst="rect">
                      <a:avLst/>
                    </a:prstGeom>
                  </pic:spPr>
                </pic:pic>
              </a:graphicData>
            </a:graphic>
          </wp:anchor>
        </w:drawing>
      </w:r>
    </w:p>
    <w:p>
      <w:pPr>
        <w:pStyle w:val="BodyText"/>
        <w:spacing w:before="4"/>
        <w:rPr>
          <w:sz w:val="21"/>
        </w:rPr>
      </w:pPr>
    </w:p>
    <w:p>
      <w:pPr>
        <w:pStyle w:val="BodyText"/>
        <w:ind w:left="102" w:right="118"/>
        <w:jc w:val="both"/>
      </w:pPr>
      <w:r>
        <w:rPr/>
        <w:t>A diferencia de lo que ocurre con las demás estadísticas muestrales </w:t>
      </w:r>
      <w:r>
        <w:rPr>
          <w:spacing w:val="-3"/>
        </w:rPr>
        <w:t>ya </w:t>
      </w:r>
      <w:r>
        <w:rPr/>
        <w:t>expuestas, la varianza</w:t>
      </w:r>
      <w:r>
        <w:rPr>
          <w:spacing w:val="-9"/>
        </w:rPr>
        <w:t> </w:t>
      </w:r>
      <w:r>
        <w:rPr/>
        <w:t>de</w:t>
      </w:r>
      <w:r>
        <w:rPr>
          <w:spacing w:val="-9"/>
        </w:rPr>
        <w:t> </w:t>
      </w:r>
      <w:r>
        <w:rPr/>
        <w:t>una</w:t>
      </w:r>
      <w:r>
        <w:rPr>
          <w:spacing w:val="-9"/>
        </w:rPr>
        <w:t> </w:t>
      </w:r>
      <w:r>
        <w:rPr/>
        <w:t>muestra</w:t>
      </w:r>
      <w:r>
        <w:rPr>
          <w:spacing w:val="-11"/>
        </w:rPr>
        <w:t> </w:t>
      </w:r>
      <w:r>
        <w:rPr/>
        <w:t>no</w:t>
      </w:r>
      <w:r>
        <w:rPr>
          <w:spacing w:val="-9"/>
        </w:rPr>
        <w:t> </w:t>
      </w:r>
      <w:r>
        <w:rPr/>
        <w:t>equivale</w:t>
      </w:r>
      <w:r>
        <w:rPr>
          <w:spacing w:val="-9"/>
        </w:rPr>
        <w:t> </w:t>
      </w:r>
      <w:r>
        <w:rPr/>
        <w:t>exactamente,</w:t>
      </w:r>
      <w:r>
        <w:rPr>
          <w:spacing w:val="-8"/>
        </w:rPr>
        <w:t> </w:t>
      </w:r>
      <w:r>
        <w:rPr/>
        <w:t>en</w:t>
      </w:r>
      <w:r>
        <w:rPr>
          <w:spacing w:val="-9"/>
        </w:rPr>
        <w:t> </w:t>
      </w:r>
      <w:r>
        <w:rPr/>
        <w:t>términos</w:t>
      </w:r>
      <w:r>
        <w:rPr>
          <w:spacing w:val="-8"/>
        </w:rPr>
        <w:t> </w:t>
      </w:r>
      <w:r>
        <w:rPr/>
        <w:t>de</w:t>
      </w:r>
      <w:r>
        <w:rPr>
          <w:spacing w:val="-9"/>
        </w:rPr>
        <w:t> </w:t>
      </w:r>
      <w:r>
        <w:rPr/>
        <w:t>cálculo,</w:t>
      </w:r>
      <w:r>
        <w:rPr>
          <w:spacing w:val="-8"/>
        </w:rPr>
        <w:t> </w:t>
      </w:r>
      <w:r>
        <w:rPr/>
        <w:t>a</w:t>
      </w:r>
      <w:r>
        <w:rPr>
          <w:spacing w:val="-9"/>
        </w:rPr>
        <w:t> </w:t>
      </w:r>
      <w:r>
        <w:rPr/>
        <w:t>la</w:t>
      </w:r>
      <w:r>
        <w:rPr>
          <w:spacing w:val="-9"/>
        </w:rPr>
        <w:t> </w:t>
      </w:r>
      <w:r>
        <w:rPr/>
        <w:t>varianza</w:t>
      </w:r>
      <w:r>
        <w:rPr>
          <w:spacing w:val="-9"/>
        </w:rPr>
        <w:t> </w:t>
      </w:r>
      <w:r>
        <w:rPr/>
        <w:t>de una población. El denominador de la fórmula de la varianza muestral es un tanto distinto. En</w:t>
      </w:r>
      <w:r>
        <w:rPr>
          <w:spacing w:val="23"/>
        </w:rPr>
        <w:t> </w:t>
      </w:r>
      <w:r>
        <w:rPr/>
        <w:t>esencia,</w:t>
      </w:r>
      <w:r>
        <w:rPr>
          <w:spacing w:val="22"/>
        </w:rPr>
        <w:t> </w:t>
      </w:r>
      <w:r>
        <w:rPr/>
        <w:t>en</w:t>
      </w:r>
      <w:r>
        <w:rPr>
          <w:spacing w:val="20"/>
        </w:rPr>
        <w:t> </w:t>
      </w:r>
      <w:r>
        <w:rPr/>
        <w:t>esta</w:t>
      </w:r>
      <w:r>
        <w:rPr>
          <w:spacing w:val="19"/>
        </w:rPr>
        <w:t> </w:t>
      </w:r>
      <w:r>
        <w:rPr/>
        <w:t>fórmula</w:t>
      </w:r>
      <w:r>
        <w:rPr>
          <w:spacing w:val="23"/>
        </w:rPr>
        <w:t> </w:t>
      </w:r>
      <w:r>
        <w:rPr/>
        <w:t>se</w:t>
      </w:r>
      <w:r>
        <w:rPr>
          <w:spacing w:val="21"/>
        </w:rPr>
        <w:t> </w:t>
      </w:r>
      <w:r>
        <w:rPr/>
        <w:t>incluye</w:t>
      </w:r>
      <w:r>
        <w:rPr>
          <w:spacing w:val="23"/>
        </w:rPr>
        <w:t> </w:t>
      </w:r>
      <w:r>
        <w:rPr/>
        <w:t>un</w:t>
      </w:r>
      <w:r>
        <w:rPr>
          <w:spacing w:val="20"/>
        </w:rPr>
        <w:t> </w:t>
      </w:r>
      <w:r>
        <w:rPr/>
        <w:t>factor</w:t>
      </w:r>
      <w:r>
        <w:rPr>
          <w:spacing w:val="24"/>
        </w:rPr>
        <w:t> </w:t>
      </w:r>
      <w:r>
        <w:rPr/>
        <w:t>de</w:t>
      </w:r>
      <w:r>
        <w:rPr>
          <w:spacing w:val="20"/>
        </w:rPr>
        <w:t> </w:t>
      </w:r>
      <w:r>
        <w:rPr/>
        <w:t>corrección,</w:t>
      </w:r>
      <w:r>
        <w:rPr>
          <w:spacing w:val="24"/>
        </w:rPr>
        <w:t> </w:t>
      </w:r>
      <w:r>
        <w:rPr/>
        <w:t>a</w:t>
      </w:r>
      <w:r>
        <w:rPr>
          <w:spacing w:val="18"/>
        </w:rPr>
        <w:t> </w:t>
      </w:r>
      <w:r>
        <w:rPr/>
        <w:t>fin</w:t>
      </w:r>
      <w:r>
        <w:rPr>
          <w:spacing w:val="21"/>
        </w:rPr>
        <w:t> </w:t>
      </w:r>
      <w:r>
        <w:rPr/>
        <w:t>de</w:t>
      </w:r>
      <w:r>
        <w:rPr>
          <w:spacing w:val="18"/>
        </w:rPr>
        <w:t> </w:t>
      </w:r>
      <w:r>
        <w:rPr/>
        <w:t>que</w:t>
      </w:r>
      <w:r>
        <w:rPr>
          <w:spacing w:val="20"/>
        </w:rPr>
        <w:t> </w:t>
      </w:r>
      <w:r>
        <w:rPr/>
        <w:t>la</w:t>
      </w:r>
      <w:r>
        <w:rPr>
          <w:spacing w:val="23"/>
        </w:rPr>
        <w:t> </w:t>
      </w:r>
      <w:r>
        <w:rPr/>
        <w:t>varianza</w:t>
      </w:r>
    </w:p>
    <w:p>
      <w:pPr>
        <w:spacing w:after="0"/>
        <w:jc w:val="both"/>
        <w:sectPr>
          <w:pgSz w:w="12240" w:h="15840"/>
          <w:pgMar w:top="1360" w:bottom="280" w:left="1600" w:right="1580"/>
        </w:sectPr>
      </w:pPr>
    </w:p>
    <w:p>
      <w:pPr>
        <w:pStyle w:val="BodyText"/>
        <w:spacing w:line="254" w:lineRule="exact" w:before="57"/>
        <w:ind w:left="102" w:right="120"/>
        <w:jc w:val="both"/>
      </w:pPr>
      <w:r>
        <w:rPr/>
        <w:t>muestral sea un estimador insesgado de la varianza de la población. La varianza muestral es representada por s</w:t>
      </w:r>
      <w:r>
        <w:rPr>
          <w:position w:val="8"/>
          <w:sz w:val="14"/>
        </w:rPr>
        <w:t>2</w:t>
      </w:r>
      <w:r>
        <w:rPr/>
        <w:t>; su fórmula es</w:t>
      </w:r>
    </w:p>
    <w:p>
      <w:pPr>
        <w:pStyle w:val="BodyText"/>
        <w:spacing w:before="8"/>
        <w:rPr>
          <w:sz w:val="20"/>
        </w:rPr>
      </w:pPr>
      <w:r>
        <w:rPr/>
        <w:drawing>
          <wp:anchor distT="0" distB="0" distL="0" distR="0" allowOverlap="1" layoutInCell="1" locked="0" behindDoc="0" simplePos="0" relativeHeight="1192">
            <wp:simplePos x="0" y="0"/>
            <wp:positionH relativeFrom="page">
              <wp:posOffset>3144011</wp:posOffset>
            </wp:positionH>
            <wp:positionV relativeFrom="paragraph">
              <wp:posOffset>176276</wp:posOffset>
            </wp:positionV>
            <wp:extent cx="1492943" cy="545115"/>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4" cstate="print"/>
                    <a:stretch>
                      <a:fillRect/>
                    </a:stretch>
                  </pic:blipFill>
                  <pic:spPr>
                    <a:xfrm>
                      <a:off x="0" y="0"/>
                      <a:ext cx="1492943" cy="545115"/>
                    </a:xfrm>
                    <a:prstGeom prst="rect">
                      <a:avLst/>
                    </a:prstGeom>
                  </pic:spPr>
                </pic:pic>
              </a:graphicData>
            </a:graphic>
          </wp:anchor>
        </w:drawing>
      </w:r>
    </w:p>
    <w:p>
      <w:pPr>
        <w:pStyle w:val="BodyText"/>
        <w:spacing w:before="7"/>
      </w:pPr>
    </w:p>
    <w:p>
      <w:pPr>
        <w:pStyle w:val="BodyText"/>
        <w:ind w:left="102" w:right="116"/>
        <w:jc w:val="both"/>
      </w:pPr>
      <w:r>
        <w:rPr/>
        <w:t>En</w:t>
      </w:r>
      <w:r>
        <w:rPr>
          <w:spacing w:val="-13"/>
        </w:rPr>
        <w:t> </w:t>
      </w:r>
      <w:r>
        <w:rPr/>
        <w:t>general,</w:t>
      </w:r>
      <w:r>
        <w:rPr>
          <w:spacing w:val="-12"/>
        </w:rPr>
        <w:t> </w:t>
      </w:r>
      <w:r>
        <w:rPr/>
        <w:t>es</w:t>
      </w:r>
      <w:r>
        <w:rPr>
          <w:spacing w:val="-13"/>
        </w:rPr>
        <w:t> </w:t>
      </w:r>
      <w:r>
        <w:rPr/>
        <w:t>difícil</w:t>
      </w:r>
      <w:r>
        <w:rPr>
          <w:spacing w:val="-14"/>
        </w:rPr>
        <w:t> </w:t>
      </w:r>
      <w:r>
        <w:rPr/>
        <w:t>interpretar</w:t>
      </w:r>
      <w:r>
        <w:rPr>
          <w:spacing w:val="-13"/>
        </w:rPr>
        <w:t> </w:t>
      </w:r>
      <w:r>
        <w:rPr/>
        <w:t>el</w:t>
      </w:r>
      <w:r>
        <w:rPr>
          <w:spacing w:val="-15"/>
        </w:rPr>
        <w:t> </w:t>
      </w:r>
      <w:r>
        <w:rPr/>
        <w:t>significado</w:t>
      </w:r>
      <w:r>
        <w:rPr>
          <w:spacing w:val="-13"/>
        </w:rPr>
        <w:t> </w:t>
      </w:r>
      <w:r>
        <w:rPr/>
        <w:t>del</w:t>
      </w:r>
      <w:r>
        <w:rPr>
          <w:spacing w:val="-14"/>
        </w:rPr>
        <w:t> </w:t>
      </w:r>
      <w:r>
        <w:rPr/>
        <w:t>valor</w:t>
      </w:r>
      <w:r>
        <w:rPr>
          <w:spacing w:val="-13"/>
        </w:rPr>
        <w:t> </w:t>
      </w:r>
      <w:r>
        <w:rPr/>
        <w:t>de</w:t>
      </w:r>
      <w:r>
        <w:rPr>
          <w:spacing w:val="-13"/>
        </w:rPr>
        <w:t> </w:t>
      </w:r>
      <w:r>
        <w:rPr/>
        <w:t>una</w:t>
      </w:r>
      <w:r>
        <w:rPr>
          <w:spacing w:val="-13"/>
        </w:rPr>
        <w:t> </w:t>
      </w:r>
      <w:r>
        <w:rPr/>
        <w:t>varianza,</w:t>
      </w:r>
      <w:r>
        <w:rPr>
          <w:spacing w:val="-13"/>
        </w:rPr>
        <w:t> </w:t>
      </w:r>
      <w:r>
        <w:rPr/>
        <w:t>porque</w:t>
      </w:r>
      <w:r>
        <w:rPr>
          <w:spacing w:val="-14"/>
        </w:rPr>
        <w:t> </w:t>
      </w:r>
      <w:r>
        <w:rPr/>
        <w:t>las</w:t>
      </w:r>
      <w:r>
        <w:rPr>
          <w:spacing w:val="-16"/>
        </w:rPr>
        <w:t> </w:t>
      </w:r>
      <w:r>
        <w:rPr/>
        <w:t>unidades en las que se le expresa son valores elevados al cuadrado. Debido en parte a esta razón, es</w:t>
      </w:r>
      <w:r>
        <w:rPr>
          <w:spacing w:val="-5"/>
        </w:rPr>
        <w:t> </w:t>
      </w:r>
      <w:r>
        <w:rPr/>
        <w:t>más</w:t>
      </w:r>
      <w:r>
        <w:rPr>
          <w:spacing w:val="-8"/>
        </w:rPr>
        <w:t> </w:t>
      </w:r>
      <w:r>
        <w:rPr/>
        <w:t>frecuente</w:t>
      </w:r>
      <w:r>
        <w:rPr>
          <w:spacing w:val="-5"/>
        </w:rPr>
        <w:t> </w:t>
      </w:r>
      <w:r>
        <w:rPr/>
        <w:t>el</w:t>
      </w:r>
      <w:r>
        <w:rPr>
          <w:spacing w:val="-6"/>
        </w:rPr>
        <w:t> </w:t>
      </w:r>
      <w:r>
        <w:rPr/>
        <w:t>uso</w:t>
      </w:r>
      <w:r>
        <w:rPr>
          <w:spacing w:val="-10"/>
        </w:rPr>
        <w:t> </w:t>
      </w:r>
      <w:r>
        <w:rPr/>
        <w:t>de</w:t>
      </w:r>
      <w:r>
        <w:rPr>
          <w:spacing w:val="-6"/>
        </w:rPr>
        <w:t> </w:t>
      </w:r>
      <w:r>
        <w:rPr/>
        <w:t>la</w:t>
      </w:r>
      <w:r>
        <w:rPr>
          <w:spacing w:val="-5"/>
        </w:rPr>
        <w:t> </w:t>
      </w:r>
      <w:r>
        <w:rPr/>
        <w:t>raíz</w:t>
      </w:r>
      <w:r>
        <w:rPr>
          <w:spacing w:val="-7"/>
        </w:rPr>
        <w:t> </w:t>
      </w:r>
      <w:r>
        <w:rPr/>
        <w:t>cuadrada</w:t>
      </w:r>
      <w:r>
        <w:rPr>
          <w:spacing w:val="-6"/>
        </w:rPr>
        <w:t> </w:t>
      </w:r>
      <w:r>
        <w:rPr/>
        <w:t>de</w:t>
      </w:r>
      <w:r>
        <w:rPr>
          <w:spacing w:val="-6"/>
        </w:rPr>
        <w:t> </w:t>
      </w:r>
      <w:r>
        <w:rPr/>
        <w:t>la</w:t>
      </w:r>
      <w:r>
        <w:rPr>
          <w:spacing w:val="-5"/>
        </w:rPr>
        <w:t> </w:t>
      </w:r>
      <w:r>
        <w:rPr/>
        <w:t>varianza,</w:t>
      </w:r>
      <w:r>
        <w:rPr>
          <w:spacing w:val="-4"/>
        </w:rPr>
        <w:t> </w:t>
      </w:r>
      <w:r>
        <w:rPr/>
        <w:t>representada</w:t>
      </w:r>
      <w:r>
        <w:rPr>
          <w:spacing w:val="-8"/>
        </w:rPr>
        <w:t> </w:t>
      </w:r>
      <w:r>
        <w:rPr/>
        <w:t>por</w:t>
      </w:r>
      <w:r>
        <w:rPr>
          <w:spacing w:val="-4"/>
        </w:rPr>
        <w:t> </w:t>
      </w:r>
      <w:r>
        <w:rPr/>
        <w:t>la</w:t>
      </w:r>
      <w:r>
        <w:rPr>
          <w:spacing w:val="-5"/>
        </w:rPr>
        <w:t> </w:t>
      </w:r>
      <w:r>
        <w:rPr/>
        <w:t>letra</w:t>
      </w:r>
      <w:r>
        <w:rPr>
          <w:spacing w:val="-8"/>
        </w:rPr>
        <w:t> </w:t>
      </w:r>
      <w:r>
        <w:rPr/>
        <w:t>griega a (o por s en el caso de una muestra) y llamada desviación estándar. Las fórmulas</w:t>
      </w:r>
      <w:r>
        <w:rPr>
          <w:spacing w:val="-17"/>
        </w:rPr>
        <w:t> </w:t>
      </w:r>
      <w:r>
        <w:rPr/>
        <w:t>son:</w:t>
      </w:r>
    </w:p>
    <w:p>
      <w:pPr>
        <w:pStyle w:val="BodyText"/>
        <w:spacing w:before="5"/>
        <w:rPr>
          <w:sz w:val="24"/>
        </w:rPr>
      </w:pPr>
    </w:p>
    <w:p>
      <w:pPr>
        <w:pStyle w:val="BodyText"/>
        <w:tabs>
          <w:tab w:pos="4349" w:val="left" w:leader="none"/>
        </w:tabs>
        <w:spacing w:line="314" w:lineRule="auto" w:before="1"/>
        <w:ind w:left="102" w:right="2668"/>
      </w:pPr>
      <w:r>
        <w:rPr/>
        <w:t>Desviación estándar de</w:t>
      </w:r>
      <w:r>
        <w:rPr>
          <w:spacing w:val="-5"/>
        </w:rPr>
        <w:t> </w:t>
      </w:r>
      <w:r>
        <w:rPr/>
        <w:t>la</w:t>
      </w:r>
      <w:r>
        <w:rPr>
          <w:spacing w:val="-2"/>
        </w:rPr>
        <w:t> </w:t>
      </w:r>
      <w:r>
        <w:rPr/>
        <w:t>población:</w:t>
        <w:tab/>
      </w:r>
      <w:r>
        <w:rPr>
          <w:position w:val="1"/>
        </w:rPr>
        <w:drawing>
          <wp:inline distT="0" distB="0" distL="0" distR="0">
            <wp:extent cx="1295400" cy="544068"/>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15" cstate="print"/>
                    <a:stretch>
                      <a:fillRect/>
                    </a:stretch>
                  </pic:blipFill>
                  <pic:spPr>
                    <a:xfrm>
                      <a:off x="0" y="0"/>
                      <a:ext cx="1295400" cy="544068"/>
                    </a:xfrm>
                    <a:prstGeom prst="rect">
                      <a:avLst/>
                    </a:prstGeom>
                  </pic:spPr>
                </pic:pic>
              </a:graphicData>
            </a:graphic>
          </wp:inline>
        </w:drawing>
      </w:r>
      <w:r>
        <w:rPr>
          <w:position w:val="1"/>
        </w:rPr>
      </w:r>
      <w:r>
        <w:rPr>
          <w:rFonts w:ascii="Times New Roman" w:hAnsi="Times New Roman"/>
          <w:position w:val="1"/>
        </w:rPr>
        <w:t> </w:t>
      </w:r>
      <w:r>
        <w:rPr/>
        <w:t>Desviación estándar de la</w:t>
      </w:r>
      <w:r>
        <w:rPr>
          <w:spacing w:val="-8"/>
        </w:rPr>
        <w:t> </w:t>
      </w:r>
      <w:r>
        <w:rPr/>
        <w:t>muestra:  </w:t>
      </w:r>
      <w:r>
        <w:rPr>
          <w:spacing w:val="29"/>
          <w:position w:val="1"/>
        </w:rPr>
        <w:drawing>
          <wp:inline distT="0" distB="0" distL="0" distR="0">
            <wp:extent cx="1295400" cy="542543"/>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16" cstate="print"/>
                    <a:stretch>
                      <a:fillRect/>
                    </a:stretch>
                  </pic:blipFill>
                  <pic:spPr>
                    <a:xfrm>
                      <a:off x="0" y="0"/>
                      <a:ext cx="1295400" cy="542543"/>
                    </a:xfrm>
                    <a:prstGeom prst="rect">
                      <a:avLst/>
                    </a:prstGeom>
                  </pic:spPr>
                </pic:pic>
              </a:graphicData>
            </a:graphic>
          </wp:inline>
        </w:drawing>
      </w:r>
      <w:r>
        <w:rPr>
          <w:spacing w:val="29"/>
          <w:position w:val="1"/>
        </w:rPr>
      </w:r>
    </w:p>
    <w:p>
      <w:pPr>
        <w:pStyle w:val="BodyText"/>
        <w:ind w:left="102" w:right="117"/>
        <w:jc w:val="both"/>
      </w:pPr>
      <w:r>
        <w:rPr/>
        <w:t>La</w:t>
      </w:r>
      <w:r>
        <w:rPr>
          <w:spacing w:val="-7"/>
        </w:rPr>
        <w:t> </w:t>
      </w:r>
      <w:r>
        <w:rPr/>
        <w:t>desviación</w:t>
      </w:r>
      <w:r>
        <w:rPr>
          <w:spacing w:val="-7"/>
        </w:rPr>
        <w:t> </w:t>
      </w:r>
      <w:r>
        <w:rPr/>
        <w:t>estándar</w:t>
      </w:r>
      <w:r>
        <w:rPr>
          <w:spacing w:val="-5"/>
        </w:rPr>
        <w:t> </w:t>
      </w:r>
      <w:r>
        <w:rPr/>
        <w:t>es</w:t>
      </w:r>
      <w:r>
        <w:rPr>
          <w:spacing w:val="-6"/>
        </w:rPr>
        <w:t> </w:t>
      </w:r>
      <w:r>
        <w:rPr/>
        <w:t>particularmente</w:t>
      </w:r>
      <w:r>
        <w:rPr>
          <w:spacing w:val="-9"/>
        </w:rPr>
        <w:t> </w:t>
      </w:r>
      <w:r>
        <w:rPr/>
        <w:t>útil</w:t>
      </w:r>
      <w:r>
        <w:rPr>
          <w:spacing w:val="-10"/>
        </w:rPr>
        <w:t> </w:t>
      </w:r>
      <w:r>
        <w:rPr/>
        <w:t>en</w:t>
      </w:r>
      <w:r>
        <w:rPr>
          <w:spacing w:val="-9"/>
        </w:rPr>
        <w:t> </w:t>
      </w:r>
      <w:r>
        <w:rPr/>
        <w:t>conjunción</w:t>
      </w:r>
      <w:r>
        <w:rPr>
          <w:spacing w:val="-9"/>
        </w:rPr>
        <w:t> </w:t>
      </w:r>
      <w:r>
        <w:rPr/>
        <w:t>con</w:t>
      </w:r>
      <w:r>
        <w:rPr>
          <w:spacing w:val="-7"/>
        </w:rPr>
        <w:t> </w:t>
      </w:r>
      <w:r>
        <w:rPr/>
        <w:t>la</w:t>
      </w:r>
      <w:r>
        <w:rPr>
          <w:spacing w:val="-9"/>
        </w:rPr>
        <w:t> </w:t>
      </w:r>
      <w:r>
        <w:rPr/>
        <w:t>así</w:t>
      </w:r>
      <w:r>
        <w:rPr>
          <w:spacing w:val="-10"/>
        </w:rPr>
        <w:t> </w:t>
      </w:r>
      <w:r>
        <w:rPr/>
        <w:t>llamada</w:t>
      </w:r>
      <w:r>
        <w:rPr>
          <w:spacing w:val="-7"/>
        </w:rPr>
        <w:t> </w:t>
      </w:r>
      <w:r>
        <w:rPr/>
        <w:t>distribución normal.</w:t>
      </w:r>
    </w:p>
    <w:p>
      <w:pPr>
        <w:pStyle w:val="BodyText"/>
        <w:rPr>
          <w:sz w:val="21"/>
        </w:rPr>
      </w:pPr>
      <w:r>
        <w:rPr/>
        <w:drawing>
          <wp:anchor distT="0" distB="0" distL="0" distR="0" allowOverlap="1" layoutInCell="1" locked="0" behindDoc="0" simplePos="0" relativeHeight="1216">
            <wp:simplePos x="0" y="0"/>
            <wp:positionH relativeFrom="page">
              <wp:posOffset>2686811</wp:posOffset>
            </wp:positionH>
            <wp:positionV relativeFrom="paragraph">
              <wp:posOffset>178548</wp:posOffset>
            </wp:positionV>
            <wp:extent cx="2402044" cy="524637"/>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17" cstate="print"/>
                    <a:stretch>
                      <a:fillRect/>
                    </a:stretch>
                  </pic:blipFill>
                  <pic:spPr>
                    <a:xfrm>
                      <a:off x="0" y="0"/>
                      <a:ext cx="2402044" cy="524637"/>
                    </a:xfrm>
                    <a:prstGeom prst="rect">
                      <a:avLst/>
                    </a:prstGeom>
                  </pic:spPr>
                </pic:pic>
              </a:graphicData>
            </a:graphic>
          </wp:anchor>
        </w:drawing>
      </w:r>
    </w:p>
    <w:p>
      <w:pPr>
        <w:pStyle w:val="BodyText"/>
        <w:rPr>
          <w:sz w:val="23"/>
        </w:rPr>
      </w:pPr>
    </w:p>
    <w:p>
      <w:pPr>
        <w:pStyle w:val="BodyText"/>
        <w:ind w:left="102" w:right="121"/>
        <w:jc w:val="both"/>
      </w:pPr>
      <w:r>
        <w:rPr/>
        <w:t>Hoja de trabajo para el cálculo de la desviación estándar de la población de los datos de ventas (u= 10.5)</w:t>
      </w:r>
    </w:p>
    <w:p>
      <w:pPr>
        <w:pStyle w:val="BodyText"/>
        <w:rPr>
          <w:sz w:val="21"/>
        </w:rPr>
      </w:pPr>
      <w:r>
        <w:rPr/>
        <w:drawing>
          <wp:anchor distT="0" distB="0" distL="0" distR="0" allowOverlap="1" layoutInCell="1" locked="0" behindDoc="0" simplePos="0" relativeHeight="1240">
            <wp:simplePos x="0" y="0"/>
            <wp:positionH relativeFrom="page">
              <wp:posOffset>2514600</wp:posOffset>
            </wp:positionH>
            <wp:positionV relativeFrom="paragraph">
              <wp:posOffset>178294</wp:posOffset>
            </wp:positionV>
            <wp:extent cx="2725771" cy="1921668"/>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18" cstate="print"/>
                    <a:stretch>
                      <a:fillRect/>
                    </a:stretch>
                  </pic:blipFill>
                  <pic:spPr>
                    <a:xfrm>
                      <a:off x="0" y="0"/>
                      <a:ext cx="2725771" cy="1921668"/>
                    </a:xfrm>
                    <a:prstGeom prst="rect">
                      <a:avLst/>
                    </a:prstGeom>
                  </pic:spPr>
                </pic:pic>
              </a:graphicData>
            </a:graphic>
          </wp:anchor>
        </w:drawing>
      </w:r>
    </w:p>
    <w:p>
      <w:pPr>
        <w:pStyle w:val="BodyText"/>
        <w:spacing w:before="6"/>
        <w:rPr>
          <w:sz w:val="24"/>
        </w:rPr>
      </w:pPr>
    </w:p>
    <w:p>
      <w:pPr>
        <w:pStyle w:val="Heading1"/>
        <w:spacing w:before="1"/>
        <w:ind w:left="810"/>
        <w:jc w:val="left"/>
      </w:pPr>
      <w:r>
        <w:rPr/>
        <w:t>CÁLCULOS SIMPLIFICADOS DE LA VARIANZA Y LA DESVIACIÓN ESTÁNDAR</w:t>
      </w:r>
    </w:p>
    <w:p>
      <w:pPr>
        <w:pStyle w:val="BodyText"/>
        <w:spacing w:before="6"/>
        <w:rPr>
          <w:b/>
          <w:sz w:val="24"/>
        </w:rPr>
      </w:pPr>
    </w:p>
    <w:p>
      <w:pPr>
        <w:pStyle w:val="BodyText"/>
        <w:ind w:left="102" w:right="118"/>
        <w:jc w:val="both"/>
      </w:pPr>
      <w:r>
        <w:rPr/>
        <w:t>Las</w:t>
      </w:r>
      <w:r>
        <w:rPr>
          <w:spacing w:val="-17"/>
        </w:rPr>
        <w:t> </w:t>
      </w:r>
      <w:r>
        <w:rPr/>
        <w:t>fórmulas</w:t>
      </w:r>
      <w:r>
        <w:rPr>
          <w:spacing w:val="-15"/>
        </w:rPr>
        <w:t> </w:t>
      </w:r>
      <w:r>
        <w:rPr/>
        <w:t>se</w:t>
      </w:r>
      <w:r>
        <w:rPr>
          <w:spacing w:val="-15"/>
        </w:rPr>
        <w:t> </w:t>
      </w:r>
      <w:r>
        <w:rPr/>
        <w:t>llaman</w:t>
      </w:r>
      <w:r>
        <w:rPr>
          <w:spacing w:val="-20"/>
        </w:rPr>
        <w:t> </w:t>
      </w:r>
      <w:r>
        <w:rPr/>
        <w:t>fórmulas</w:t>
      </w:r>
      <w:r>
        <w:rPr>
          <w:spacing w:val="-15"/>
        </w:rPr>
        <w:t> </w:t>
      </w:r>
      <w:r>
        <w:rPr/>
        <w:t>de</w:t>
      </w:r>
      <w:r>
        <w:rPr>
          <w:spacing w:val="-15"/>
        </w:rPr>
        <w:t> </w:t>
      </w:r>
      <w:r>
        <w:rPr/>
        <w:t>desviaciones,</w:t>
      </w:r>
      <w:r>
        <w:rPr>
          <w:spacing w:val="-14"/>
        </w:rPr>
        <w:t> </w:t>
      </w:r>
      <w:r>
        <w:rPr/>
        <w:t>porque</w:t>
      </w:r>
      <w:r>
        <w:rPr>
          <w:spacing w:val="-15"/>
        </w:rPr>
        <w:t> </w:t>
      </w:r>
      <w:r>
        <w:rPr/>
        <w:t>en</w:t>
      </w:r>
      <w:r>
        <w:rPr>
          <w:spacing w:val="-15"/>
        </w:rPr>
        <w:t> </w:t>
      </w:r>
      <w:r>
        <w:rPr/>
        <w:t>cada</w:t>
      </w:r>
      <w:r>
        <w:rPr>
          <w:spacing w:val="-15"/>
        </w:rPr>
        <w:t> </w:t>
      </w:r>
      <w:r>
        <w:rPr/>
        <w:t>caso</w:t>
      </w:r>
      <w:r>
        <w:rPr>
          <w:spacing w:val="-15"/>
        </w:rPr>
        <w:t> </w:t>
      </w:r>
      <w:r>
        <w:rPr/>
        <w:t>deben</w:t>
      </w:r>
      <w:r>
        <w:rPr>
          <w:spacing w:val="-15"/>
        </w:rPr>
        <w:t> </w:t>
      </w:r>
      <w:r>
        <w:rPr/>
        <w:t>determinarse las</w:t>
      </w:r>
      <w:r>
        <w:rPr>
          <w:spacing w:val="-11"/>
        </w:rPr>
        <w:t> </w:t>
      </w:r>
      <w:r>
        <w:rPr/>
        <w:t>desviaciones</w:t>
      </w:r>
      <w:r>
        <w:rPr>
          <w:spacing w:val="-11"/>
        </w:rPr>
        <w:t> </w:t>
      </w:r>
      <w:r>
        <w:rPr/>
        <w:t>específicas</w:t>
      </w:r>
      <w:r>
        <w:rPr>
          <w:spacing w:val="-11"/>
        </w:rPr>
        <w:t> </w:t>
      </w:r>
      <w:r>
        <w:rPr/>
        <w:t>de</w:t>
      </w:r>
      <w:r>
        <w:rPr>
          <w:spacing w:val="-11"/>
        </w:rPr>
        <w:t> </w:t>
      </w:r>
      <w:r>
        <w:rPr/>
        <w:t>los</w:t>
      </w:r>
      <w:r>
        <w:rPr>
          <w:spacing w:val="-11"/>
        </w:rPr>
        <w:t> </w:t>
      </w:r>
      <w:r>
        <w:rPr/>
        <w:t>valores</w:t>
      </w:r>
      <w:r>
        <w:rPr>
          <w:spacing w:val="-11"/>
        </w:rPr>
        <w:t> </w:t>
      </w:r>
      <w:r>
        <w:rPr/>
        <w:t>individuales</w:t>
      </w:r>
      <w:r>
        <w:rPr>
          <w:spacing w:val="-11"/>
        </w:rPr>
        <w:t> </w:t>
      </w:r>
      <w:r>
        <w:rPr/>
        <w:t>respecto</w:t>
      </w:r>
      <w:r>
        <w:rPr>
          <w:spacing w:val="-11"/>
        </w:rPr>
        <w:t> </w:t>
      </w:r>
      <w:r>
        <w:rPr/>
        <w:t>de</w:t>
      </w:r>
      <w:r>
        <w:rPr>
          <w:spacing w:val="-11"/>
        </w:rPr>
        <w:t> </w:t>
      </w:r>
      <w:r>
        <w:rPr/>
        <w:t>la</w:t>
      </w:r>
      <w:r>
        <w:rPr>
          <w:spacing w:val="-13"/>
        </w:rPr>
        <w:t> </w:t>
      </w:r>
      <w:r>
        <w:rPr/>
        <w:t>media.</w:t>
      </w:r>
      <w:r>
        <w:rPr>
          <w:spacing w:val="-10"/>
        </w:rPr>
        <w:t> </w:t>
      </w:r>
      <w:r>
        <w:rPr/>
        <w:t>Sin</w:t>
      </w:r>
      <w:r>
        <w:rPr>
          <w:spacing w:val="-11"/>
        </w:rPr>
        <w:t> </w:t>
      </w:r>
      <w:r>
        <w:rPr/>
        <w:t>embargo, se han derivado ya otras fórmulas, matemáticamente equivalentes pero que no </w:t>
      </w:r>
      <w:r>
        <w:rPr>
          <w:spacing w:val="41"/>
        </w:rPr>
        <w:t> </w:t>
      </w:r>
      <w:r>
        <w:rPr/>
        <w:t>requieren</w:t>
      </w:r>
    </w:p>
    <w:p>
      <w:pPr>
        <w:spacing w:after="0"/>
        <w:jc w:val="both"/>
        <w:sectPr>
          <w:pgSz w:w="12240" w:h="15840"/>
          <w:pgMar w:top="1360" w:bottom="280" w:left="1600" w:right="1580"/>
        </w:sectPr>
      </w:pPr>
    </w:p>
    <w:p>
      <w:pPr>
        <w:pStyle w:val="BodyText"/>
        <w:spacing w:before="53"/>
        <w:ind w:left="102" w:right="121"/>
        <w:jc w:val="both"/>
      </w:pPr>
      <w:r>
        <w:rPr/>
        <w:t>de la determinación de cada desviación. Dado que por lo general estas fórmulas son más fáciles de utilizar en la realización de cálculos, se llaman fórmulas de cálculo.</w:t>
      </w:r>
    </w:p>
    <w:p>
      <w:pPr>
        <w:pStyle w:val="BodyText"/>
        <w:spacing w:before="3"/>
        <w:rPr>
          <w:sz w:val="24"/>
        </w:rPr>
      </w:pPr>
    </w:p>
    <w:p>
      <w:pPr>
        <w:pStyle w:val="BodyText"/>
        <w:spacing w:before="1"/>
        <w:ind w:left="102"/>
        <w:jc w:val="both"/>
      </w:pPr>
      <w:r>
        <w:rPr/>
        <w:t>Las fórmulas de cálculo son:</w:t>
      </w:r>
    </w:p>
    <w:p>
      <w:pPr>
        <w:pStyle w:val="BodyText"/>
        <w:spacing w:before="5"/>
        <w:rPr>
          <w:sz w:val="24"/>
        </w:rPr>
      </w:pPr>
    </w:p>
    <w:p>
      <w:pPr>
        <w:pStyle w:val="BodyText"/>
        <w:tabs>
          <w:tab w:pos="4349" w:val="left" w:leader="none"/>
          <w:tab w:pos="5057" w:val="left" w:leader="none"/>
        </w:tabs>
        <w:spacing w:line="326" w:lineRule="auto" w:before="1"/>
        <w:ind w:left="102" w:right="2127"/>
        <w:jc w:val="both"/>
      </w:pPr>
      <w:r>
        <w:rPr/>
        <w:t>Varianza de</w:t>
      </w:r>
      <w:r>
        <w:rPr>
          <w:spacing w:val="-3"/>
        </w:rPr>
        <w:t> </w:t>
      </w:r>
      <w:r>
        <w:rPr/>
        <w:t>la</w:t>
      </w:r>
      <w:r>
        <w:rPr>
          <w:spacing w:val="-2"/>
        </w:rPr>
        <w:t> </w:t>
      </w:r>
      <w:r>
        <w:rPr/>
        <w:t>población:</w:t>
        <w:tab/>
        <w:tab/>
      </w:r>
      <w:r>
        <w:rPr>
          <w:position w:val="1"/>
        </w:rPr>
        <w:drawing>
          <wp:inline distT="0" distB="0" distL="0" distR="0">
            <wp:extent cx="1190244" cy="428244"/>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19" cstate="print"/>
                    <a:stretch>
                      <a:fillRect/>
                    </a:stretch>
                  </pic:blipFill>
                  <pic:spPr>
                    <a:xfrm>
                      <a:off x="0" y="0"/>
                      <a:ext cx="1190244" cy="428244"/>
                    </a:xfrm>
                    <a:prstGeom prst="rect">
                      <a:avLst/>
                    </a:prstGeom>
                  </pic:spPr>
                </pic:pic>
              </a:graphicData>
            </a:graphic>
          </wp:inline>
        </w:drawing>
      </w:r>
      <w:r>
        <w:rPr>
          <w:position w:val="1"/>
        </w:rPr>
      </w:r>
      <w:r>
        <w:rPr>
          <w:rFonts w:ascii="Times New Roman" w:hAnsi="Times New Roman"/>
          <w:position w:val="1"/>
        </w:rPr>
        <w:t> </w:t>
      </w:r>
      <w:r>
        <w:rPr/>
        <w:t>Desviación estándar de</w:t>
      </w:r>
      <w:r>
        <w:rPr>
          <w:spacing w:val="-4"/>
        </w:rPr>
        <w:t> </w:t>
      </w:r>
      <w:r>
        <w:rPr/>
        <w:t>la</w:t>
      </w:r>
      <w:r>
        <w:rPr>
          <w:spacing w:val="-2"/>
        </w:rPr>
        <w:t> </w:t>
      </w:r>
      <w:r>
        <w:rPr/>
        <w:t>población:</w:t>
        <w:tab/>
        <w:tab/>
      </w:r>
      <w:r>
        <w:rPr/>
        <w:drawing>
          <wp:inline distT="0" distB="0" distL="0" distR="0">
            <wp:extent cx="1190244" cy="495300"/>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20" cstate="print"/>
                    <a:stretch>
                      <a:fillRect/>
                    </a:stretch>
                  </pic:blipFill>
                  <pic:spPr>
                    <a:xfrm>
                      <a:off x="0" y="0"/>
                      <a:ext cx="1190244" cy="495300"/>
                    </a:xfrm>
                    <a:prstGeom prst="rect">
                      <a:avLst/>
                    </a:prstGeom>
                  </pic:spPr>
                </pic:pic>
              </a:graphicData>
            </a:graphic>
          </wp:inline>
        </w:drawing>
      </w:r>
      <w:r>
        <w:rPr/>
      </w:r>
      <w:r>
        <w:rPr>
          <w:rFonts w:ascii="Times New Roman" w:hAnsi="Times New Roman"/>
        </w:rPr>
        <w:t> </w:t>
      </w:r>
      <w:r>
        <w:rPr/>
        <w:t>Varianza de</w:t>
      </w:r>
      <w:r>
        <w:rPr>
          <w:spacing w:val="-4"/>
        </w:rPr>
        <w:t> </w:t>
      </w:r>
      <w:r>
        <w:rPr/>
        <w:t>la</w:t>
      </w:r>
      <w:r>
        <w:rPr>
          <w:spacing w:val="-2"/>
        </w:rPr>
        <w:t> </w:t>
      </w:r>
      <w:r>
        <w:rPr/>
        <w:t>muestra:</w:t>
        <w:tab/>
        <w:tab/>
      </w:r>
      <w:r>
        <w:rPr>
          <w:position w:val="2"/>
        </w:rPr>
        <w:drawing>
          <wp:inline distT="0" distB="0" distL="0" distR="0">
            <wp:extent cx="1190244" cy="446531"/>
            <wp:effectExtent l="0" t="0" r="0" b="0"/>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21" cstate="print"/>
                    <a:stretch>
                      <a:fillRect/>
                    </a:stretch>
                  </pic:blipFill>
                  <pic:spPr>
                    <a:xfrm>
                      <a:off x="0" y="0"/>
                      <a:ext cx="1190244" cy="446531"/>
                    </a:xfrm>
                    <a:prstGeom prst="rect">
                      <a:avLst/>
                    </a:prstGeom>
                  </pic:spPr>
                </pic:pic>
              </a:graphicData>
            </a:graphic>
          </wp:inline>
        </w:drawing>
      </w:r>
      <w:r>
        <w:rPr>
          <w:position w:val="2"/>
        </w:rPr>
      </w:r>
      <w:r>
        <w:rPr>
          <w:rFonts w:ascii="Times New Roman" w:hAnsi="Times New Roman"/>
          <w:position w:val="2"/>
        </w:rPr>
        <w:t> </w:t>
      </w:r>
      <w:r>
        <w:rPr/>
        <w:t>Desviación estándar de</w:t>
      </w:r>
      <w:r>
        <w:rPr>
          <w:spacing w:val="-6"/>
        </w:rPr>
        <w:t> </w:t>
      </w:r>
      <w:r>
        <w:rPr/>
        <w:t>la</w:t>
      </w:r>
      <w:r>
        <w:rPr>
          <w:spacing w:val="-3"/>
        </w:rPr>
        <w:t> </w:t>
      </w:r>
      <w:r>
        <w:rPr/>
        <w:t>muestra:</w:t>
        <w:tab/>
      </w:r>
      <w:r>
        <w:rPr/>
        <w:drawing>
          <wp:inline distT="0" distB="0" distL="0" distR="0">
            <wp:extent cx="1190244" cy="495300"/>
            <wp:effectExtent l="0" t="0" r="0" b="0"/>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22" cstate="print"/>
                    <a:stretch>
                      <a:fillRect/>
                    </a:stretch>
                  </pic:blipFill>
                  <pic:spPr>
                    <a:xfrm>
                      <a:off x="0" y="0"/>
                      <a:ext cx="1190244" cy="495300"/>
                    </a:xfrm>
                    <a:prstGeom prst="rect">
                      <a:avLst/>
                    </a:prstGeom>
                  </pic:spPr>
                </pic:pic>
              </a:graphicData>
            </a:graphic>
          </wp:inline>
        </w:drawing>
      </w:r>
      <w:r>
        <w:rPr/>
      </w:r>
    </w:p>
    <w:p>
      <w:pPr>
        <w:pStyle w:val="BodyText"/>
        <w:spacing w:before="511"/>
        <w:ind w:left="102" w:right="117"/>
        <w:jc w:val="both"/>
      </w:pPr>
      <w:r>
        <w:rPr>
          <w:b/>
        </w:rPr>
        <w:t>Tabla</w:t>
      </w:r>
      <w:r>
        <w:rPr>
          <w:b/>
          <w:spacing w:val="6"/>
        </w:rPr>
        <w:t> </w:t>
      </w:r>
      <w:r>
        <w:rPr/>
        <w:t>Hoja</w:t>
      </w:r>
      <w:r>
        <w:rPr>
          <w:spacing w:val="-13"/>
        </w:rPr>
        <w:t> </w:t>
      </w:r>
      <w:r>
        <w:rPr/>
        <w:t>de</w:t>
      </w:r>
      <w:r>
        <w:rPr>
          <w:spacing w:val="-16"/>
        </w:rPr>
        <w:t> </w:t>
      </w:r>
      <w:r>
        <w:rPr/>
        <w:t>trabajo</w:t>
      </w:r>
      <w:r>
        <w:rPr>
          <w:spacing w:val="-13"/>
        </w:rPr>
        <w:t> </w:t>
      </w:r>
      <w:r>
        <w:rPr/>
        <w:t>para</w:t>
      </w:r>
      <w:r>
        <w:rPr>
          <w:spacing w:val="-16"/>
        </w:rPr>
        <w:t> </w:t>
      </w:r>
      <w:r>
        <w:rPr/>
        <w:t>el</w:t>
      </w:r>
      <w:r>
        <w:rPr>
          <w:spacing w:val="-15"/>
        </w:rPr>
        <w:t> </w:t>
      </w:r>
      <w:r>
        <w:rPr/>
        <w:t>cálculo</w:t>
      </w:r>
      <w:r>
        <w:rPr>
          <w:spacing w:val="-13"/>
        </w:rPr>
        <w:t> </w:t>
      </w:r>
      <w:r>
        <w:rPr/>
        <w:t>de</w:t>
      </w:r>
      <w:r>
        <w:rPr>
          <w:spacing w:val="-14"/>
        </w:rPr>
        <w:t> </w:t>
      </w:r>
      <w:r>
        <w:rPr/>
        <w:t>la</w:t>
      </w:r>
      <w:r>
        <w:rPr>
          <w:spacing w:val="-13"/>
        </w:rPr>
        <w:t> </w:t>
      </w:r>
      <w:r>
        <w:rPr/>
        <w:t>desviación</w:t>
      </w:r>
      <w:r>
        <w:rPr>
          <w:spacing w:val="-14"/>
        </w:rPr>
        <w:t> </w:t>
      </w:r>
      <w:r>
        <w:rPr/>
        <w:t>estándar</w:t>
      </w:r>
      <w:r>
        <w:rPr>
          <w:spacing w:val="-15"/>
        </w:rPr>
        <w:t> </w:t>
      </w:r>
      <w:r>
        <w:rPr/>
        <w:t>de</w:t>
      </w:r>
      <w:r>
        <w:rPr>
          <w:spacing w:val="-16"/>
        </w:rPr>
        <w:t> </w:t>
      </w:r>
      <w:r>
        <w:rPr/>
        <w:t>la</w:t>
      </w:r>
      <w:r>
        <w:rPr>
          <w:spacing w:val="-13"/>
        </w:rPr>
        <w:t> </w:t>
      </w:r>
      <w:r>
        <w:rPr/>
        <w:t>población</w:t>
      </w:r>
      <w:r>
        <w:rPr>
          <w:spacing w:val="-14"/>
        </w:rPr>
        <w:t> </w:t>
      </w:r>
      <w:r>
        <w:rPr/>
        <w:t>de</w:t>
      </w:r>
      <w:r>
        <w:rPr>
          <w:spacing w:val="-13"/>
        </w:rPr>
        <w:t> </w:t>
      </w:r>
      <w:r>
        <w:rPr/>
        <w:t>los</w:t>
      </w:r>
      <w:r>
        <w:rPr>
          <w:spacing w:val="-13"/>
        </w:rPr>
        <w:t> </w:t>
      </w:r>
      <w:r>
        <w:rPr/>
        <w:t>datos de</w:t>
      </w:r>
      <w:r>
        <w:rPr>
          <w:spacing w:val="-1"/>
        </w:rPr>
        <w:t> </w:t>
      </w:r>
      <w:r>
        <w:rPr/>
        <w:t>ventas</w:t>
      </w:r>
    </w:p>
    <w:p>
      <w:pPr>
        <w:pStyle w:val="BodyText"/>
        <w:rPr>
          <w:sz w:val="21"/>
        </w:rPr>
      </w:pPr>
      <w:r>
        <w:rPr/>
        <w:drawing>
          <wp:anchor distT="0" distB="0" distL="0" distR="0" allowOverlap="1" layoutInCell="1" locked="0" behindDoc="0" simplePos="0" relativeHeight="1264">
            <wp:simplePos x="0" y="0"/>
            <wp:positionH relativeFrom="page">
              <wp:posOffset>2743200</wp:posOffset>
            </wp:positionH>
            <wp:positionV relativeFrom="paragraph">
              <wp:posOffset>178548</wp:posOffset>
            </wp:positionV>
            <wp:extent cx="2285350" cy="2009584"/>
            <wp:effectExtent l="0" t="0" r="0" b="0"/>
            <wp:wrapTopAndBottom/>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23" cstate="print"/>
                    <a:stretch>
                      <a:fillRect/>
                    </a:stretch>
                  </pic:blipFill>
                  <pic:spPr>
                    <a:xfrm>
                      <a:off x="0" y="0"/>
                      <a:ext cx="2285350" cy="2009584"/>
                    </a:xfrm>
                    <a:prstGeom prst="rect">
                      <a:avLst/>
                    </a:prstGeom>
                  </pic:spPr>
                </pic:pic>
              </a:graphicData>
            </a:graphic>
          </wp:anchor>
        </w:drawing>
      </w:r>
    </w:p>
    <w:p>
      <w:pPr>
        <w:pStyle w:val="BodyText"/>
        <w:spacing w:before="10"/>
      </w:pPr>
    </w:p>
    <w:p>
      <w:pPr>
        <w:pStyle w:val="Heading1"/>
      </w:pPr>
      <w:r>
        <w:rPr/>
        <w:t>Desviación típica o estándar</w:t>
      </w:r>
    </w:p>
    <w:p>
      <w:pPr>
        <w:pStyle w:val="BodyText"/>
        <w:spacing w:before="2"/>
        <w:ind w:left="102" w:right="117"/>
        <w:jc w:val="both"/>
      </w:pPr>
      <w:r>
        <w:rPr/>
        <w:t>Es la medida de dispersión más utilizada en las investigaciones por ser la más estable de todas,</w:t>
      </w:r>
      <w:r>
        <w:rPr>
          <w:spacing w:val="-16"/>
        </w:rPr>
        <w:t> </w:t>
      </w:r>
      <w:r>
        <w:rPr/>
        <w:t>ya</w:t>
      </w:r>
      <w:r>
        <w:rPr>
          <w:spacing w:val="-17"/>
        </w:rPr>
        <w:t> </w:t>
      </w:r>
      <w:r>
        <w:rPr/>
        <w:t>que</w:t>
      </w:r>
      <w:r>
        <w:rPr>
          <w:spacing w:val="-18"/>
        </w:rPr>
        <w:t> </w:t>
      </w:r>
      <w:r>
        <w:rPr/>
        <w:t>para</w:t>
      </w:r>
      <w:r>
        <w:rPr>
          <w:spacing w:val="-18"/>
        </w:rPr>
        <w:t> </w:t>
      </w:r>
      <w:r>
        <w:rPr/>
        <w:t>su</w:t>
      </w:r>
      <w:r>
        <w:rPr>
          <w:spacing w:val="-17"/>
        </w:rPr>
        <w:t> </w:t>
      </w:r>
      <w:r>
        <w:rPr/>
        <w:t>cálculo</w:t>
      </w:r>
      <w:r>
        <w:rPr>
          <w:spacing w:val="-14"/>
        </w:rPr>
        <w:t> </w:t>
      </w:r>
      <w:r>
        <w:rPr/>
        <w:t>se</w:t>
      </w:r>
      <w:r>
        <w:rPr>
          <w:spacing w:val="-15"/>
        </w:rPr>
        <w:t> </w:t>
      </w:r>
      <w:r>
        <w:rPr/>
        <w:t>utilizan</w:t>
      </w:r>
      <w:r>
        <w:rPr>
          <w:spacing w:val="-15"/>
        </w:rPr>
        <w:t> </w:t>
      </w:r>
      <w:r>
        <w:rPr/>
        <w:t>todos</w:t>
      </w:r>
      <w:r>
        <w:rPr>
          <w:spacing w:val="-15"/>
        </w:rPr>
        <w:t> </w:t>
      </w:r>
      <w:r>
        <w:rPr/>
        <w:t>los</w:t>
      </w:r>
      <w:r>
        <w:rPr>
          <w:spacing w:val="-20"/>
        </w:rPr>
        <w:t> </w:t>
      </w:r>
      <w:r>
        <w:rPr/>
        <w:t>desvíos</w:t>
      </w:r>
      <w:r>
        <w:rPr>
          <w:spacing w:val="-15"/>
        </w:rPr>
        <w:t> </w:t>
      </w:r>
      <w:r>
        <w:rPr/>
        <w:t>con</w:t>
      </w:r>
      <w:r>
        <w:rPr>
          <w:spacing w:val="-15"/>
        </w:rPr>
        <w:t> </w:t>
      </w:r>
      <w:r>
        <w:rPr/>
        <w:t>respecto</w:t>
      </w:r>
      <w:r>
        <w:rPr>
          <w:spacing w:val="-18"/>
        </w:rPr>
        <w:t> </w:t>
      </w:r>
      <w:r>
        <w:rPr/>
        <w:t>a</w:t>
      </w:r>
      <w:r>
        <w:rPr>
          <w:spacing w:val="-15"/>
        </w:rPr>
        <w:t> </w:t>
      </w:r>
      <w:r>
        <w:rPr/>
        <w:t>la</w:t>
      </w:r>
      <w:r>
        <w:rPr>
          <w:spacing w:val="-18"/>
        </w:rPr>
        <w:t> </w:t>
      </w:r>
      <w:r>
        <w:rPr/>
        <w:t>media</w:t>
      </w:r>
      <w:r>
        <w:rPr>
          <w:spacing w:val="-18"/>
        </w:rPr>
        <w:t> </w:t>
      </w:r>
      <w:r>
        <w:rPr/>
        <w:t>aritmética de las observaciones, y además, se toman en cuenta los signos de esos desvíos. Se le designa con la letra castellana S cuando se trabaja con una muestra y con la letra griega minúscula s (Sigma) cuando se trabaja con una población. Es importante destacar que cuando se hace referencia a la población él número de datos se expresa con N y cuando se</w:t>
      </w:r>
      <w:r>
        <w:rPr>
          <w:spacing w:val="-3"/>
        </w:rPr>
        <w:t> </w:t>
      </w:r>
      <w:r>
        <w:rPr/>
        <w:t>refiere</w:t>
      </w:r>
      <w:r>
        <w:rPr>
          <w:spacing w:val="-3"/>
        </w:rPr>
        <w:t> </w:t>
      </w:r>
      <w:r>
        <w:rPr/>
        <w:t>a</w:t>
      </w:r>
      <w:r>
        <w:rPr>
          <w:spacing w:val="-5"/>
        </w:rPr>
        <w:t> </w:t>
      </w:r>
      <w:r>
        <w:rPr/>
        <w:t>la</w:t>
      </w:r>
      <w:r>
        <w:rPr>
          <w:spacing w:val="-5"/>
        </w:rPr>
        <w:t> </w:t>
      </w:r>
      <w:r>
        <w:rPr/>
        <w:t>muestra</w:t>
      </w:r>
      <w:r>
        <w:rPr>
          <w:spacing w:val="-3"/>
        </w:rPr>
        <w:t> </w:t>
      </w:r>
      <w:r>
        <w:rPr/>
        <w:t>él</w:t>
      </w:r>
      <w:r>
        <w:rPr>
          <w:spacing w:val="-6"/>
        </w:rPr>
        <w:t> </w:t>
      </w:r>
      <w:r>
        <w:rPr/>
        <w:t>número</w:t>
      </w:r>
      <w:r>
        <w:rPr>
          <w:spacing w:val="-3"/>
        </w:rPr>
        <w:t> </w:t>
      </w:r>
      <w:r>
        <w:rPr/>
        <w:t>de</w:t>
      </w:r>
      <w:r>
        <w:rPr>
          <w:spacing w:val="-6"/>
        </w:rPr>
        <w:t> </w:t>
      </w:r>
      <w:r>
        <w:rPr/>
        <w:t>datos</w:t>
      </w:r>
      <w:r>
        <w:rPr>
          <w:spacing w:val="-3"/>
        </w:rPr>
        <w:t> </w:t>
      </w:r>
      <w:r>
        <w:rPr/>
        <w:t>se</w:t>
      </w:r>
      <w:r>
        <w:rPr>
          <w:spacing w:val="-5"/>
        </w:rPr>
        <w:t> </w:t>
      </w:r>
      <w:r>
        <w:rPr/>
        <w:t>expresa</w:t>
      </w:r>
      <w:r>
        <w:rPr>
          <w:spacing w:val="-3"/>
        </w:rPr>
        <w:t> </w:t>
      </w:r>
      <w:r>
        <w:rPr/>
        <w:t>con</w:t>
      </w:r>
      <w:r>
        <w:rPr>
          <w:spacing w:val="-6"/>
        </w:rPr>
        <w:t> </w:t>
      </w:r>
      <w:r>
        <w:rPr/>
        <w:t>n.</w:t>
      </w:r>
      <w:r>
        <w:rPr>
          <w:spacing w:val="-4"/>
        </w:rPr>
        <w:t> </w:t>
      </w:r>
      <w:r>
        <w:rPr/>
        <w:t>La</w:t>
      </w:r>
      <w:r>
        <w:rPr>
          <w:spacing w:val="-6"/>
        </w:rPr>
        <w:t> </w:t>
      </w:r>
      <w:r>
        <w:rPr/>
        <w:t>desviación</w:t>
      </w:r>
      <w:r>
        <w:rPr>
          <w:spacing w:val="-3"/>
        </w:rPr>
        <w:t> </w:t>
      </w:r>
      <w:r>
        <w:rPr/>
        <w:t>típica</w:t>
      </w:r>
      <w:r>
        <w:rPr>
          <w:spacing w:val="-3"/>
        </w:rPr>
        <w:t> </w:t>
      </w:r>
      <w:r>
        <w:rPr/>
        <w:t>se</w:t>
      </w:r>
      <w:r>
        <w:rPr>
          <w:spacing w:val="-3"/>
        </w:rPr>
        <w:t> </w:t>
      </w:r>
      <w:r>
        <w:rPr/>
        <w:t>define como:</w:t>
      </w:r>
    </w:p>
    <w:p>
      <w:pPr>
        <w:spacing w:after="0"/>
        <w:jc w:val="both"/>
        <w:sectPr>
          <w:pgSz w:w="12240" w:h="15840"/>
          <w:pgMar w:top="1360" w:bottom="280" w:left="1600" w:right="1580"/>
        </w:sectPr>
      </w:pPr>
    </w:p>
    <w:p>
      <w:pPr>
        <w:pStyle w:val="Heading1"/>
        <w:spacing w:before="51"/>
      </w:pPr>
      <w:r>
        <w:rPr/>
        <w:t>Interpretación de la desviación estándar</w:t>
      </w:r>
    </w:p>
    <w:p>
      <w:pPr>
        <w:pStyle w:val="BodyText"/>
        <w:spacing w:before="4"/>
        <w:ind w:left="102" w:right="118"/>
        <w:jc w:val="both"/>
      </w:pPr>
      <w:r>
        <w:rPr/>
        <w:t>La desviación típica como medida absoluta de dispersión, es la que mejor nos</w:t>
      </w:r>
      <w:r>
        <w:rPr>
          <w:spacing w:val="-26"/>
        </w:rPr>
        <w:t> </w:t>
      </w:r>
      <w:r>
        <w:rPr/>
        <w:t>proporciona la variación de los datos con respecto a la media aritmética, su valor se encuentra en relación directa con la dispersión de los datos, a mayor dispersión de ellos, mayor desviación típica, y a menor dispersión, menor desviación</w:t>
      </w:r>
      <w:r>
        <w:rPr>
          <w:spacing w:val="-19"/>
        </w:rPr>
        <w:t> </w:t>
      </w:r>
      <w:r>
        <w:rPr/>
        <w:t>típica.</w:t>
      </w:r>
    </w:p>
    <w:p>
      <w:pPr>
        <w:pStyle w:val="BodyText"/>
      </w:pPr>
    </w:p>
    <w:p>
      <w:pPr>
        <w:pStyle w:val="BodyText"/>
        <w:rPr>
          <w:sz w:val="24"/>
        </w:rPr>
      </w:pPr>
    </w:p>
    <w:p>
      <w:pPr>
        <w:pStyle w:val="Heading1"/>
      </w:pPr>
      <w:r>
        <w:rPr/>
        <w:t>Desviación estándar de la población.</w:t>
      </w:r>
    </w:p>
    <w:p>
      <w:pPr>
        <w:pStyle w:val="BodyText"/>
        <w:spacing w:before="8"/>
        <w:rPr>
          <w:b/>
          <w:sz w:val="24"/>
        </w:rPr>
      </w:pPr>
    </w:p>
    <w:p>
      <w:pPr>
        <w:pStyle w:val="BodyText"/>
        <w:ind w:left="102" w:right="117"/>
        <w:jc w:val="both"/>
      </w:pPr>
      <w:r>
        <w:rPr/>
        <w:t>La desviación estándar de la población es simplemente la raíz cuadrada de la varianza de la</w:t>
      </w:r>
      <w:r>
        <w:rPr>
          <w:spacing w:val="-6"/>
        </w:rPr>
        <w:t> </w:t>
      </w:r>
      <w:r>
        <w:rPr/>
        <w:t>población.</w:t>
      </w:r>
      <w:r>
        <w:rPr>
          <w:spacing w:val="-5"/>
        </w:rPr>
        <w:t> </w:t>
      </w:r>
      <w:r>
        <w:rPr/>
        <w:t>Como</w:t>
      </w:r>
      <w:r>
        <w:rPr>
          <w:spacing w:val="-6"/>
        </w:rPr>
        <w:t> </w:t>
      </w:r>
      <w:r>
        <w:rPr/>
        <w:t>la</w:t>
      </w:r>
      <w:r>
        <w:rPr>
          <w:spacing w:val="-9"/>
        </w:rPr>
        <w:t> </w:t>
      </w:r>
      <w:r>
        <w:rPr/>
        <w:t>varianza</w:t>
      </w:r>
      <w:r>
        <w:rPr>
          <w:spacing w:val="-6"/>
        </w:rPr>
        <w:t> </w:t>
      </w:r>
      <w:r>
        <w:rPr/>
        <w:t>es</w:t>
      </w:r>
      <w:r>
        <w:rPr>
          <w:spacing w:val="-6"/>
        </w:rPr>
        <w:t> </w:t>
      </w:r>
      <w:r>
        <w:rPr/>
        <w:t>el</w:t>
      </w:r>
      <w:r>
        <w:rPr>
          <w:spacing w:val="-7"/>
        </w:rPr>
        <w:t> </w:t>
      </w:r>
      <w:r>
        <w:rPr/>
        <w:t>promedio</w:t>
      </w:r>
      <w:r>
        <w:rPr>
          <w:spacing w:val="-9"/>
        </w:rPr>
        <w:t> </w:t>
      </w:r>
      <w:r>
        <w:rPr/>
        <w:t>de</w:t>
      </w:r>
      <w:r>
        <w:rPr>
          <w:spacing w:val="-9"/>
        </w:rPr>
        <w:t> </w:t>
      </w:r>
      <w:r>
        <w:rPr/>
        <w:t>las</w:t>
      </w:r>
      <w:r>
        <w:rPr>
          <w:spacing w:val="-6"/>
        </w:rPr>
        <w:t> </w:t>
      </w:r>
      <w:r>
        <w:rPr/>
        <w:t>distancias</w:t>
      </w:r>
      <w:r>
        <w:rPr>
          <w:spacing w:val="-9"/>
        </w:rPr>
        <w:t> </w:t>
      </w:r>
      <w:r>
        <w:rPr/>
        <w:t>al</w:t>
      </w:r>
      <w:r>
        <w:rPr>
          <w:spacing w:val="-7"/>
        </w:rPr>
        <w:t> </w:t>
      </w:r>
      <w:r>
        <w:rPr/>
        <w:t>cuadrado</w:t>
      </w:r>
      <w:r>
        <w:rPr>
          <w:spacing w:val="-9"/>
        </w:rPr>
        <w:t> </w:t>
      </w:r>
      <w:r>
        <w:rPr/>
        <w:t>que</w:t>
      </w:r>
      <w:r>
        <w:rPr>
          <w:spacing w:val="-7"/>
        </w:rPr>
        <w:t> </w:t>
      </w:r>
      <w:r>
        <w:rPr/>
        <w:t>van</w:t>
      </w:r>
      <w:r>
        <w:rPr>
          <w:spacing w:val="-7"/>
        </w:rPr>
        <w:t> </w:t>
      </w:r>
      <w:r>
        <w:rPr/>
        <w:t>desde las observaciones a la media, la desviación estándar es la raíz cuadrada del promedio de las distancias al cuadrado que van desde las observaciones a la media. La desviación estándar está en las mismas unidades que las que se usaron para medir los</w:t>
      </w:r>
      <w:r>
        <w:rPr>
          <w:spacing w:val="-19"/>
        </w:rPr>
        <w:t> </w:t>
      </w:r>
      <w:r>
        <w:rPr/>
        <w:t>datos.</w:t>
      </w:r>
    </w:p>
    <w:p>
      <w:pPr>
        <w:pStyle w:val="BodyText"/>
        <w:spacing w:before="4"/>
        <w:rPr>
          <w:sz w:val="24"/>
        </w:rPr>
      </w:pPr>
    </w:p>
    <w:p>
      <w:pPr>
        <w:pStyle w:val="BodyText"/>
        <w:ind w:left="102" w:right="118"/>
        <w:jc w:val="both"/>
      </w:pPr>
      <w:r>
        <w:rPr/>
        <w:t>La raíz cuadrada de un número positivo puede ser tanto positiva como negativa. Cuando tomamos la raíz cuadrada de la varianza para calcular la desviación estándar, los estadísticos solamente consideran la raíz cuadrada positiva.</w:t>
      </w:r>
    </w:p>
    <w:p>
      <w:pPr>
        <w:pStyle w:val="BodyText"/>
        <w:spacing w:before="3"/>
        <w:rPr>
          <w:sz w:val="24"/>
        </w:rPr>
      </w:pPr>
    </w:p>
    <w:p>
      <w:pPr>
        <w:pStyle w:val="BodyText"/>
        <w:spacing w:before="1"/>
        <w:ind w:left="102" w:right="120"/>
        <w:jc w:val="both"/>
      </w:pPr>
      <w:r>
        <w:rPr/>
        <w:t>Para calcular la varianza o la desviación estándar, construimos una tabla utilizando todos los elementos de la población.</w:t>
      </w:r>
    </w:p>
    <w:p>
      <w:pPr>
        <w:pStyle w:val="BodyText"/>
        <w:spacing w:before="1"/>
        <w:rPr>
          <w:sz w:val="24"/>
        </w:rPr>
      </w:pPr>
    </w:p>
    <w:p>
      <w:pPr>
        <w:pStyle w:val="Heading1"/>
      </w:pPr>
      <w:r>
        <w:rPr/>
        <w:t>Usos de la desviación estándar.</w:t>
      </w:r>
    </w:p>
    <w:p>
      <w:pPr>
        <w:pStyle w:val="BodyText"/>
        <w:spacing w:before="6"/>
        <w:rPr>
          <w:b/>
          <w:sz w:val="24"/>
        </w:rPr>
      </w:pPr>
    </w:p>
    <w:p>
      <w:pPr>
        <w:pStyle w:val="BodyText"/>
        <w:ind w:left="102" w:right="116"/>
        <w:jc w:val="both"/>
      </w:pPr>
      <w:r>
        <w:rPr/>
        <w:t>La desviación estándar nos permite determinar, con un buen grado de precisión, dónde están localizados los valores de una distribución de frecuencias con relación a la media.</w:t>
      </w:r>
      <w:r>
        <w:rPr>
          <w:spacing w:val="-26"/>
        </w:rPr>
        <w:t> </w:t>
      </w:r>
      <w:r>
        <w:rPr/>
        <w:t>El teorema de Chebyshev dice que no importa qué forma tenga la distribución, al menos</w:t>
      </w:r>
      <w:r>
        <w:rPr>
          <w:spacing w:val="-40"/>
        </w:rPr>
        <w:t> </w:t>
      </w:r>
      <w:r>
        <w:rPr/>
        <w:t>75% de los valores caen dentro de </w:t>
      </w:r>
      <w:r>
        <w:rPr>
          <w:u w:val="single"/>
        </w:rPr>
        <w:t>+ </w:t>
      </w:r>
      <w:r>
        <w:rPr/>
        <w:t>2 desviaciones estándar a partir de la media de la distribución, y al menos 89% de los valores caen dentro de </w:t>
      </w:r>
      <w:r>
        <w:rPr>
          <w:u w:val="single"/>
        </w:rPr>
        <w:t>+ </w:t>
      </w:r>
      <w:r>
        <w:rPr/>
        <w:t>3 desviaciones estándar a partir de la</w:t>
      </w:r>
      <w:r>
        <w:rPr>
          <w:spacing w:val="-6"/>
        </w:rPr>
        <w:t> </w:t>
      </w:r>
      <w:r>
        <w:rPr/>
        <w:t>media.</w:t>
      </w:r>
    </w:p>
    <w:p>
      <w:pPr>
        <w:pStyle w:val="BodyText"/>
        <w:spacing w:before="3"/>
        <w:rPr>
          <w:sz w:val="24"/>
        </w:rPr>
      </w:pPr>
    </w:p>
    <w:p>
      <w:pPr>
        <w:pStyle w:val="BodyText"/>
        <w:spacing w:before="1"/>
        <w:ind w:left="102"/>
        <w:jc w:val="both"/>
      </w:pPr>
      <w:r>
        <w:rPr/>
        <w:t>Con más precisión:</w:t>
      </w:r>
    </w:p>
    <w:p>
      <w:pPr>
        <w:pStyle w:val="BodyText"/>
        <w:spacing w:before="3"/>
        <w:rPr>
          <w:sz w:val="24"/>
        </w:rPr>
      </w:pPr>
    </w:p>
    <w:p>
      <w:pPr>
        <w:pStyle w:val="ListParagraph"/>
        <w:numPr>
          <w:ilvl w:val="0"/>
          <w:numId w:val="2"/>
        </w:numPr>
        <w:tabs>
          <w:tab w:pos="822" w:val="left" w:leader="none"/>
        </w:tabs>
        <w:spacing w:line="240" w:lineRule="auto" w:before="1" w:after="0"/>
        <w:ind w:left="822" w:right="116" w:hanging="360"/>
        <w:jc w:val="both"/>
        <w:rPr>
          <w:sz w:val="22"/>
        </w:rPr>
      </w:pPr>
      <w:r>
        <w:rPr>
          <w:sz w:val="22"/>
        </w:rPr>
        <w:t>Aproximadamente 68% de los valores de la población cae dentro de </w:t>
      </w:r>
      <w:r>
        <w:rPr>
          <w:sz w:val="22"/>
          <w:u w:val="single"/>
        </w:rPr>
        <w:t>+ </w:t>
      </w:r>
      <w:r>
        <w:rPr>
          <w:sz w:val="22"/>
        </w:rPr>
        <w:t>1</w:t>
      </w:r>
      <w:r>
        <w:rPr>
          <w:spacing w:val="-23"/>
          <w:sz w:val="22"/>
        </w:rPr>
        <w:t> </w:t>
      </w:r>
      <w:r>
        <w:rPr>
          <w:sz w:val="22"/>
        </w:rPr>
        <w:t>desviación estándar a partir de la</w:t>
      </w:r>
      <w:r>
        <w:rPr>
          <w:spacing w:val="-8"/>
          <w:sz w:val="22"/>
        </w:rPr>
        <w:t> </w:t>
      </w:r>
      <w:r>
        <w:rPr>
          <w:sz w:val="22"/>
        </w:rPr>
        <w:t>media.</w:t>
      </w:r>
    </w:p>
    <w:p>
      <w:pPr>
        <w:pStyle w:val="ListParagraph"/>
        <w:numPr>
          <w:ilvl w:val="0"/>
          <w:numId w:val="2"/>
        </w:numPr>
        <w:tabs>
          <w:tab w:pos="822" w:val="left" w:leader="none"/>
        </w:tabs>
        <w:spacing w:line="240" w:lineRule="auto" w:before="1" w:after="0"/>
        <w:ind w:left="822" w:right="115" w:hanging="360"/>
        <w:jc w:val="both"/>
        <w:rPr>
          <w:sz w:val="22"/>
        </w:rPr>
      </w:pPr>
      <w:r>
        <w:rPr>
          <w:sz w:val="22"/>
        </w:rPr>
        <w:t>Aproximadamente</w:t>
      </w:r>
      <w:r>
        <w:rPr>
          <w:spacing w:val="-8"/>
          <w:sz w:val="22"/>
        </w:rPr>
        <w:t> </w:t>
      </w:r>
      <w:r>
        <w:rPr>
          <w:sz w:val="22"/>
        </w:rPr>
        <w:t>95%</w:t>
      </w:r>
      <w:r>
        <w:rPr>
          <w:spacing w:val="-9"/>
          <w:sz w:val="22"/>
        </w:rPr>
        <w:t> </w:t>
      </w:r>
      <w:r>
        <w:rPr>
          <w:sz w:val="22"/>
        </w:rPr>
        <w:t>de</w:t>
      </w:r>
      <w:r>
        <w:rPr>
          <w:spacing w:val="-6"/>
          <w:sz w:val="22"/>
        </w:rPr>
        <w:t> </w:t>
      </w:r>
      <w:r>
        <w:rPr>
          <w:sz w:val="22"/>
        </w:rPr>
        <w:t>los</w:t>
      </w:r>
      <w:r>
        <w:rPr>
          <w:spacing w:val="-5"/>
          <w:sz w:val="22"/>
        </w:rPr>
        <w:t> </w:t>
      </w:r>
      <w:r>
        <w:rPr>
          <w:sz w:val="22"/>
        </w:rPr>
        <w:t>valores</w:t>
      </w:r>
      <w:r>
        <w:rPr>
          <w:spacing w:val="-5"/>
          <w:sz w:val="22"/>
        </w:rPr>
        <w:t> </w:t>
      </w:r>
      <w:r>
        <w:rPr>
          <w:sz w:val="22"/>
        </w:rPr>
        <w:t>estará</w:t>
      </w:r>
      <w:r>
        <w:rPr>
          <w:spacing w:val="-7"/>
          <w:sz w:val="22"/>
        </w:rPr>
        <w:t> </w:t>
      </w:r>
      <w:r>
        <w:rPr>
          <w:sz w:val="22"/>
        </w:rPr>
        <w:t>dentro</w:t>
      </w:r>
      <w:r>
        <w:rPr>
          <w:spacing w:val="-8"/>
          <w:sz w:val="22"/>
        </w:rPr>
        <w:t> </w:t>
      </w:r>
      <w:r>
        <w:rPr>
          <w:sz w:val="22"/>
        </w:rPr>
        <w:t>de</w:t>
      </w:r>
      <w:r>
        <w:rPr>
          <w:spacing w:val="-6"/>
          <w:sz w:val="22"/>
        </w:rPr>
        <w:t> </w:t>
      </w:r>
      <w:r>
        <w:rPr>
          <w:sz w:val="22"/>
          <w:u w:val="single"/>
        </w:rPr>
        <w:t>+</w:t>
      </w:r>
      <w:r>
        <w:rPr>
          <w:spacing w:val="-4"/>
          <w:sz w:val="22"/>
          <w:u w:val="single"/>
        </w:rPr>
        <w:t> </w:t>
      </w:r>
      <w:r>
        <w:rPr>
          <w:sz w:val="22"/>
        </w:rPr>
        <w:t>2</w:t>
      </w:r>
      <w:r>
        <w:rPr>
          <w:spacing w:val="-8"/>
          <w:sz w:val="22"/>
        </w:rPr>
        <w:t> </w:t>
      </w:r>
      <w:r>
        <w:rPr>
          <w:sz w:val="22"/>
        </w:rPr>
        <w:t>desviaciones</w:t>
      </w:r>
      <w:r>
        <w:rPr>
          <w:spacing w:val="-5"/>
          <w:sz w:val="22"/>
        </w:rPr>
        <w:t> </w:t>
      </w:r>
      <w:r>
        <w:rPr>
          <w:sz w:val="22"/>
        </w:rPr>
        <w:t>estándar</w:t>
      </w:r>
      <w:r>
        <w:rPr>
          <w:spacing w:val="-7"/>
          <w:sz w:val="22"/>
        </w:rPr>
        <w:t> </w:t>
      </w:r>
      <w:r>
        <w:rPr>
          <w:sz w:val="22"/>
        </w:rPr>
        <w:t>a partir de la</w:t>
      </w:r>
      <w:r>
        <w:rPr>
          <w:spacing w:val="-6"/>
          <w:sz w:val="22"/>
        </w:rPr>
        <w:t> </w:t>
      </w:r>
      <w:r>
        <w:rPr>
          <w:sz w:val="22"/>
        </w:rPr>
        <w:t>media.</w:t>
      </w:r>
    </w:p>
    <w:p>
      <w:pPr>
        <w:pStyle w:val="ListParagraph"/>
        <w:numPr>
          <w:ilvl w:val="0"/>
          <w:numId w:val="2"/>
        </w:numPr>
        <w:tabs>
          <w:tab w:pos="822" w:val="left" w:leader="none"/>
        </w:tabs>
        <w:spacing w:line="240" w:lineRule="auto" w:before="1" w:after="0"/>
        <w:ind w:left="822" w:right="115" w:hanging="360"/>
        <w:jc w:val="both"/>
        <w:rPr>
          <w:sz w:val="22"/>
        </w:rPr>
      </w:pPr>
      <w:r>
        <w:rPr>
          <w:sz w:val="22"/>
        </w:rPr>
        <w:t>Aproximadamente 99% de los valores estará en el intervalo que va desde tres desviaciones</w:t>
      </w:r>
      <w:r>
        <w:rPr>
          <w:spacing w:val="-4"/>
          <w:sz w:val="22"/>
        </w:rPr>
        <w:t> </w:t>
      </w:r>
      <w:r>
        <w:rPr>
          <w:sz w:val="22"/>
        </w:rPr>
        <w:t>estándar</w:t>
      </w:r>
      <w:r>
        <w:rPr>
          <w:spacing w:val="-3"/>
          <w:sz w:val="22"/>
        </w:rPr>
        <w:t> </w:t>
      </w:r>
      <w:r>
        <w:rPr>
          <w:sz w:val="22"/>
        </w:rPr>
        <w:t>por</w:t>
      </w:r>
      <w:r>
        <w:rPr>
          <w:spacing w:val="-3"/>
          <w:sz w:val="22"/>
        </w:rPr>
        <w:t> </w:t>
      </w:r>
      <w:r>
        <w:rPr>
          <w:sz w:val="22"/>
        </w:rPr>
        <w:t>debajo</w:t>
      </w:r>
      <w:r>
        <w:rPr>
          <w:spacing w:val="-4"/>
          <w:sz w:val="22"/>
        </w:rPr>
        <w:t> </w:t>
      </w:r>
      <w:r>
        <w:rPr>
          <w:sz w:val="22"/>
        </w:rPr>
        <w:t>de</w:t>
      </w:r>
      <w:r>
        <w:rPr>
          <w:spacing w:val="-7"/>
          <w:sz w:val="22"/>
        </w:rPr>
        <w:t> </w:t>
      </w:r>
      <w:r>
        <w:rPr>
          <w:sz w:val="22"/>
        </w:rPr>
        <w:t>la</w:t>
      </w:r>
      <w:r>
        <w:rPr>
          <w:spacing w:val="-6"/>
          <w:sz w:val="22"/>
        </w:rPr>
        <w:t> </w:t>
      </w:r>
      <w:r>
        <w:rPr>
          <w:sz w:val="22"/>
        </w:rPr>
        <w:t>media</w:t>
      </w:r>
      <w:r>
        <w:rPr>
          <w:spacing w:val="-4"/>
          <w:sz w:val="22"/>
        </w:rPr>
        <w:t> </w:t>
      </w:r>
      <w:r>
        <w:rPr>
          <w:sz w:val="22"/>
        </w:rPr>
        <w:t>hasta</w:t>
      </w:r>
      <w:r>
        <w:rPr>
          <w:spacing w:val="-6"/>
          <w:sz w:val="22"/>
        </w:rPr>
        <w:t> </w:t>
      </w:r>
      <w:r>
        <w:rPr>
          <w:sz w:val="22"/>
        </w:rPr>
        <w:t>tres</w:t>
      </w:r>
      <w:r>
        <w:rPr>
          <w:spacing w:val="-6"/>
          <w:sz w:val="22"/>
        </w:rPr>
        <w:t> </w:t>
      </w:r>
      <w:r>
        <w:rPr>
          <w:sz w:val="22"/>
        </w:rPr>
        <w:t>desviaciones</w:t>
      </w:r>
      <w:r>
        <w:rPr>
          <w:spacing w:val="-4"/>
          <w:sz w:val="22"/>
        </w:rPr>
        <w:t> </w:t>
      </w:r>
      <w:r>
        <w:rPr>
          <w:sz w:val="22"/>
        </w:rPr>
        <w:t>estándar</w:t>
      </w:r>
      <w:r>
        <w:rPr>
          <w:spacing w:val="-3"/>
          <w:sz w:val="22"/>
        </w:rPr>
        <w:t> </w:t>
      </w:r>
      <w:r>
        <w:rPr>
          <w:sz w:val="22"/>
        </w:rPr>
        <w:t>por arriba de la</w:t>
      </w:r>
      <w:r>
        <w:rPr>
          <w:spacing w:val="-5"/>
          <w:sz w:val="22"/>
        </w:rPr>
        <w:t> </w:t>
      </w:r>
      <w:r>
        <w:rPr>
          <w:sz w:val="22"/>
        </w:rPr>
        <w:t>media.</w:t>
      </w:r>
    </w:p>
    <w:p>
      <w:pPr>
        <w:pStyle w:val="BodyText"/>
        <w:spacing w:before="4"/>
        <w:rPr>
          <w:sz w:val="24"/>
        </w:rPr>
      </w:pPr>
    </w:p>
    <w:p>
      <w:pPr>
        <w:pStyle w:val="BodyText"/>
        <w:ind w:left="102"/>
        <w:jc w:val="both"/>
      </w:pPr>
      <w:r>
        <w:rPr>
          <w:u w:val="single"/>
        </w:rPr>
        <w:t>Resultado estándar:</w:t>
      </w:r>
    </w:p>
    <w:p>
      <w:pPr>
        <w:pStyle w:val="BodyText"/>
        <w:spacing w:before="2"/>
        <w:rPr>
          <w:sz w:val="18"/>
        </w:rPr>
      </w:pPr>
    </w:p>
    <w:p>
      <w:pPr>
        <w:pStyle w:val="BodyText"/>
        <w:spacing w:before="73"/>
        <w:ind w:left="102" w:right="119"/>
        <w:jc w:val="both"/>
      </w:pPr>
      <w:r>
        <w:rPr/>
        <w:t>La desviación estándar es también útil para describir qué tan lejos las observaciones individuales de una distribución de frecuencias se apartan de la media de la distribución. Una medida que se conoce como </w:t>
      </w:r>
      <w:r>
        <w:rPr>
          <w:i/>
        </w:rPr>
        <w:t>resultado estándar </w:t>
      </w:r>
      <w:r>
        <w:rPr/>
        <w:t>nos da el número de desviaciones estándar que una observación en particular ocupa por debajo o por encima de la media:</w:t>
      </w:r>
    </w:p>
    <w:p>
      <w:pPr>
        <w:spacing w:after="0"/>
        <w:jc w:val="both"/>
        <w:sectPr>
          <w:pgSz w:w="12240" w:h="15840"/>
          <w:pgMar w:top="1360" w:bottom="280" w:left="1600" w:right="1580"/>
        </w:sectPr>
      </w:pPr>
    </w:p>
    <w:p>
      <w:pPr>
        <w:pStyle w:val="Heading1"/>
        <w:spacing w:before="51"/>
      </w:pPr>
      <w:r>
        <w:rPr>
          <w:color w:val="3366FF"/>
        </w:rPr>
        <w:t>1.2.3. Rango.</w:t>
      </w:r>
    </w:p>
    <w:p>
      <w:pPr>
        <w:pStyle w:val="BodyText"/>
        <w:spacing w:line="251" w:lineRule="exact" w:before="4"/>
        <w:ind w:left="102"/>
        <w:jc w:val="both"/>
      </w:pPr>
      <w:r>
        <w:rPr/>
        <w:t>Rango.- Dato mayor menos dato menor.</w:t>
      </w:r>
    </w:p>
    <w:p>
      <w:pPr>
        <w:pStyle w:val="Heading1"/>
        <w:spacing w:line="251" w:lineRule="exact"/>
      </w:pPr>
      <w:r>
        <w:rPr/>
        <w:t>Rango:</w:t>
      </w:r>
    </w:p>
    <w:p>
      <w:pPr>
        <w:pStyle w:val="BodyText"/>
        <w:spacing w:before="8"/>
        <w:rPr>
          <w:b/>
          <w:sz w:val="24"/>
        </w:rPr>
      </w:pPr>
    </w:p>
    <w:p>
      <w:pPr>
        <w:pStyle w:val="BodyText"/>
        <w:ind w:left="102" w:right="116"/>
        <w:jc w:val="both"/>
      </w:pPr>
      <w:r>
        <w:rPr/>
        <w:t>Es la primera medida que vamos a estudiar, se define como la diferencia existente entre el valor mayor y el menor de la distribución. Lo notaremos como </w:t>
      </w:r>
      <w:r>
        <w:rPr>
          <w:b/>
        </w:rPr>
        <w:t>R. </w:t>
      </w:r>
      <w:r>
        <w:rPr/>
        <w:t>Realmente no es una medida muy significativa en la mayoría de los casos, pero indudablemente es muy fácil de calcular.</w:t>
      </w:r>
    </w:p>
    <w:p>
      <w:pPr>
        <w:pStyle w:val="BodyText"/>
        <w:spacing w:before="3"/>
        <w:rPr>
          <w:sz w:val="24"/>
        </w:rPr>
      </w:pPr>
    </w:p>
    <w:p>
      <w:pPr>
        <w:pStyle w:val="BodyText"/>
        <w:spacing w:before="1"/>
        <w:ind w:left="102" w:right="116"/>
        <w:jc w:val="both"/>
      </w:pPr>
      <w:r>
        <w:rPr/>
        <w:t>Hemos estudiado varias medidas de centralización, por lo que podemos hablar de desviación</w:t>
      </w:r>
      <w:r>
        <w:rPr>
          <w:spacing w:val="-15"/>
        </w:rPr>
        <w:t> </w:t>
      </w:r>
      <w:r>
        <w:rPr/>
        <w:t>con</w:t>
      </w:r>
      <w:r>
        <w:rPr>
          <w:spacing w:val="-15"/>
        </w:rPr>
        <w:t> </w:t>
      </w:r>
      <w:r>
        <w:rPr/>
        <w:t>respecto</w:t>
      </w:r>
      <w:r>
        <w:rPr>
          <w:spacing w:val="-17"/>
        </w:rPr>
        <w:t> </w:t>
      </w:r>
      <w:r>
        <w:rPr/>
        <w:t>a</w:t>
      </w:r>
      <w:r>
        <w:rPr>
          <w:spacing w:val="-15"/>
        </w:rPr>
        <w:t> </w:t>
      </w:r>
      <w:r>
        <w:rPr/>
        <w:t>cualquiera</w:t>
      </w:r>
      <w:r>
        <w:rPr>
          <w:spacing w:val="-14"/>
        </w:rPr>
        <w:t> </w:t>
      </w:r>
      <w:r>
        <w:rPr/>
        <w:t>de</w:t>
      </w:r>
      <w:r>
        <w:rPr>
          <w:spacing w:val="-15"/>
        </w:rPr>
        <w:t> </w:t>
      </w:r>
      <w:r>
        <w:rPr/>
        <w:t>ellas,</w:t>
      </w:r>
      <w:r>
        <w:rPr>
          <w:spacing w:val="-16"/>
        </w:rPr>
        <w:t> </w:t>
      </w:r>
      <w:r>
        <w:rPr/>
        <w:t>sin</w:t>
      </w:r>
      <w:r>
        <w:rPr>
          <w:spacing w:val="-15"/>
        </w:rPr>
        <w:t> </w:t>
      </w:r>
      <w:r>
        <w:rPr/>
        <w:t>embargo,</w:t>
      </w:r>
      <w:r>
        <w:rPr>
          <w:spacing w:val="-14"/>
        </w:rPr>
        <w:t> </w:t>
      </w:r>
      <w:r>
        <w:rPr/>
        <w:t>la</w:t>
      </w:r>
      <w:r>
        <w:rPr>
          <w:spacing w:val="-13"/>
        </w:rPr>
        <w:t> </w:t>
      </w:r>
      <w:r>
        <w:rPr/>
        <w:t>más</w:t>
      </w:r>
      <w:r>
        <w:rPr>
          <w:spacing w:val="-15"/>
        </w:rPr>
        <w:t> </w:t>
      </w:r>
      <w:r>
        <w:rPr/>
        <w:t>utilizada</w:t>
      </w:r>
      <w:r>
        <w:rPr>
          <w:spacing w:val="-15"/>
        </w:rPr>
        <w:t> </w:t>
      </w:r>
      <w:r>
        <w:rPr/>
        <w:t>es</w:t>
      </w:r>
      <w:r>
        <w:rPr>
          <w:spacing w:val="-15"/>
        </w:rPr>
        <w:t> </w:t>
      </w:r>
      <w:r>
        <w:rPr/>
        <w:t>con</w:t>
      </w:r>
      <w:r>
        <w:rPr>
          <w:spacing w:val="-15"/>
        </w:rPr>
        <w:t> </w:t>
      </w:r>
      <w:r>
        <w:rPr/>
        <w:t>respecto a la</w:t>
      </w:r>
      <w:r>
        <w:rPr>
          <w:spacing w:val="-3"/>
        </w:rPr>
        <w:t> </w:t>
      </w:r>
      <w:r>
        <w:rPr/>
        <w:t>media.</w:t>
      </w:r>
    </w:p>
    <w:p>
      <w:pPr>
        <w:pStyle w:val="BodyText"/>
      </w:pPr>
    </w:p>
    <w:p>
      <w:pPr>
        <w:pStyle w:val="BodyText"/>
        <w:spacing w:before="1"/>
        <w:rPr>
          <w:sz w:val="24"/>
        </w:rPr>
      </w:pPr>
    </w:p>
    <w:p>
      <w:pPr>
        <w:pStyle w:val="Heading1"/>
      </w:pPr>
      <w:r>
        <w:rPr/>
        <w:t>RANGO</w:t>
      </w:r>
    </w:p>
    <w:p>
      <w:pPr>
        <w:pStyle w:val="BodyText"/>
        <w:spacing w:before="8"/>
        <w:rPr>
          <w:b/>
          <w:sz w:val="24"/>
        </w:rPr>
      </w:pPr>
    </w:p>
    <w:p>
      <w:pPr>
        <w:pStyle w:val="BodyText"/>
        <w:ind w:left="102" w:right="119"/>
        <w:jc w:val="both"/>
      </w:pPr>
      <w:r>
        <w:rPr/>
        <w:t>El</w:t>
      </w:r>
      <w:r>
        <w:rPr>
          <w:spacing w:val="-11"/>
        </w:rPr>
        <w:t> </w:t>
      </w:r>
      <w:r>
        <w:rPr/>
        <w:t>rango,</w:t>
      </w:r>
      <w:r>
        <w:rPr>
          <w:spacing w:val="-9"/>
        </w:rPr>
        <w:t> </w:t>
      </w:r>
      <w:r>
        <w:rPr/>
        <w:t>o</w:t>
      </w:r>
      <w:r>
        <w:rPr>
          <w:spacing w:val="-10"/>
        </w:rPr>
        <w:t> </w:t>
      </w:r>
      <w:r>
        <w:rPr/>
        <w:t>R,</w:t>
      </w:r>
      <w:r>
        <w:rPr>
          <w:spacing w:val="-9"/>
        </w:rPr>
        <w:t> </w:t>
      </w:r>
      <w:r>
        <w:rPr/>
        <w:t>es</w:t>
      </w:r>
      <w:r>
        <w:rPr>
          <w:spacing w:val="-13"/>
        </w:rPr>
        <w:t> </w:t>
      </w:r>
      <w:r>
        <w:rPr/>
        <w:t>la</w:t>
      </w:r>
      <w:r>
        <w:rPr>
          <w:spacing w:val="-10"/>
        </w:rPr>
        <w:t> </w:t>
      </w:r>
      <w:r>
        <w:rPr/>
        <w:t>diferencia</w:t>
      </w:r>
      <w:r>
        <w:rPr>
          <w:spacing w:val="-10"/>
        </w:rPr>
        <w:t> </w:t>
      </w:r>
      <w:r>
        <w:rPr/>
        <w:t>entre</w:t>
      </w:r>
      <w:r>
        <w:rPr>
          <w:spacing w:val="-10"/>
        </w:rPr>
        <w:t> </w:t>
      </w:r>
      <w:r>
        <w:rPr/>
        <w:t>los</w:t>
      </w:r>
      <w:r>
        <w:rPr>
          <w:spacing w:val="-13"/>
        </w:rPr>
        <w:t> </w:t>
      </w:r>
      <w:r>
        <w:rPr/>
        <w:t>valores</w:t>
      </w:r>
      <w:r>
        <w:rPr>
          <w:spacing w:val="-10"/>
        </w:rPr>
        <w:t> </w:t>
      </w:r>
      <w:r>
        <w:rPr/>
        <w:t>más</w:t>
      </w:r>
      <w:r>
        <w:rPr>
          <w:spacing w:val="-10"/>
        </w:rPr>
        <w:t> </w:t>
      </w:r>
      <w:r>
        <w:rPr/>
        <w:t>alto</w:t>
      </w:r>
      <w:r>
        <w:rPr>
          <w:spacing w:val="-10"/>
        </w:rPr>
        <w:t> </w:t>
      </w:r>
      <w:r>
        <w:rPr/>
        <w:t>y</w:t>
      </w:r>
      <w:r>
        <w:rPr>
          <w:spacing w:val="-12"/>
        </w:rPr>
        <w:t> </w:t>
      </w:r>
      <w:r>
        <w:rPr/>
        <w:t>más</w:t>
      </w:r>
      <w:r>
        <w:rPr>
          <w:spacing w:val="-12"/>
        </w:rPr>
        <w:t> </w:t>
      </w:r>
      <w:r>
        <w:rPr/>
        <w:t>bajo</w:t>
      </w:r>
      <w:r>
        <w:rPr>
          <w:spacing w:val="-10"/>
        </w:rPr>
        <w:t> </w:t>
      </w:r>
      <w:r>
        <w:rPr/>
        <w:t>incluidos</w:t>
      </w:r>
      <w:r>
        <w:rPr>
          <w:spacing w:val="-10"/>
        </w:rPr>
        <w:t> </w:t>
      </w:r>
      <w:r>
        <w:rPr/>
        <w:t>en</w:t>
      </w:r>
      <w:r>
        <w:rPr>
          <w:spacing w:val="-10"/>
        </w:rPr>
        <w:t> </w:t>
      </w:r>
      <w:r>
        <w:rPr/>
        <w:t>un</w:t>
      </w:r>
      <w:r>
        <w:rPr>
          <w:spacing w:val="-10"/>
        </w:rPr>
        <w:t> </w:t>
      </w:r>
      <w:r>
        <w:rPr/>
        <w:t>conjunto de datos. Así, cuando My representa al mayor valor del grupo y Mn al menor, el rango de datos no agrupados</w:t>
      </w:r>
      <w:r>
        <w:rPr>
          <w:spacing w:val="-2"/>
        </w:rPr>
        <w:t> </w:t>
      </w:r>
      <w:r>
        <w:rPr/>
        <w:t>es</w:t>
      </w:r>
    </w:p>
    <w:p>
      <w:pPr>
        <w:pStyle w:val="BodyText"/>
        <w:spacing w:before="3"/>
        <w:rPr>
          <w:sz w:val="24"/>
        </w:rPr>
      </w:pPr>
    </w:p>
    <w:p>
      <w:pPr>
        <w:pStyle w:val="BodyText"/>
        <w:spacing w:before="1"/>
        <w:ind w:left="102"/>
        <w:jc w:val="both"/>
      </w:pPr>
      <w:r>
        <w:rPr/>
        <w:t>R = My - Mn</w:t>
      </w:r>
    </w:p>
    <w:p>
      <w:pPr>
        <w:pStyle w:val="BodyText"/>
        <w:spacing w:before="3"/>
        <w:rPr>
          <w:sz w:val="24"/>
        </w:rPr>
      </w:pPr>
    </w:p>
    <w:p>
      <w:pPr>
        <w:pStyle w:val="BodyText"/>
        <w:spacing w:before="1"/>
        <w:ind w:left="102" w:right="115"/>
        <w:jc w:val="both"/>
      </w:pPr>
      <w:r>
        <w:rPr/>
        <w:t>EJEMPLO Durante un mes de verano, los ocho vendedores de una empresa de equipos de calefacción y aire acondicionado vendieron los siguientes números de unidades centrales</w:t>
      </w:r>
      <w:r>
        <w:rPr>
          <w:spacing w:val="-9"/>
        </w:rPr>
        <w:t> </w:t>
      </w:r>
      <w:r>
        <w:rPr/>
        <w:t>de</w:t>
      </w:r>
      <w:r>
        <w:rPr>
          <w:spacing w:val="-7"/>
        </w:rPr>
        <w:t> </w:t>
      </w:r>
      <w:r>
        <w:rPr/>
        <w:t>aire</w:t>
      </w:r>
      <w:r>
        <w:rPr>
          <w:spacing w:val="-6"/>
        </w:rPr>
        <w:t> </w:t>
      </w:r>
      <w:r>
        <w:rPr/>
        <w:t>acondicionado:</w:t>
      </w:r>
      <w:r>
        <w:rPr>
          <w:spacing w:val="-5"/>
        </w:rPr>
        <w:t> </w:t>
      </w:r>
      <w:r>
        <w:rPr/>
        <w:t>8,11,</w:t>
      </w:r>
      <w:r>
        <w:rPr>
          <w:spacing w:val="-7"/>
        </w:rPr>
        <w:t> </w:t>
      </w:r>
      <w:r>
        <w:rPr/>
        <w:t>5,</w:t>
      </w:r>
      <w:r>
        <w:rPr>
          <w:spacing w:val="-7"/>
        </w:rPr>
        <w:t> </w:t>
      </w:r>
      <w:r>
        <w:rPr/>
        <w:t>14,</w:t>
      </w:r>
      <w:r>
        <w:rPr>
          <w:spacing w:val="-5"/>
        </w:rPr>
        <w:t> </w:t>
      </w:r>
      <w:r>
        <w:rPr/>
        <w:t>8,11,</w:t>
      </w:r>
      <w:r>
        <w:rPr>
          <w:spacing w:val="-7"/>
        </w:rPr>
        <w:t> </w:t>
      </w:r>
      <w:r>
        <w:rPr/>
        <w:t>16,</w:t>
      </w:r>
      <w:r>
        <w:rPr>
          <w:spacing w:val="-7"/>
        </w:rPr>
        <w:t> </w:t>
      </w:r>
      <w:r>
        <w:rPr/>
        <w:t>11.</w:t>
      </w:r>
      <w:r>
        <w:rPr>
          <w:spacing w:val="-5"/>
        </w:rPr>
        <w:t> </w:t>
      </w:r>
      <w:r>
        <w:rPr/>
        <w:t>El</w:t>
      </w:r>
      <w:r>
        <w:rPr>
          <w:spacing w:val="-10"/>
        </w:rPr>
        <w:t> </w:t>
      </w:r>
      <w:r>
        <w:rPr/>
        <w:t>rango</w:t>
      </w:r>
      <w:r>
        <w:rPr>
          <w:spacing w:val="-9"/>
        </w:rPr>
        <w:t> </w:t>
      </w:r>
      <w:r>
        <w:rPr/>
        <w:t>del</w:t>
      </w:r>
      <w:r>
        <w:rPr>
          <w:spacing w:val="-7"/>
        </w:rPr>
        <w:t> </w:t>
      </w:r>
      <w:r>
        <w:rPr/>
        <w:t>número</w:t>
      </w:r>
      <w:r>
        <w:rPr>
          <w:spacing w:val="-6"/>
        </w:rPr>
        <w:t> </w:t>
      </w:r>
      <w:r>
        <w:rPr/>
        <w:t>de</w:t>
      </w:r>
      <w:r>
        <w:rPr>
          <w:spacing w:val="-9"/>
        </w:rPr>
        <w:t> </w:t>
      </w:r>
      <w:r>
        <w:rPr/>
        <w:t>unidades vendidas</w:t>
      </w:r>
      <w:r>
        <w:rPr>
          <w:spacing w:val="-3"/>
        </w:rPr>
        <w:t> </w:t>
      </w:r>
      <w:r>
        <w:rPr/>
        <w:t>es</w:t>
      </w:r>
    </w:p>
    <w:p>
      <w:pPr>
        <w:pStyle w:val="BodyText"/>
        <w:spacing w:before="4"/>
        <w:rPr>
          <w:sz w:val="24"/>
        </w:rPr>
      </w:pPr>
    </w:p>
    <w:p>
      <w:pPr>
        <w:pStyle w:val="BodyText"/>
        <w:ind w:left="102"/>
        <w:jc w:val="both"/>
      </w:pPr>
      <w:r>
        <w:rPr/>
        <w:t>R =My - Mn = 16 - 5 = 11.0 unidades</w:t>
      </w:r>
    </w:p>
    <w:p>
      <w:pPr>
        <w:pStyle w:val="BodyText"/>
        <w:spacing w:before="3"/>
        <w:rPr>
          <w:sz w:val="24"/>
        </w:rPr>
      </w:pPr>
    </w:p>
    <w:p>
      <w:pPr>
        <w:pStyle w:val="BodyText"/>
        <w:spacing w:before="1"/>
        <w:ind w:left="102" w:right="121"/>
        <w:jc w:val="both"/>
      </w:pPr>
      <w:r>
        <w:rPr/>
        <w:t>Nota: Para efectos de comparación, generalmente reportamos las medidas de variabilidad con un decimal adicional al nivel original de medición.</w:t>
      </w:r>
    </w:p>
    <w:p>
      <w:pPr>
        <w:pStyle w:val="BodyText"/>
        <w:spacing w:before="1"/>
        <w:rPr>
          <w:sz w:val="24"/>
        </w:rPr>
      </w:pPr>
    </w:p>
    <w:p>
      <w:pPr>
        <w:pStyle w:val="Heading1"/>
      </w:pPr>
      <w:r>
        <w:rPr/>
        <w:t>RANGOS MODIFICADOS</w:t>
      </w:r>
    </w:p>
    <w:p>
      <w:pPr>
        <w:pStyle w:val="BodyText"/>
        <w:spacing w:before="6"/>
        <w:rPr>
          <w:b/>
          <w:sz w:val="24"/>
        </w:rPr>
      </w:pPr>
    </w:p>
    <w:p>
      <w:pPr>
        <w:pStyle w:val="BodyText"/>
        <w:ind w:left="102" w:right="117"/>
        <w:jc w:val="both"/>
      </w:pPr>
      <w:r>
        <w:rPr/>
        <w:t>Un rango modificado es un rango que se construye eliminando algunos de los valores extremos</w:t>
      </w:r>
      <w:r>
        <w:rPr>
          <w:spacing w:val="-7"/>
        </w:rPr>
        <w:t> </w:t>
      </w:r>
      <w:r>
        <w:rPr/>
        <w:t>de</w:t>
      </w:r>
      <w:r>
        <w:rPr>
          <w:spacing w:val="-10"/>
        </w:rPr>
        <w:t> </w:t>
      </w:r>
      <w:r>
        <w:rPr/>
        <w:t>cada</w:t>
      </w:r>
      <w:r>
        <w:rPr>
          <w:spacing w:val="-8"/>
        </w:rPr>
        <w:t> </w:t>
      </w:r>
      <w:r>
        <w:rPr/>
        <w:t>una</w:t>
      </w:r>
      <w:r>
        <w:rPr>
          <w:spacing w:val="-8"/>
        </w:rPr>
        <w:t> </w:t>
      </w:r>
      <w:r>
        <w:rPr/>
        <w:t>de</w:t>
      </w:r>
      <w:r>
        <w:rPr>
          <w:spacing w:val="-8"/>
        </w:rPr>
        <w:t> </w:t>
      </w:r>
      <w:r>
        <w:rPr/>
        <w:t>las</w:t>
      </w:r>
      <w:r>
        <w:rPr>
          <w:spacing w:val="-8"/>
        </w:rPr>
        <w:t> </w:t>
      </w:r>
      <w:r>
        <w:rPr/>
        <w:t>porciones</w:t>
      </w:r>
      <w:r>
        <w:rPr>
          <w:spacing w:val="-10"/>
        </w:rPr>
        <w:t> </w:t>
      </w:r>
      <w:r>
        <w:rPr/>
        <w:t>finales</w:t>
      </w:r>
      <w:r>
        <w:rPr>
          <w:spacing w:val="-8"/>
        </w:rPr>
        <w:t> </w:t>
      </w:r>
      <w:r>
        <w:rPr/>
        <w:t>de</w:t>
      </w:r>
      <w:r>
        <w:rPr>
          <w:spacing w:val="-8"/>
        </w:rPr>
        <w:t> </w:t>
      </w:r>
      <w:r>
        <w:rPr/>
        <w:t>la</w:t>
      </w:r>
      <w:r>
        <w:rPr>
          <w:spacing w:val="-8"/>
        </w:rPr>
        <w:t> </w:t>
      </w:r>
      <w:r>
        <w:rPr/>
        <w:t>distribución.</w:t>
      </w:r>
      <w:r>
        <w:rPr>
          <w:spacing w:val="-7"/>
        </w:rPr>
        <w:t> </w:t>
      </w:r>
      <w:r>
        <w:rPr/>
        <w:t>El</w:t>
      </w:r>
      <w:r>
        <w:rPr>
          <w:spacing w:val="-9"/>
        </w:rPr>
        <w:t> </w:t>
      </w:r>
      <w:r>
        <w:rPr/>
        <w:t>50%</w:t>
      </w:r>
      <w:r>
        <w:rPr>
          <w:spacing w:val="-9"/>
        </w:rPr>
        <w:t> </w:t>
      </w:r>
      <w:r>
        <w:rPr/>
        <w:t>central</w:t>
      </w:r>
      <w:r>
        <w:rPr>
          <w:spacing w:val="-9"/>
        </w:rPr>
        <w:t> </w:t>
      </w:r>
      <w:r>
        <w:rPr/>
        <w:t>es</w:t>
      </w:r>
      <w:r>
        <w:rPr>
          <w:spacing w:val="-8"/>
        </w:rPr>
        <w:t> </w:t>
      </w:r>
      <w:r>
        <w:rPr/>
        <w:t>el</w:t>
      </w:r>
      <w:r>
        <w:rPr>
          <w:spacing w:val="-11"/>
        </w:rPr>
        <w:t> </w:t>
      </w:r>
      <w:r>
        <w:rPr/>
        <w:t>rango entre los valores en el 25o. punto percentil y el 75o. punto percentil de la distribución. De este</w:t>
      </w:r>
      <w:r>
        <w:rPr>
          <w:spacing w:val="-6"/>
        </w:rPr>
        <w:t> </w:t>
      </w:r>
      <w:r>
        <w:rPr/>
        <w:t>modo,</w:t>
      </w:r>
      <w:r>
        <w:rPr>
          <w:spacing w:val="-5"/>
        </w:rPr>
        <w:t> </w:t>
      </w:r>
      <w:r>
        <w:rPr/>
        <w:t>también</w:t>
      </w:r>
      <w:r>
        <w:rPr>
          <w:spacing w:val="-4"/>
        </w:rPr>
        <w:t> </w:t>
      </w:r>
      <w:r>
        <w:rPr/>
        <w:t>es</w:t>
      </w:r>
      <w:r>
        <w:rPr>
          <w:spacing w:val="-6"/>
        </w:rPr>
        <w:t> </w:t>
      </w:r>
      <w:r>
        <w:rPr/>
        <w:t>el</w:t>
      </w:r>
      <w:r>
        <w:rPr>
          <w:spacing w:val="-5"/>
        </w:rPr>
        <w:t> </w:t>
      </w:r>
      <w:r>
        <w:rPr/>
        <w:t>rango</w:t>
      </w:r>
      <w:r>
        <w:rPr>
          <w:spacing w:val="-6"/>
        </w:rPr>
        <w:t> </w:t>
      </w:r>
      <w:r>
        <w:rPr/>
        <w:t>entre</w:t>
      </w:r>
      <w:r>
        <w:rPr>
          <w:spacing w:val="-6"/>
        </w:rPr>
        <w:t> </w:t>
      </w:r>
      <w:r>
        <w:rPr/>
        <w:t>el</w:t>
      </w:r>
      <w:r>
        <w:rPr>
          <w:spacing w:val="-7"/>
        </w:rPr>
        <w:t> </w:t>
      </w:r>
      <w:r>
        <w:rPr/>
        <w:t>primer</w:t>
      </w:r>
      <w:r>
        <w:rPr>
          <w:spacing w:val="-6"/>
        </w:rPr>
        <w:t> </w:t>
      </w:r>
      <w:r>
        <w:rPr/>
        <w:t>y</w:t>
      </w:r>
      <w:r>
        <w:rPr>
          <w:spacing w:val="-6"/>
        </w:rPr>
        <w:t> </w:t>
      </w:r>
      <w:r>
        <w:rPr/>
        <w:t>tercer</w:t>
      </w:r>
      <w:r>
        <w:rPr>
          <w:spacing w:val="-5"/>
        </w:rPr>
        <w:t> </w:t>
      </w:r>
      <w:r>
        <w:rPr/>
        <w:t>cuartiles</w:t>
      </w:r>
      <w:r>
        <w:rPr>
          <w:spacing w:val="-6"/>
        </w:rPr>
        <w:t> </w:t>
      </w:r>
      <w:r>
        <w:rPr/>
        <w:t>de</w:t>
      </w:r>
      <w:r>
        <w:rPr>
          <w:spacing w:val="-4"/>
        </w:rPr>
        <w:t> </w:t>
      </w:r>
      <w:r>
        <w:rPr/>
        <w:t>la</w:t>
      </w:r>
      <w:r>
        <w:rPr>
          <w:spacing w:val="-6"/>
        </w:rPr>
        <w:t> </w:t>
      </w:r>
      <w:r>
        <w:rPr/>
        <w:t>distribución.</w:t>
      </w:r>
      <w:r>
        <w:rPr>
          <w:spacing w:val="-3"/>
        </w:rPr>
        <w:t> </w:t>
      </w:r>
      <w:r>
        <w:rPr/>
        <w:t>Por</w:t>
      </w:r>
      <w:r>
        <w:rPr>
          <w:spacing w:val="-5"/>
        </w:rPr>
        <w:t> </w:t>
      </w:r>
      <w:r>
        <w:rPr/>
        <w:t>este motivo, al rango del 50% central suele llamársele rango intercuartil (RIC).</w:t>
      </w:r>
      <w:r>
        <w:rPr>
          <w:spacing w:val="-31"/>
        </w:rPr>
        <w:t> </w:t>
      </w:r>
      <w:r>
        <w:rPr/>
        <w:t>Así,</w:t>
      </w:r>
    </w:p>
    <w:p>
      <w:pPr>
        <w:pStyle w:val="BodyText"/>
        <w:spacing w:before="4"/>
        <w:rPr>
          <w:sz w:val="24"/>
        </w:rPr>
      </w:pPr>
    </w:p>
    <w:p>
      <w:pPr>
        <w:pStyle w:val="BodyText"/>
        <w:ind w:left="102"/>
        <w:jc w:val="both"/>
      </w:pPr>
      <w:r>
        <w:rPr/>
        <w:t>RIC = Q3 – Q1,</w:t>
      </w:r>
    </w:p>
    <w:p>
      <w:pPr>
        <w:pStyle w:val="BodyText"/>
        <w:spacing w:before="3"/>
        <w:rPr>
          <w:sz w:val="24"/>
        </w:rPr>
      </w:pPr>
    </w:p>
    <w:p>
      <w:pPr>
        <w:pStyle w:val="BodyText"/>
        <w:spacing w:before="1"/>
        <w:ind w:left="102"/>
        <w:jc w:val="both"/>
      </w:pPr>
      <w:r>
        <w:rPr/>
        <w:t>Otros</w:t>
      </w:r>
      <w:r>
        <w:rPr>
          <w:spacing w:val="-15"/>
        </w:rPr>
        <w:t> </w:t>
      </w:r>
      <w:r>
        <w:rPr/>
        <w:t>rangos</w:t>
      </w:r>
      <w:r>
        <w:rPr>
          <w:spacing w:val="-15"/>
        </w:rPr>
        <w:t> </w:t>
      </w:r>
      <w:r>
        <w:rPr/>
        <w:t>modificados</w:t>
      </w:r>
      <w:r>
        <w:rPr>
          <w:spacing w:val="-12"/>
        </w:rPr>
        <w:t> </w:t>
      </w:r>
      <w:r>
        <w:rPr/>
        <w:t>de</w:t>
      </w:r>
      <w:r>
        <w:rPr>
          <w:spacing w:val="-13"/>
        </w:rPr>
        <w:t> </w:t>
      </w:r>
      <w:r>
        <w:rPr/>
        <w:t>uso</w:t>
      </w:r>
      <w:r>
        <w:rPr>
          <w:spacing w:val="-15"/>
        </w:rPr>
        <w:t> </w:t>
      </w:r>
      <w:r>
        <w:rPr/>
        <w:t>común</w:t>
      </w:r>
      <w:r>
        <w:rPr>
          <w:spacing w:val="-15"/>
        </w:rPr>
        <w:t> </w:t>
      </w:r>
      <w:r>
        <w:rPr/>
        <w:t>son</w:t>
      </w:r>
      <w:r>
        <w:rPr>
          <w:spacing w:val="-13"/>
        </w:rPr>
        <w:t> </w:t>
      </w:r>
      <w:r>
        <w:rPr/>
        <w:t>el</w:t>
      </w:r>
      <w:r>
        <w:rPr>
          <w:spacing w:val="-14"/>
        </w:rPr>
        <w:t> </w:t>
      </w:r>
      <w:r>
        <w:rPr/>
        <w:t>80%</w:t>
      </w:r>
      <w:r>
        <w:rPr>
          <w:spacing w:val="-12"/>
        </w:rPr>
        <w:t> </w:t>
      </w:r>
      <w:r>
        <w:rPr/>
        <w:t>central,</w:t>
      </w:r>
      <w:r>
        <w:rPr>
          <w:spacing w:val="-14"/>
        </w:rPr>
        <w:t> </w:t>
      </w:r>
      <w:r>
        <w:rPr/>
        <w:t>el</w:t>
      </w:r>
      <w:r>
        <w:rPr>
          <w:spacing w:val="-14"/>
        </w:rPr>
        <w:t> </w:t>
      </w:r>
      <w:r>
        <w:rPr/>
        <w:t>90%</w:t>
      </w:r>
      <w:r>
        <w:rPr>
          <w:spacing w:val="-14"/>
        </w:rPr>
        <w:t> </w:t>
      </w:r>
      <w:r>
        <w:rPr/>
        <w:t>central</w:t>
      </w:r>
      <w:r>
        <w:rPr>
          <w:spacing w:val="-16"/>
        </w:rPr>
        <w:t> </w:t>
      </w:r>
      <w:r>
        <w:rPr/>
        <w:t>y</w:t>
      </w:r>
      <w:r>
        <w:rPr>
          <w:spacing w:val="-15"/>
        </w:rPr>
        <w:t> </w:t>
      </w:r>
      <w:r>
        <w:rPr/>
        <w:t>el</w:t>
      </w:r>
      <w:r>
        <w:rPr>
          <w:spacing w:val="-14"/>
        </w:rPr>
        <w:t> </w:t>
      </w:r>
      <w:r>
        <w:rPr/>
        <w:t>95%</w:t>
      </w:r>
      <w:r>
        <w:rPr>
          <w:spacing w:val="-12"/>
        </w:rPr>
        <w:t> </w:t>
      </w:r>
      <w:r>
        <w:rPr/>
        <w:t>central.</w:t>
      </w:r>
    </w:p>
    <w:p>
      <w:pPr>
        <w:pStyle w:val="BodyText"/>
        <w:spacing w:before="3"/>
        <w:rPr>
          <w:sz w:val="24"/>
        </w:rPr>
      </w:pPr>
    </w:p>
    <w:p>
      <w:pPr>
        <w:pStyle w:val="BodyText"/>
        <w:spacing w:before="1"/>
        <w:ind w:left="102" w:right="114"/>
        <w:jc w:val="both"/>
      </w:pPr>
      <w:r>
        <w:rPr/>
        <w:t>EJEMPL0 Los datos de ventas de unidades centrales de aire acondicionado presentados en el ejemplo anterior son, en orden ascendente: 5, 8, 8, 11, 11, 11, 14, 16. En consecuencia, el número de observaciones es N= 8 en estos datos de la población. Para calcular el rango intercuartil, primero debemos determinar los valores en Q3 (el 75o. punto percentil) y Q1, (el 25o. punto percentil) y después restar Q1, de Q3:</w:t>
      </w:r>
    </w:p>
    <w:p>
      <w:pPr>
        <w:spacing w:after="0"/>
        <w:jc w:val="both"/>
        <w:sectPr>
          <w:pgSz w:w="12240" w:h="15840"/>
          <w:pgMar w:top="1360" w:bottom="280" w:left="1600" w:right="1580"/>
        </w:sectPr>
      </w:pPr>
    </w:p>
    <w:p>
      <w:pPr>
        <w:pStyle w:val="BodyText"/>
        <w:ind w:left="2465"/>
        <w:rPr>
          <w:sz w:val="20"/>
        </w:rPr>
      </w:pPr>
      <w:r>
        <w:rPr>
          <w:sz w:val="20"/>
        </w:rPr>
        <w:drawing>
          <wp:inline distT="0" distB="0" distL="0" distR="0">
            <wp:extent cx="2436454" cy="711517"/>
            <wp:effectExtent l="0" t="0" r="0" b="0"/>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24" cstate="print"/>
                    <a:stretch>
                      <a:fillRect/>
                    </a:stretch>
                  </pic:blipFill>
                  <pic:spPr>
                    <a:xfrm>
                      <a:off x="0" y="0"/>
                      <a:ext cx="2436454" cy="711517"/>
                    </a:xfrm>
                    <a:prstGeom prst="rect">
                      <a:avLst/>
                    </a:prstGeom>
                  </pic:spPr>
                </pic:pic>
              </a:graphicData>
            </a:graphic>
          </wp:inline>
        </w:drawing>
      </w:r>
      <w:r>
        <w:rPr>
          <w:sz w:val="20"/>
        </w:rPr>
      </w:r>
    </w:p>
    <w:sectPr>
      <w:pgSz w:w="12240" w:h="15840"/>
      <w:pgMar w:top="142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decimal"/>
      <w:lvlText w:val="%1"/>
      <w:lvlJc w:val="left"/>
      <w:pPr>
        <w:ind w:left="282" w:hanging="360"/>
        <w:jc w:val="left"/>
      </w:pPr>
      <w:rPr>
        <w:rFonts w:hint="default"/>
      </w:rPr>
    </w:lvl>
    <w:lvl w:ilvl="1">
      <w:start w:val="2"/>
      <w:numFmt w:val="decimal"/>
      <w:lvlText w:val="%1.%2"/>
      <w:lvlJc w:val="left"/>
      <w:pPr>
        <w:ind w:left="282" w:hanging="360"/>
        <w:jc w:val="left"/>
      </w:pPr>
      <w:rPr>
        <w:rFonts w:hint="default" w:ascii="Arial" w:hAnsi="Arial" w:eastAsia="Arial" w:cs="Arial"/>
        <w:b/>
        <w:bCs/>
        <w:color w:val="3366FF"/>
        <w:w w:val="100"/>
        <w:sz w:val="22"/>
        <w:szCs w:val="22"/>
      </w:rPr>
    </w:lvl>
    <w:lvl w:ilvl="2">
      <w:start w:val="1"/>
      <w:numFmt w:val="decimal"/>
      <w:lvlText w:val="%3."/>
      <w:lvlJc w:val="left"/>
      <w:pPr>
        <w:ind w:left="822" w:hanging="360"/>
        <w:jc w:val="left"/>
      </w:pPr>
      <w:rPr>
        <w:rFonts w:hint="default" w:ascii="Arial" w:hAnsi="Arial" w:eastAsia="Arial" w:cs="Arial"/>
        <w:b/>
        <w:bCs/>
        <w:color w:val="3366FF"/>
        <w:spacing w:val="-1"/>
        <w:w w:val="100"/>
        <w:sz w:val="22"/>
        <w:szCs w:val="22"/>
      </w:rPr>
    </w:lvl>
    <w:lvl w:ilvl="3">
      <w:start w:val="1"/>
      <w:numFmt w:val="bullet"/>
      <w:lvlText w:val="•"/>
      <w:lvlJc w:val="left"/>
      <w:pPr>
        <w:ind w:left="2130" w:hanging="360"/>
      </w:pPr>
      <w:rPr>
        <w:rFonts w:hint="default"/>
      </w:rPr>
    </w:lvl>
    <w:lvl w:ilvl="4">
      <w:start w:val="1"/>
      <w:numFmt w:val="bullet"/>
      <w:lvlText w:val="•"/>
      <w:lvlJc w:val="left"/>
      <w:pPr>
        <w:ind w:left="3120" w:hanging="360"/>
      </w:pPr>
      <w:rPr>
        <w:rFonts w:hint="default"/>
      </w:rPr>
    </w:lvl>
    <w:lvl w:ilvl="5">
      <w:start w:val="1"/>
      <w:numFmt w:val="bullet"/>
      <w:lvlText w:val="•"/>
      <w:lvlJc w:val="left"/>
      <w:pPr>
        <w:ind w:left="4110" w:hanging="360"/>
      </w:pPr>
      <w:rPr>
        <w:rFonts w:hint="default"/>
      </w:rPr>
    </w:lvl>
    <w:lvl w:ilvl="6">
      <w:start w:val="1"/>
      <w:numFmt w:val="bullet"/>
      <w:lvlText w:val="•"/>
      <w:lvlJc w:val="left"/>
      <w:pPr>
        <w:ind w:left="5100" w:hanging="360"/>
      </w:pPr>
      <w:rPr>
        <w:rFonts w:hint="default"/>
      </w:rPr>
    </w:lvl>
    <w:lvl w:ilvl="7">
      <w:start w:val="1"/>
      <w:numFmt w:val="bullet"/>
      <w:lvlText w:val="•"/>
      <w:lvlJc w:val="left"/>
      <w:pPr>
        <w:ind w:left="6090" w:hanging="360"/>
      </w:pPr>
      <w:rPr>
        <w:rFonts w:hint="default"/>
      </w:rPr>
    </w:lvl>
    <w:lvl w:ilvl="8">
      <w:start w:val="1"/>
      <w:numFmt w:val="bullet"/>
      <w:lvlText w:val="•"/>
      <w:lvlJc w:val="left"/>
      <w:pPr>
        <w:ind w:left="7080"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jc w:val="both"/>
      <w:outlineLvl w:val="1"/>
    </w:pPr>
    <w:rPr>
      <w:rFonts w:ascii="Arial" w:hAnsi="Arial" w:eastAsia="Arial" w:cs="Arial"/>
      <w:b/>
      <w:bCs/>
      <w:sz w:val="22"/>
      <w:szCs w:val="22"/>
    </w:rPr>
  </w:style>
  <w:style w:styleId="ListParagraph" w:type="paragraph">
    <w:name w:val="List Paragraph"/>
    <w:basedOn w:val="Normal"/>
    <w:uiPriority w:val="1"/>
    <w:qFormat/>
    <w:pPr>
      <w:spacing w:before="1"/>
      <w:ind w:left="822" w:right="115" w:hanging="360"/>
      <w:jc w:val="both"/>
    </w:pPr>
    <w:rPr>
      <w:rFonts w:ascii="Arial" w:hAnsi="Arial" w:eastAsia="Arial" w:cs="Arial"/>
    </w:rPr>
  </w:style>
  <w:style w:styleId="TableParagraph" w:type="paragraph">
    <w:name w:val="Table Paragraph"/>
    <w:basedOn w:val="Normal"/>
    <w:uiPriority w:val="1"/>
    <w:qFormat/>
    <w:pPr>
      <w:spacing w:before="57"/>
      <w:ind w:left="60" w:right="42"/>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image" Target="media/image12.jpe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jpeg"/><Relationship Id="rId20" Type="http://schemas.openxmlformats.org/officeDocument/2006/relationships/image" Target="media/image16.jpeg"/><Relationship Id="rId21" Type="http://schemas.openxmlformats.org/officeDocument/2006/relationships/image" Target="media/image17.jpeg"/><Relationship Id="rId22" Type="http://schemas.openxmlformats.org/officeDocument/2006/relationships/image" Target="media/image18.jpe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2017-05-27T20:51:28Z</dcterms:created>
  <dcterms:modified xsi:type="dcterms:W3CDTF">2017-05-27T20:51:28Z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