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52"/>
        <w:ind w:left="3688" w:right="3705" w:firstLine="0"/>
        <w:jc w:val="center"/>
        <w:rPr>
          <w:b/>
          <w:sz w:val="24"/>
        </w:rPr>
      </w:pPr>
      <w:r>
        <w:rPr>
          <w:b/>
          <w:sz w:val="24"/>
        </w:rPr>
        <w:t>CONCLUSIÓN</w:t>
      </w:r>
    </w:p>
    <w:p>
      <w:pPr>
        <w:pStyle w:val="BodyText"/>
        <w:spacing w:before="7"/>
        <w:rPr>
          <w:b/>
          <w:sz w:val="21"/>
        </w:rPr>
      </w:pPr>
    </w:p>
    <w:p>
      <w:pPr>
        <w:spacing w:before="74"/>
        <w:ind w:left="7003" w:right="116" w:firstLine="141"/>
        <w:jc w:val="right"/>
        <w:rPr>
          <w:rFonts w:ascii="Arial" w:hAnsi="Arial"/>
          <w:sz w:val="22"/>
        </w:rPr>
      </w:pPr>
      <w:r>
        <w:rPr>
          <w:rFonts w:ascii="Arial" w:hAnsi="Arial"/>
          <w:w w:val="80"/>
          <w:sz w:val="22"/>
        </w:rPr>
        <w:t>Javier Carreón Guillen</w:t>
      </w:r>
      <w:r>
        <w:rPr>
          <w:rFonts w:ascii="Arial" w:hAnsi="Arial"/>
          <w:w w:val="82"/>
          <w:sz w:val="22"/>
        </w:rPr>
        <w:t> </w:t>
      </w:r>
      <w:r>
        <w:rPr>
          <w:rFonts w:ascii="Arial" w:hAnsi="Arial"/>
          <w:w w:val="80"/>
          <w:sz w:val="22"/>
        </w:rPr>
        <w:t>Miguel Bautista Miranda</w:t>
      </w:r>
      <w:r>
        <w:rPr>
          <w:rFonts w:ascii="Arial" w:hAnsi="Arial"/>
          <w:w w:val="82"/>
          <w:sz w:val="22"/>
        </w:rPr>
        <w:t> </w:t>
      </w:r>
      <w:r>
        <w:rPr>
          <w:rFonts w:ascii="Arial" w:hAnsi="Arial"/>
          <w:w w:val="85"/>
          <w:sz w:val="22"/>
        </w:rPr>
        <w:t>Cruz García Lirios</w:t>
      </w:r>
    </w:p>
    <w:p>
      <w:pPr>
        <w:pStyle w:val="BodyText"/>
        <w:spacing w:before="9"/>
        <w:rPr>
          <w:rFonts w:ascii="Arial"/>
          <w:sz w:val="23"/>
        </w:rPr>
      </w:pPr>
    </w:p>
    <w:p>
      <w:pPr>
        <w:pStyle w:val="BodyText"/>
        <w:spacing w:line="276" w:lineRule="auto"/>
        <w:ind w:left="102" w:right="118"/>
        <w:jc w:val="both"/>
      </w:pPr>
      <w:r>
        <w:rPr/>
        <w:t>Los valores son los determinantes de las creencias. Los valores individualistas que favorecen el consumo hidrológico exclusivo e ilimitado para la satisfacción de las necesidades humanas inciden en las evaluaciones de equilibrio ecológico. Dicho hallazgo concuerda con el estudio llevado a cabo por Aoyagi, Vinken y Kuribayashi (2003) con muestras de Japón, demostraron que los valores individualistas predicen directa, positiva y significativamente (β = .18; p = .001) las creencias antropocéntricas.</w:t>
      </w:r>
    </w:p>
    <w:p>
      <w:pPr>
        <w:pStyle w:val="BodyText"/>
        <w:spacing w:before="8"/>
      </w:pPr>
    </w:p>
    <w:p>
      <w:pPr>
        <w:pStyle w:val="BodyText"/>
        <w:spacing w:line="276" w:lineRule="auto"/>
        <w:ind w:left="102" w:right="120"/>
        <w:jc w:val="both"/>
      </w:pPr>
      <w:r>
        <w:rPr/>
        <w:t>Los valores biosféricos que favorecen el consumo hidrológico compartido e ilimitado para la satisfacción de las necesidades humanas influyen en las evaluaciones en torno a una distribución hidrológica equitativa entre las especies animales y vegetales. Este hallazgo es novedoso porque no se encuentra reportado por alguno de los estudios revisados.</w:t>
      </w:r>
    </w:p>
    <w:p>
      <w:pPr>
        <w:pStyle w:val="BodyText"/>
        <w:spacing w:before="8"/>
      </w:pPr>
    </w:p>
    <w:p>
      <w:pPr>
        <w:pStyle w:val="BodyText"/>
        <w:spacing w:line="276" w:lineRule="auto"/>
        <w:ind w:left="102" w:right="120"/>
        <w:jc w:val="both"/>
      </w:pPr>
      <w:r>
        <w:rPr/>
        <w:t>Las percepciones sólo determinan las creencias antropocéntricas. Tanto las expectativas de beneficio personal como las expectativas de riesgo individual inciden en las creencias en torno a un desequilibrio hidrológico entre las especies. Ambos hallazgos son novedosos porque no se encontraron estudios que relacionen las variables preceptúales con las variables evaluativas.</w:t>
      </w:r>
    </w:p>
    <w:p>
      <w:pPr>
        <w:pStyle w:val="BodyText"/>
        <w:spacing w:before="8"/>
      </w:pPr>
    </w:p>
    <w:p>
      <w:pPr>
        <w:pStyle w:val="BodyText"/>
        <w:spacing w:line="273" w:lineRule="auto"/>
        <w:ind w:left="102" w:right="116"/>
        <w:jc w:val="both"/>
      </w:pPr>
      <w:r>
        <w:rPr/>
        <w:t>Precisamente, la relevancia de los hallazgos respecto al diseño y verosimilitud de  un modelo para explicar la exclusión e inclusión hidrológica se discute en la siguiente sección.</w:t>
      </w:r>
    </w:p>
    <w:p>
      <w:pPr>
        <w:pStyle w:val="BodyText"/>
        <w:spacing w:before="10"/>
      </w:pPr>
    </w:p>
    <w:p>
      <w:pPr>
        <w:pStyle w:val="BodyText"/>
        <w:spacing w:line="276" w:lineRule="auto" w:before="1"/>
        <w:ind w:left="102" w:right="121"/>
        <w:jc w:val="both"/>
      </w:pPr>
      <w:r>
        <w:rPr/>
        <w:t>Los hallazgos expuestos (los valores como determinantes de las creencias) permiten la elaboración de un modelo para explicar tanto la exclusión hidrológica (proceso cognitivo a favor de una competencia desleal por los recursos entre las especies y una distribución sesgada a las necesidades de las zonas opulentas que impide el desarrollo sostenible) como la inclusión hidrológica (proceso cognitivo a favor de una distribución equilibrada del agua entre las especies actuales y futuras).</w:t>
      </w:r>
    </w:p>
    <w:p>
      <w:pPr>
        <w:pStyle w:val="BodyText"/>
        <w:spacing w:before="8"/>
      </w:pPr>
    </w:p>
    <w:p>
      <w:pPr>
        <w:pStyle w:val="BodyText"/>
        <w:spacing w:line="276" w:lineRule="auto"/>
        <w:ind w:left="102" w:right="119"/>
        <w:jc w:val="both"/>
      </w:pPr>
      <w:r>
        <w:rPr/>
        <w:t>Un modelo se construye a partir de las relaciones asociadas y/o regresivas entre las variables. Las relaciones significativas permiten establecer hipótesis de concomitancia que se demuestran cuando existe un ajuste compatible con los datos observados.</w:t>
      </w:r>
    </w:p>
    <w:p>
      <w:pPr>
        <w:pStyle w:val="BodyText"/>
        <w:spacing w:before="8"/>
      </w:pPr>
    </w:p>
    <w:p>
      <w:pPr>
        <w:pStyle w:val="BodyText"/>
        <w:spacing w:line="273" w:lineRule="auto"/>
        <w:ind w:left="102" w:right="114"/>
        <w:jc w:val="both"/>
      </w:pPr>
      <w:r>
        <w:rPr/>
        <w:t>Los valores individualistas pueden ser relacionados con las creencias  antropocéntricas como variables antecedentes esperándose un efecto directo, positivo y significativo.  Además pueden ser relacionados con los valores biosféricos como covariables esperándose una asociación</w:t>
      </w:r>
      <w:r>
        <w:rPr>
          <w:spacing w:val="-3"/>
        </w:rPr>
        <w:t> </w:t>
      </w:r>
      <w:r>
        <w:rPr/>
        <w:t>mínima.</w:t>
      </w:r>
    </w:p>
    <w:p>
      <w:pPr>
        <w:spacing w:after="0" w:line="273" w:lineRule="auto"/>
        <w:jc w:val="both"/>
        <w:sectPr>
          <w:type w:val="continuous"/>
          <w:pgSz w:w="12240" w:h="15840"/>
          <w:pgMar w:top="1360" w:bottom="280" w:left="1600" w:right="1580"/>
        </w:sectPr>
      </w:pPr>
    </w:p>
    <w:p>
      <w:pPr>
        <w:pStyle w:val="BodyText"/>
        <w:spacing w:line="276" w:lineRule="auto" w:before="50"/>
        <w:ind w:left="102" w:right="121"/>
        <w:jc w:val="both"/>
      </w:pPr>
      <w:r>
        <w:rPr/>
        <w:t>Los valores biosféricos pueden ser relacionados con las creencias ecocéntricas como variables antecedentes esperándose una influencia positiva y significativa. Pueden ser relacionados con los valores individualistas esperándose una incidencia espuria.</w:t>
      </w:r>
    </w:p>
    <w:p>
      <w:pPr>
        <w:pStyle w:val="BodyText"/>
        <w:spacing w:before="8"/>
      </w:pPr>
    </w:p>
    <w:p>
      <w:pPr>
        <w:pStyle w:val="BodyText"/>
        <w:spacing w:line="273" w:lineRule="auto"/>
        <w:ind w:left="102" w:right="126"/>
        <w:jc w:val="both"/>
      </w:pPr>
      <w:r>
        <w:rPr/>
        <w:t>Debido a que las creencias han determinado las intenciones y las habilidades de ahorro de agua, el modelo podría incluir dos trayectorias.</w:t>
      </w:r>
    </w:p>
    <w:p>
      <w:pPr>
        <w:pStyle w:val="BodyText"/>
      </w:pPr>
    </w:p>
    <w:p>
      <w:pPr>
        <w:spacing w:line="271" w:lineRule="auto" w:before="0"/>
        <w:ind w:left="102" w:right="117" w:firstLine="0"/>
        <w:jc w:val="both"/>
        <w:rPr>
          <w:sz w:val="24"/>
        </w:rPr>
      </w:pPr>
      <w:r>
        <w:rPr>
          <w:i/>
          <w:sz w:val="24"/>
        </w:rPr>
        <w:t>Trayectoria primera: valores biosféricos </w:t>
      </w:r>
      <w:r>
        <w:rPr>
          <w:rFonts w:ascii="Symbol" w:hAnsi="Symbol"/>
          <w:i/>
          <w:sz w:val="25"/>
        </w:rPr>
        <w:t></w:t>
      </w:r>
      <w:r>
        <w:rPr>
          <w:i/>
          <w:sz w:val="25"/>
        </w:rPr>
        <w:t> </w:t>
      </w:r>
      <w:r>
        <w:rPr>
          <w:i/>
          <w:sz w:val="24"/>
        </w:rPr>
        <w:t>creencias ecocéntricas </w:t>
      </w:r>
      <w:r>
        <w:rPr>
          <w:rFonts w:ascii="Symbol" w:hAnsi="Symbol"/>
          <w:i/>
          <w:sz w:val="25"/>
        </w:rPr>
        <w:t></w:t>
      </w:r>
      <w:r>
        <w:rPr>
          <w:i/>
          <w:sz w:val="25"/>
        </w:rPr>
        <w:t> </w:t>
      </w:r>
      <w:r>
        <w:rPr>
          <w:i/>
          <w:sz w:val="24"/>
        </w:rPr>
        <w:t>intenciones de </w:t>
      </w:r>
      <w:r>
        <w:rPr>
          <w:i/>
          <w:sz w:val="24"/>
        </w:rPr>
        <w:t>ahorro de agua </w:t>
      </w:r>
      <w:r>
        <w:rPr>
          <w:rFonts w:ascii="Symbol" w:hAnsi="Symbol"/>
          <w:i/>
          <w:sz w:val="25"/>
        </w:rPr>
        <w:t></w:t>
      </w:r>
      <w:r>
        <w:rPr>
          <w:i/>
          <w:sz w:val="25"/>
        </w:rPr>
        <w:t> </w:t>
      </w:r>
      <w:r>
        <w:rPr>
          <w:i/>
          <w:sz w:val="24"/>
        </w:rPr>
        <w:t>habilidades de ahorro. </w:t>
      </w:r>
      <w:r>
        <w:rPr>
          <w:sz w:val="24"/>
        </w:rPr>
        <w:t>Esta trayectoria explicaría el proceso de inclusión hidrológica que se fundamenta por los principios de conservación, la evaluación de la información favorable al equilibrio hidrológico, la probabilidad de llevar a cabo dichos principios y evaluaciones y el comportamiento sistemático de</w:t>
      </w:r>
      <w:r>
        <w:rPr>
          <w:spacing w:val="-12"/>
          <w:sz w:val="24"/>
        </w:rPr>
        <w:t> </w:t>
      </w:r>
      <w:r>
        <w:rPr>
          <w:sz w:val="24"/>
        </w:rPr>
        <w:t>preservación.</w:t>
      </w:r>
    </w:p>
    <w:p>
      <w:pPr>
        <w:pStyle w:val="BodyText"/>
        <w:spacing w:before="3"/>
      </w:pPr>
    </w:p>
    <w:p>
      <w:pPr>
        <w:spacing w:line="273" w:lineRule="auto" w:before="0"/>
        <w:ind w:left="102" w:right="0" w:firstLine="0"/>
        <w:jc w:val="left"/>
        <w:rPr>
          <w:sz w:val="24"/>
        </w:rPr>
      </w:pPr>
      <w:r>
        <w:rPr>
          <w:i/>
          <w:sz w:val="24"/>
        </w:rPr>
        <w:t>Trayectoria segunda: valores individualistas </w:t>
      </w:r>
      <w:r>
        <w:rPr>
          <w:rFonts w:ascii="Symbol" w:hAnsi="Symbol"/>
          <w:i/>
          <w:sz w:val="25"/>
        </w:rPr>
        <w:t></w:t>
      </w:r>
      <w:r>
        <w:rPr>
          <w:i/>
          <w:sz w:val="25"/>
        </w:rPr>
        <w:t> </w:t>
      </w:r>
      <w:r>
        <w:rPr>
          <w:i/>
          <w:sz w:val="24"/>
        </w:rPr>
        <w:t>creencias antropocéntricas </w:t>
      </w:r>
      <w:r>
        <w:rPr>
          <w:rFonts w:ascii="Symbol" w:hAnsi="Symbol"/>
          <w:i/>
          <w:sz w:val="25"/>
        </w:rPr>
        <w:t></w:t>
      </w:r>
      <w:r>
        <w:rPr>
          <w:i/>
          <w:sz w:val="25"/>
        </w:rPr>
        <w:t> </w:t>
      </w:r>
      <w:r>
        <w:rPr>
          <w:i/>
          <w:sz w:val="24"/>
        </w:rPr>
        <w:t>intenciones </w:t>
      </w:r>
      <w:r>
        <w:rPr>
          <w:i/>
          <w:sz w:val="24"/>
        </w:rPr>
        <w:t>de desperdicio de agua </w:t>
      </w:r>
      <w:r>
        <w:rPr>
          <w:rFonts w:ascii="Symbol" w:hAnsi="Symbol"/>
          <w:i/>
          <w:sz w:val="25"/>
        </w:rPr>
        <w:t></w:t>
      </w:r>
      <w:r>
        <w:rPr>
          <w:i/>
          <w:sz w:val="25"/>
        </w:rPr>
        <w:t> </w:t>
      </w:r>
      <w:r>
        <w:rPr>
          <w:i/>
          <w:sz w:val="24"/>
        </w:rPr>
        <w:t>habilidades de dispendio. </w:t>
      </w:r>
      <w:r>
        <w:rPr>
          <w:sz w:val="24"/>
        </w:rPr>
        <w:t>Esta trayectoria explicaría la exclusión hidrológica que se fundamenta a partir de los principios de depredación, la evaluación favorable de la información en torno a la disponibilidad del agua para consumo humano, la probabilidad de llevar a cabo las evaluaciones en función de lo que se valora y el comportamiento sistemático de derroche de agua.</w:t>
      </w:r>
    </w:p>
    <w:sectPr>
      <w:pgSz w:w="12240" w:h="15840"/>
      <w:pgMar w:top="1360" w:bottom="280" w:left="1600" w:right="15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MTBAUTISTA</dc:creator>
  <dcterms:created xsi:type="dcterms:W3CDTF">2017-05-29T21:47:30Z</dcterms:created>
  <dcterms:modified xsi:type="dcterms:W3CDTF">2017-05-29T21:47:30Z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2016-02-18T00:00:00Z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2017-05-29T00:00:00Z</vt:filetime>
  </property>
</Properties>
</file>