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21"/>
        <w:rPr>
          <w:rFonts w:ascii="Times New Roman"/>
          <w:sz w:val="20"/>
        </w:rPr>
      </w:pPr>
      <w:bookmarkStart w:name="2. CAPITULO-DE-LIBRO-RED" w:id="1"/>
      <w:bookmarkEnd w:id="1"/>
      <w:r>
        <w:rPr/>
      </w:r>
      <w:r>
        <w:rPr>
          <w:rFonts w:ascii="Times New Roman"/>
          <w:sz w:val="20"/>
        </w:rPr>
        <w:drawing>
          <wp:inline distT="0" distB="0" distL="0" distR="0">
            <wp:extent cx="4864608" cy="7639811"/>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864608" cy="7639811"/>
                    </a:xfrm>
                    <a:prstGeom prst="rect">
                      <a:avLst/>
                    </a:prstGeom>
                  </pic:spPr>
                </pic:pic>
              </a:graphicData>
            </a:graphic>
          </wp:inline>
        </w:drawing>
      </w:r>
      <w:r>
        <w:rPr>
          <w:rFonts w:ascii="Times New Roman"/>
          <w:sz w:val="20"/>
        </w:rPr>
      </w:r>
    </w:p>
    <w:p>
      <w:pPr>
        <w:spacing w:after="0"/>
        <w:rPr>
          <w:rFonts w:ascii="Times New Roman"/>
          <w:sz w:val="20"/>
        </w:rPr>
        <w:sectPr>
          <w:type w:val="continuous"/>
          <w:pgSz w:w="7680" w:h="12040"/>
          <w:pgMar w:top="0" w:bottom="0" w:left="0" w:right="0"/>
        </w:sectPr>
      </w:pPr>
    </w:p>
    <w:p>
      <w:pPr>
        <w:pStyle w:val="BodyText"/>
        <w:ind w:right="-30"/>
        <w:rPr>
          <w:rFonts w:ascii="Times New Roman"/>
          <w:sz w:val="20"/>
        </w:rPr>
      </w:pPr>
      <w:r>
        <w:rPr>
          <w:rFonts w:ascii="Times New Roman"/>
          <w:sz w:val="20"/>
        </w:rPr>
        <w:drawing>
          <wp:inline distT="0" distB="0" distL="0" distR="0">
            <wp:extent cx="8426196" cy="7562088"/>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426196" cy="7562088"/>
                    </a:xfrm>
                    <a:prstGeom prst="rect">
                      <a:avLst/>
                    </a:prstGeom>
                  </pic:spPr>
                </pic:pic>
              </a:graphicData>
            </a:graphic>
          </wp:inline>
        </w:drawing>
      </w:r>
      <w:r>
        <w:rPr>
          <w:rFonts w:ascii="Times New Roman"/>
          <w:sz w:val="20"/>
        </w:rPr>
      </w:r>
    </w:p>
    <w:p>
      <w:pPr>
        <w:spacing w:after="0"/>
        <w:rPr>
          <w:rFonts w:ascii="Times New Roman"/>
          <w:sz w:val="20"/>
        </w:rPr>
        <w:sectPr>
          <w:pgSz w:w="13280" w:h="11920" w:orient="landscape"/>
          <w:pgMar w:top="20" w:bottom="0" w:left="0" w:right="0"/>
        </w:sectPr>
      </w:pPr>
    </w:p>
    <w:p>
      <w:pPr>
        <w:pStyle w:val="BodyText"/>
        <w:rPr>
          <w:rFonts w:ascii="Times New Roman"/>
          <w:sz w:val="20"/>
        </w:rPr>
      </w:pPr>
      <w:r>
        <w:rPr>
          <w:rFonts w:ascii="Times New Roman"/>
          <w:sz w:val="20"/>
        </w:rPr>
        <w:drawing>
          <wp:inline distT="0" distB="0" distL="0" distR="0">
            <wp:extent cx="5143500" cy="7594092"/>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143500" cy="7594092"/>
                    </a:xfrm>
                    <a:prstGeom prst="rect">
                      <a:avLst/>
                    </a:prstGeom>
                  </pic:spPr>
                </pic:pic>
              </a:graphicData>
            </a:graphic>
          </wp:inline>
        </w:drawing>
      </w:r>
      <w:r>
        <w:rPr>
          <w:rFonts w:ascii="Times New Roman"/>
          <w:sz w:val="20"/>
        </w:rPr>
      </w:r>
    </w:p>
    <w:p>
      <w:pPr>
        <w:spacing w:after="0"/>
        <w:rPr>
          <w:rFonts w:ascii="Times New Roman"/>
          <w:sz w:val="20"/>
        </w:rPr>
        <w:sectPr>
          <w:pgSz w:w="8100" w:h="11960"/>
          <w:pgMar w:top="0" w:bottom="0" w:left="0" w:right="0"/>
        </w:sectPr>
      </w:pPr>
    </w:p>
    <w:p>
      <w:pPr>
        <w:pStyle w:val="BodyText"/>
        <w:spacing w:before="1"/>
        <w:ind w:right="0"/>
        <w:rPr>
          <w:rFonts w:ascii="Times New Roman"/>
          <w:sz w:val="28"/>
        </w:rPr>
      </w:pPr>
    </w:p>
    <w:p>
      <w:pPr>
        <w:pStyle w:val="BodyText"/>
        <w:spacing w:line="276" w:lineRule="auto" w:before="70"/>
        <w:ind w:left="101" w:right="117"/>
        <w:jc w:val="both"/>
      </w:pPr>
      <w:bookmarkStart w:name="capitulo jenaro rediem1" w:id="2"/>
      <w:bookmarkEnd w:id="2"/>
      <w:r>
        <w:rPr/>
      </w:r>
      <w:r>
        <w:rPr/>
        <w:t>3</w:t>
      </w:r>
      <w:r>
        <w:rPr>
          <w:spacing w:val="-16"/>
        </w:rPr>
        <w:t> </w:t>
      </w:r>
      <w:r>
        <w:rPr/>
        <w:t>En</w:t>
      </w:r>
      <w:r>
        <w:rPr>
          <w:spacing w:val="-16"/>
        </w:rPr>
        <w:t> </w:t>
      </w:r>
      <w:r>
        <w:rPr/>
        <w:t>el</w:t>
      </w:r>
      <w:r>
        <w:rPr>
          <w:spacing w:val="-15"/>
        </w:rPr>
        <w:t> </w:t>
      </w:r>
      <w:r>
        <w:rPr/>
        <w:t>libro</w:t>
      </w:r>
      <w:r>
        <w:rPr>
          <w:spacing w:val="-16"/>
        </w:rPr>
        <w:t> </w:t>
      </w:r>
      <w:r>
        <w:rPr>
          <w:i/>
        </w:rPr>
        <w:t>REDIEEM</w:t>
      </w:r>
      <w:r>
        <w:rPr>
          <w:i/>
          <w:spacing w:val="-16"/>
        </w:rPr>
        <w:t> </w:t>
      </w:r>
      <w:r>
        <w:rPr>
          <w:i/>
        </w:rPr>
        <w:t>Red</w:t>
      </w:r>
      <w:r>
        <w:rPr>
          <w:i/>
          <w:spacing w:val="-16"/>
        </w:rPr>
        <w:t> </w:t>
      </w:r>
      <w:r>
        <w:rPr>
          <w:i/>
        </w:rPr>
        <w:t>Pedagógica</w:t>
      </w:r>
      <w:r>
        <w:rPr>
          <w:i/>
          <w:spacing w:val="-16"/>
        </w:rPr>
        <w:t> </w:t>
      </w:r>
      <w:r>
        <w:rPr>
          <w:i/>
        </w:rPr>
        <w:t>en</w:t>
      </w:r>
      <w:r>
        <w:rPr>
          <w:i/>
          <w:spacing w:val="-16"/>
        </w:rPr>
        <w:t> </w:t>
      </w:r>
      <w:r>
        <w:rPr>
          <w:i/>
        </w:rPr>
        <w:t>Perspectiva</w:t>
      </w:r>
      <w:r>
        <w:rPr>
          <w:i/>
          <w:spacing w:val="-16"/>
        </w:rPr>
        <w:t> </w:t>
      </w:r>
      <w:r>
        <w:rPr>
          <w:i/>
        </w:rPr>
        <w:t>Latinoamericana.</w:t>
      </w:r>
      <w:r>
        <w:rPr>
          <w:i/>
          <w:spacing w:val="-16"/>
        </w:rPr>
        <w:t> </w:t>
      </w:r>
      <w:r>
        <w:rPr>
          <w:i/>
        </w:rPr>
        <w:t>Presencia </w:t>
      </w:r>
      <w:r>
        <w:rPr>
          <w:i/>
        </w:rPr>
        <w:t>que hace historia </w:t>
      </w:r>
      <w:r>
        <w:rPr/>
        <w:t>aparece un pequeño capítulo de Jenaro Reynoso Jaime titulado: “Agitaciones en la conceptualización de la práctica docente: el caso de alumnos de maestría en la Universidad Autónoma del Estado de México”. En este el autor recupera la experiencia de haber trabajado en la formación de docentes de educación media superior en el contexto de la reforma reciente de ese nivel educativo. Al entrar en contacto con los docentes a través de un programa de posgrado el autor reconoce el impacto de la reforma en la formación y la práctica educativa,</w:t>
      </w:r>
      <w:r>
        <w:rPr>
          <w:spacing w:val="-8"/>
        </w:rPr>
        <w:t> </w:t>
      </w:r>
      <w:r>
        <w:rPr/>
        <w:t>en</w:t>
      </w:r>
      <w:r>
        <w:rPr>
          <w:spacing w:val="-8"/>
        </w:rPr>
        <w:t> </w:t>
      </w:r>
      <w:r>
        <w:rPr/>
        <w:t>el</w:t>
      </w:r>
      <w:r>
        <w:rPr>
          <w:spacing w:val="-8"/>
        </w:rPr>
        <w:t> </w:t>
      </w:r>
      <w:r>
        <w:rPr/>
        <w:t>cual</w:t>
      </w:r>
      <w:r>
        <w:rPr>
          <w:spacing w:val="-8"/>
        </w:rPr>
        <w:t> </w:t>
      </w:r>
      <w:r>
        <w:rPr/>
        <w:t>se</w:t>
      </w:r>
      <w:r>
        <w:rPr>
          <w:spacing w:val="-8"/>
        </w:rPr>
        <w:t> </w:t>
      </w:r>
      <w:r>
        <w:rPr/>
        <w:t>observan</w:t>
      </w:r>
      <w:r>
        <w:rPr>
          <w:spacing w:val="-8"/>
        </w:rPr>
        <w:t> </w:t>
      </w:r>
      <w:r>
        <w:rPr/>
        <w:t>niveles</w:t>
      </w:r>
      <w:r>
        <w:rPr>
          <w:spacing w:val="-8"/>
        </w:rPr>
        <w:t> </w:t>
      </w:r>
      <w:r>
        <w:rPr/>
        <w:t>que</w:t>
      </w:r>
      <w:r>
        <w:rPr>
          <w:spacing w:val="-8"/>
        </w:rPr>
        <w:t> </w:t>
      </w:r>
      <w:r>
        <w:rPr/>
        <w:t>van</w:t>
      </w:r>
      <w:r>
        <w:rPr>
          <w:spacing w:val="-8"/>
        </w:rPr>
        <w:t> </w:t>
      </w:r>
      <w:r>
        <w:rPr/>
        <w:t>desde</w:t>
      </w:r>
      <w:r>
        <w:rPr>
          <w:spacing w:val="-8"/>
        </w:rPr>
        <w:t> </w:t>
      </w:r>
      <w:r>
        <w:rPr/>
        <w:t>la</w:t>
      </w:r>
      <w:r>
        <w:rPr>
          <w:spacing w:val="-8"/>
        </w:rPr>
        <w:t> </w:t>
      </w:r>
      <w:r>
        <w:rPr/>
        <w:t>crítica</w:t>
      </w:r>
      <w:r>
        <w:rPr>
          <w:spacing w:val="-8"/>
        </w:rPr>
        <w:t> </w:t>
      </w:r>
      <w:r>
        <w:rPr/>
        <w:t>acérrima</w:t>
      </w:r>
      <w:r>
        <w:rPr>
          <w:spacing w:val="-8"/>
        </w:rPr>
        <w:t> </w:t>
      </w:r>
      <w:r>
        <w:rPr/>
        <w:t>hasta</w:t>
      </w:r>
      <w:r>
        <w:rPr>
          <w:spacing w:val="-8"/>
        </w:rPr>
        <w:t> </w:t>
      </w:r>
      <w:r>
        <w:rPr/>
        <w:t>la adopción acrítica del</w:t>
      </w:r>
      <w:r>
        <w:rPr>
          <w:spacing w:val="-1"/>
        </w:rPr>
        <w:t> </w:t>
      </w:r>
      <w:r>
        <w:rPr/>
        <w:t>enfoque.</w:t>
      </w:r>
    </w:p>
    <w:p>
      <w:pPr>
        <w:pStyle w:val="BodyText"/>
        <w:spacing w:line="276" w:lineRule="auto" w:before="161"/>
        <w:ind w:left="101" w:right="118" w:firstLine="66"/>
        <w:jc w:val="both"/>
      </w:pPr>
      <w:r>
        <w:rPr/>
        <w:t>Jenaro Reynoso Jaime es doctor, maestro y licenciado en historia. Investigador adscrito al Instituto de Estudios sobre la Universidad de la UAEméx. Su línea de investigación es Teoría y práctica de la educación histórica y puedes contactarlo a través de los correos </w:t>
      </w:r>
      <w:hyperlink r:id="rId8">
        <w:r>
          <w:rPr>
            <w:color w:val="0563C1"/>
            <w:u w:val="single" w:color="0563C1"/>
          </w:rPr>
          <w:t>jreynosoj@uaemex.mx </w:t>
        </w:r>
      </w:hyperlink>
      <w:r>
        <w:rPr/>
        <w:t>y </w:t>
      </w:r>
      <w:hyperlink r:id="rId9">
        <w:r>
          <w:rPr>
            <w:color w:val="0563C1"/>
            <w:u w:val="single" w:color="0563C1"/>
          </w:rPr>
          <w:t>rjenaro@hotmail.com</w:t>
        </w:r>
      </w:hyperlink>
    </w:p>
    <w:sectPr>
      <w:pgSz w:w="12240" w:h="15840"/>
      <w:pgMar w:top="150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right="-40"/>
    </w:pPr>
    <w:rPr>
      <w:rFonts w:ascii="Arial" w:hAnsi="Arial" w:eastAsia="Arial" w:cs="Arial"/>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yperlink" Target="mailto:jreynosoj@uaemex.mx" TargetMode="External"/><Relationship Id="rId9" Type="http://schemas.openxmlformats.org/officeDocument/2006/relationships/hyperlink" Target="mailto:rjenaro@hot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2017-05-24T01:39:15Z</dcterms:created>
  <dcterms:modified xsi:type="dcterms:W3CDTF">2017-05-24T01:39:15Z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2016-02-25T00:00:00Z</vt:filetime>
  </property>
  <property fmtid="{D5CDD505-2E9C-101B-9397-08002B2CF9AE}" pid="3" name="Creator">
    <vt:lpwstr>PScript5.dll Version 5.2.2</vt:lpwstr>
  </property>
  <property fmtid="{D5CDD505-2E9C-101B-9397-08002B2CF9AE}" pid="4" name="LastSaved">
    <vt:filetime>2017-05-23T00:00:00Z</vt:filetime>
  </property>
</Properties>
</file>