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spacing w:after="0"/>
        <w:rPr>
          <w:sz w:val="20"/>
        </w:rPr>
        <w:sectPr>
          <w:type w:val="continuous"/>
          <w:pgSz w:w="12240" w:h="15840"/>
          <w:pgMar w:top="1500" w:bottom="280" w:left="1600" w:right="1580"/>
        </w:sectPr>
      </w:pPr>
    </w:p>
    <w:p>
      <w:pPr>
        <w:spacing w:before="165"/>
        <w:ind w:left="2785" w:right="-17" w:firstLine="0"/>
        <w:jc w:val="left"/>
        <w:rPr>
          <w:b/>
          <w:sz w:val="40"/>
        </w:rPr>
      </w:pPr>
      <w:r>
        <w:rPr>
          <w:b/>
          <w:sz w:val="40"/>
        </w:rPr>
        <w:t>HIPERMETROPÍA</w:t>
      </w:r>
    </w:p>
    <w:p>
      <w:pPr>
        <w:pStyle w:val="BodyText"/>
        <w:rPr>
          <w:b/>
          <w:sz w:val="22"/>
        </w:rPr>
      </w:pPr>
      <w:r>
        <w:rPr/>
        <w:br w:type="column"/>
      </w:r>
      <w:r>
        <w:rPr>
          <w:b/>
          <w:sz w:val="22"/>
        </w:rPr>
      </w:r>
    </w:p>
    <w:p>
      <w:pPr>
        <w:pStyle w:val="BodyText"/>
        <w:rPr>
          <w:b/>
          <w:sz w:val="22"/>
        </w:rPr>
      </w:pPr>
    </w:p>
    <w:p>
      <w:pPr>
        <w:spacing w:before="184"/>
        <w:ind w:left="701" w:right="99" w:hanging="120"/>
        <w:jc w:val="left"/>
        <w:rPr>
          <w:sz w:val="22"/>
        </w:rPr>
      </w:pPr>
      <w:r>
        <w:rPr>
          <w:sz w:val="22"/>
        </w:rPr>
        <w:t>Israel Gutiérrez Alonso Martín Sánchez Villal</w:t>
      </w:r>
    </w:p>
    <w:p>
      <w:pPr>
        <w:spacing w:after="0"/>
        <w:jc w:val="left"/>
        <w:rPr>
          <w:sz w:val="22"/>
        </w:rPr>
        <w:sectPr>
          <w:type w:val="continuous"/>
          <w:pgSz w:w="12240" w:h="15840"/>
          <w:pgMar w:top="1500" w:bottom="280" w:left="1600" w:right="1580"/>
          <w:cols w:num="2" w:equalWidth="0">
            <w:col w:w="6255" w:space="40"/>
            <w:col w:w="2765"/>
          </w:cols>
        </w:sectPr>
      </w:pPr>
    </w:p>
    <w:p>
      <w:pPr>
        <w:spacing w:before="1"/>
        <w:ind w:left="102" w:right="0" w:firstLine="5921"/>
        <w:jc w:val="left"/>
        <w:rPr>
          <w:sz w:val="22"/>
        </w:rPr>
      </w:pPr>
      <w:r>
        <w:rPr>
          <w:sz w:val="22"/>
        </w:rPr>
        <w:t>Marla Nadxielii Arévalo Moreno</w:t>
      </w:r>
    </w:p>
    <w:p>
      <w:pPr>
        <w:pStyle w:val="BodyText"/>
        <w:spacing w:before="1"/>
      </w:pPr>
    </w:p>
    <w:p>
      <w:pPr>
        <w:pStyle w:val="BodyText"/>
        <w:spacing w:line="276" w:lineRule="auto" w:before="1"/>
        <w:ind w:left="102" w:right="118"/>
        <w:jc w:val="both"/>
      </w:pPr>
      <w:r>
        <w:rPr/>
        <w:t>La escasez y el desabasto de agua son problemáticas globales y locales cuyos efectos en la cognición; creencias, percepciones, conocimientos, actitudes, motivaciones e intención han sido objeto de estudio de la psicología (véase figura 1). Específicamente, la psicología ambiental, la psicología de la sustentabilidad y la psicología hídrica han explicado las relaciones causales entre la disponibilidad hídrica y las cogniciones (Brody, Highfield &amp; Peck, 2004).</w:t>
      </w:r>
    </w:p>
    <w:p>
      <w:pPr>
        <w:pStyle w:val="BodyText"/>
        <w:spacing w:before="8"/>
      </w:pPr>
    </w:p>
    <w:p>
      <w:pPr>
        <w:spacing w:line="276" w:lineRule="auto" w:before="0"/>
        <w:ind w:left="102" w:right="117" w:firstLine="0"/>
        <w:jc w:val="both"/>
        <w:rPr>
          <w:i/>
          <w:sz w:val="24"/>
        </w:rPr>
      </w:pPr>
      <w:r>
        <w:rPr>
          <w:sz w:val="24"/>
        </w:rPr>
        <w:t>Los estudios psicológicos de la sustentabilidad hídrica han definido a la cognición como </w:t>
      </w:r>
      <w:r>
        <w:rPr>
          <w:i/>
          <w:sz w:val="24"/>
        </w:rPr>
        <w:t>un </w:t>
      </w:r>
      <w:r>
        <w:rPr>
          <w:i/>
          <w:sz w:val="24"/>
        </w:rPr>
        <w:t>proceso deliberado, planificado y sistemático en el que las creencias (información disponible sobre la problemática susceptible de ser considerada falsa o verdadera), percepción (expectativas en torno a las consecuencias de las situaciones hídricas), motivos (extrínsecos tales como el cuidado de agua para ahorrar dinero ó intrínsecos tales como la conservación de agua para que los hijos puedan usarla en el futuro), actitudes (disposiciones relativas a evaluaciones de situaciones o comportamientos frente a la escasez y desabasto de agua), conocimientos (manejo de información alusiva a la situación hídrica) e intención (decisiones de inacción o acción frente a la escasez y desabasto de agua) predicen el dispendio o ahorro de agua según las relaciones existentes entre las variables.</w:t>
      </w:r>
    </w:p>
    <w:p>
      <w:pPr>
        <w:pStyle w:val="BodyText"/>
        <w:spacing w:before="8"/>
        <w:rPr>
          <w:i/>
        </w:rPr>
      </w:pPr>
    </w:p>
    <w:p>
      <w:pPr>
        <w:pStyle w:val="BodyText"/>
        <w:spacing w:line="276" w:lineRule="auto"/>
        <w:ind w:left="102" w:right="119"/>
        <w:jc w:val="both"/>
      </w:pPr>
      <w:r>
        <w:rPr/>
        <w:t>A medida que la información sobre sequías incide en las expectativas de disponibilidad, afectan la disposición de optimizar agua. El resultado sería un ahorro intermitente de agua ya que la información sobre sequías puede ser contrarrestada con información relativa a la desalinización del agua en los océanos o su extracción intensiva en acuíferos fósiles.</w:t>
      </w:r>
    </w:p>
    <w:p>
      <w:pPr>
        <w:pStyle w:val="BodyText"/>
        <w:spacing w:before="8"/>
      </w:pPr>
    </w:p>
    <w:p>
      <w:pPr>
        <w:pStyle w:val="BodyText"/>
        <w:spacing w:line="273" w:lineRule="auto"/>
        <w:ind w:left="102" w:right="119"/>
        <w:jc w:val="both"/>
      </w:pPr>
      <w:r>
        <w:rPr/>
        <w:t>En síntesis, una relación específica entre las variables explicaría con mayor probabilidad el comportamiento del individuo en su casa habitación, trabajo, centro recreativo o edificación pública.</w:t>
      </w:r>
    </w:p>
    <w:p>
      <w:pPr>
        <w:pStyle w:val="BodyText"/>
        <w:spacing w:before="10"/>
      </w:pPr>
    </w:p>
    <w:p>
      <w:pPr>
        <w:pStyle w:val="BodyText"/>
        <w:spacing w:line="276" w:lineRule="auto" w:before="1"/>
        <w:ind w:left="102" w:right="116"/>
        <w:jc w:val="both"/>
      </w:pPr>
      <w:r>
        <w:rPr/>
        <w:t>En el caso de la percepción, los estudios del riesgo, amenaza, trasgresión, vulnerabilidad, afectación y gravedad han corroborado la emergencia de expectativas de escasez y desabasto de agua que explican su ahorro en las zonas urbanas y rurales (véase figura 2).  En dichos estudios, la percepción es considerada como un factor mediador entre las problemáticas, disponibilidad y consumo per cápita (Benez, Kauffer y Álvarez, 2010). En este sentido, los estudios perceptuales han explicado las diferencias entre características sociodemográficas, económicas o educativas con respecto al impacto de las  </w:t>
      </w:r>
      <w:r>
        <w:rPr>
          <w:spacing w:val="41"/>
        </w:rPr>
        <w:t> </w:t>
      </w:r>
      <w:r>
        <w:rPr/>
        <w:t>problemáticas</w:t>
      </w:r>
    </w:p>
    <w:p>
      <w:pPr>
        <w:spacing w:after="0" w:line="276" w:lineRule="auto"/>
        <w:jc w:val="both"/>
        <w:sectPr>
          <w:type w:val="continuous"/>
          <w:pgSz w:w="12240" w:h="15840"/>
          <w:pgMar w:top="1500" w:bottom="280" w:left="1600" w:right="1580"/>
        </w:sectPr>
      </w:pPr>
    </w:p>
    <w:p>
      <w:pPr>
        <w:pStyle w:val="BodyText"/>
        <w:spacing w:line="276" w:lineRule="auto" w:before="50"/>
        <w:ind w:left="102" w:right="121"/>
        <w:jc w:val="both"/>
      </w:pPr>
      <w:r>
        <w:rPr/>
        <w:t>hídricas a nivel global, local y personal (Erice, Senatra, Dubini y Marello, 2010). Debido a los hallazgos expuestos, las dimensiones espaciales y temporales han sido factores relevantes al momento de describir y explicar las consecuencias del desabasto sobre la salud (Kreuter&amp;Strecher, 1995; Bertoni y López,</w:t>
      </w:r>
      <w:r>
        <w:rPr>
          <w:spacing w:val="-10"/>
        </w:rPr>
        <w:t> </w:t>
      </w:r>
      <w:r>
        <w:rPr/>
        <w:t>2010).</w:t>
      </w:r>
    </w:p>
    <w:p>
      <w:pPr>
        <w:pStyle w:val="BodyText"/>
        <w:spacing w:before="8"/>
      </w:pPr>
    </w:p>
    <w:p>
      <w:pPr>
        <w:pStyle w:val="BodyText"/>
        <w:spacing w:line="276" w:lineRule="auto"/>
        <w:ind w:left="102" w:right="121"/>
        <w:jc w:val="both"/>
      </w:pPr>
      <w:r>
        <w:rPr/>
        <w:t>Si las situaciones de disponibilidad hídrica globales y locales, temporales o permanentes, tienen como consecuencias el abasto intermitente, entonces sus efectos perceptuales  tendrán variaciones que van desde “altos niveles de riesgo, amenaza, trasgresión, vulnerabilidad, afectación, gravedad” hasta “bajos niveles” en la que el punto neutro de tales extremos es la percepción ambiental. La evaluación de situaciones ambientales a partir de adjetivos calificativos y su asociación con la satisfacción son evidencia de que la percepción ambiental es un punto intermedio entre las situaciones de escasez y el desabasto de agua (Fraijó, Tapia, Corral, Valenzuela y Orduña,</w:t>
      </w:r>
      <w:r>
        <w:rPr>
          <w:spacing w:val="-12"/>
        </w:rPr>
        <w:t> </w:t>
      </w:r>
      <w:r>
        <w:rPr/>
        <w:t>2007).</w:t>
      </w:r>
    </w:p>
    <w:p>
      <w:pPr>
        <w:pStyle w:val="BodyText"/>
        <w:spacing w:before="8"/>
      </w:pPr>
    </w:p>
    <w:p>
      <w:pPr>
        <w:pStyle w:val="BodyText"/>
        <w:spacing w:line="276" w:lineRule="auto"/>
        <w:ind w:left="102" w:right="115"/>
        <w:jc w:val="both"/>
      </w:pPr>
      <w:r>
        <w:rPr/>
        <w:t>No obstante, los estudios perceptuales han comparado las situaciones hídricas, principalmente de riesgo, con otros eventos tales como erupciones volcánicas, transgénicos, extinción de especies, derrames de hidrocarburos, huracanes o sequias (Giacalone, Mobley,Sawyer, Witte&amp;Eidson, 2010; Montalbetti y Chamarro, 2010; Núñez, 2010). En tales estudios el desabasto de agua es considerado como en efecto de las situaciones globales. Incluso los informes correspondientes de los organismos internacionales y locales describen situaciones de desabasto asociadas a la ausencia de infraestructura más que a los desastres naturales.</w:t>
      </w:r>
    </w:p>
    <w:p>
      <w:pPr>
        <w:pStyle w:val="BodyText"/>
        <w:spacing w:before="8"/>
      </w:pPr>
    </w:p>
    <w:p>
      <w:pPr>
        <w:pStyle w:val="BodyText"/>
        <w:spacing w:line="276" w:lineRule="auto"/>
        <w:ind w:left="102" w:right="120"/>
        <w:jc w:val="both"/>
      </w:pPr>
      <w:r>
        <w:rPr/>
        <w:t>Sin embargo, en tanto expectativas del futuro, las percepciones abarcan a los desastres globales y los relacionan con las situaciones locales (Sillano, Grene y Ortuzar, 2006). A diferencia de las creencias que se circunscriben a la información disponible, las percepciones son cálculos del impacto de los eventos futuros en referencia a experiencias del pasado. En tanto expectativas, las percepciones no se circunscriben a los hechos tal cual ocurren sino a sus efectos a corto, mediano o largo plazo sobre la salud y el confort. Por ello, los estudios perceptuales se han remitido a las expectativas de riesgo considerando su inconmensurabilidad, incontrolabilidad e impredecibilidad.</w:t>
      </w:r>
    </w:p>
    <w:p>
      <w:pPr>
        <w:pStyle w:val="BodyText"/>
        <w:spacing w:before="8"/>
      </w:pPr>
    </w:p>
    <w:p>
      <w:pPr>
        <w:pStyle w:val="BodyText"/>
        <w:spacing w:line="276" w:lineRule="auto"/>
        <w:ind w:left="102" w:right="119"/>
        <w:jc w:val="both"/>
      </w:pPr>
      <w:r>
        <w:rPr/>
        <w:t>Precisamente, el objetivo del presente estudio será explicar las dimensiones de las percepciones respecto a situaciones de escasez global, sequías permanentes o temporales, inundaciones y desabasto continuo e intermitente de agua. La comparación entre tales situaciones, permitirá establecer las dimensiones perceptuales del riesgo y abrirán la discusión en torno a las problemáticas hídricas como situaciones específicas que pueden ser asociadas por expectativas del futuro inmediato.</w:t>
      </w:r>
    </w:p>
    <w:p>
      <w:pPr>
        <w:pStyle w:val="BodyText"/>
        <w:spacing w:before="8"/>
      </w:pPr>
    </w:p>
    <w:p>
      <w:pPr>
        <w:pStyle w:val="BodyText"/>
        <w:spacing w:line="276" w:lineRule="auto"/>
        <w:ind w:left="102" w:right="117"/>
        <w:jc w:val="both"/>
      </w:pPr>
      <w:r>
        <w:rPr/>
        <w:t>Para tal propósito, será necesario contestar a las cuestiones siguientes: ¿Cuáles son las situaciones hídricas  asociadas  a las percepciones  de riesgo?  ¿Las  expectativas sobre   </w:t>
      </w:r>
      <w:r>
        <w:rPr>
          <w:spacing w:val="55"/>
        </w:rPr>
        <w:t> </w:t>
      </w:r>
      <w:r>
        <w:rPr/>
        <w:t>el</w:t>
      </w:r>
    </w:p>
    <w:p>
      <w:pPr>
        <w:spacing w:after="0" w:line="276" w:lineRule="auto"/>
        <w:jc w:val="both"/>
        <w:sectPr>
          <w:pgSz w:w="12240" w:h="15840"/>
          <w:pgMar w:top="1360" w:bottom="280" w:left="1600" w:right="1580"/>
        </w:sectPr>
      </w:pPr>
    </w:p>
    <w:p>
      <w:pPr>
        <w:pStyle w:val="BodyText"/>
        <w:spacing w:line="276" w:lineRule="auto" w:before="50"/>
        <w:ind w:left="102" w:right="121"/>
        <w:jc w:val="both"/>
      </w:pPr>
      <w:r>
        <w:rPr/>
        <w:t>impacto de la escasez de agua y el desabasto continuo son parte de una diversidad de percepciones inexorables entre sí? ¿Cómo sería el factor latente perceptual considerando el desabasto de agua y sus factores adyacentes?</w:t>
      </w:r>
    </w:p>
    <w:p>
      <w:pPr>
        <w:pStyle w:val="BodyText"/>
        <w:spacing w:before="5"/>
      </w:pPr>
    </w:p>
    <w:p>
      <w:pPr>
        <w:pStyle w:val="BodyText"/>
        <w:ind w:left="102"/>
        <w:jc w:val="both"/>
      </w:pPr>
      <w:r>
        <w:rPr/>
        <w:t>Para contestar a tales cuestiones se plantean dos hipótesis:</w:t>
      </w:r>
    </w:p>
    <w:p>
      <w:pPr>
        <w:pStyle w:val="BodyText"/>
        <w:spacing w:before="2"/>
        <w:rPr>
          <w:sz w:val="28"/>
        </w:rPr>
      </w:pPr>
    </w:p>
    <w:p>
      <w:pPr>
        <w:pStyle w:val="BodyText"/>
        <w:spacing w:line="276" w:lineRule="auto"/>
        <w:ind w:left="102" w:right="114"/>
        <w:jc w:val="both"/>
      </w:pPr>
      <w:r>
        <w:rPr/>
        <w:t>Ho: Las percepciones de riesgo están configuradas por una diversidad de expectativas relacionadas entre sí en las que la disponibilidad y consumo hídrico per cápita es su principal punto de convergencia. La relación entre las situaciones de escasez o desabasto con el factor perceptual explica procesos tales como la hipermetropía que consiste en preocuparse por la escasez global ya que no obligan a una acción concreta y despreocuparse por las situaciones específicas de desabasto que implicarían un comportamiento específico. En tal sentido, las expectativas de permanencia o intermitencia de los eventos no tendría efectos sobre la acción personal a corto plazo, pero la movilización social y la acción colectiva en torno al abastecimiento de agua estaría influida por expectativas a largo plazo que amenacen la situación de confort en la que viven los residentes urbanos más que los habitantes rurales. Es decir, la zona socioeconómica tendría un efecto mediador entre los eventos globales y permanentes sobre las situaciones locales y temporales.</w:t>
      </w:r>
    </w:p>
    <w:p>
      <w:pPr>
        <w:pStyle w:val="BodyText"/>
        <w:spacing w:before="8"/>
      </w:pPr>
    </w:p>
    <w:p>
      <w:pPr>
        <w:pStyle w:val="BodyText"/>
        <w:spacing w:line="276" w:lineRule="auto"/>
        <w:ind w:left="102" w:right="115"/>
        <w:jc w:val="both"/>
      </w:pPr>
      <w:r>
        <w:rPr/>
        <w:t>Ha: Las percepciones de riesgo están circunscritas a eventos globales más que locales, permanentes más que temporales, inconmensurables más que mensurables, impredecibles más que impredecibles e incontrolables más que controlables. Respecto a las zonas rurales  o urbanas en las que se observan comportamientos deliberados o improvisados, características sociodemográficas, económicas o educativas, y situaciones de confort o marginalidad, las expectativas de riesgo no son significativamente diferentes. Es decir, la percepción de riesgo es un factor univalente y unidimensional en el que convergen expectativas de aversión al pasado, presente y futuro en las cuales puede haber diferencias, pero no serán significativas </w:t>
      </w:r>
      <w:r>
        <w:rPr>
          <w:spacing w:val="-3"/>
        </w:rPr>
        <w:t>ya </w:t>
      </w:r>
      <w:r>
        <w:rPr/>
        <w:t>que la percepción de riesgo refleja un contexto de  incremento de la demanda de recursos naturales y el decremento de la disponibilidad de los mismos. Se trata de un registro objetivo inherente a la racionalidad humana que no es susceptible de ser influida por las emociones, sino sólo por la información circundante que demuestra el desequilibrio ecológico en el que la humanidad sólo podrá anticiparse a algunas consecuencias, pero irremediablemente sucumbirá a los cambios climáticos por los que la Tierra ha atravesado y seguirá experimentando sin importar la extinción de las especies entre las cuales se encuentran los seres humanos y demás vegetales o animales que los</w:t>
      </w:r>
      <w:r>
        <w:rPr>
          <w:spacing w:val="-6"/>
        </w:rPr>
        <w:t> </w:t>
      </w:r>
      <w:r>
        <w:rPr/>
        <w:t>acompañan.</w:t>
      </w:r>
    </w:p>
    <w:p>
      <w:pPr>
        <w:pStyle w:val="BodyText"/>
        <w:spacing w:before="10"/>
      </w:pPr>
    </w:p>
    <w:p>
      <w:pPr>
        <w:pStyle w:val="Heading1"/>
      </w:pPr>
      <w:r>
        <w:rPr/>
        <w:t>MÉTODO</w:t>
      </w:r>
    </w:p>
    <w:p>
      <w:pPr>
        <w:spacing w:after="0"/>
        <w:sectPr>
          <w:pgSz w:w="12240" w:h="15840"/>
          <w:pgMar w:top="1360" w:bottom="280" w:left="1600" w:right="1580"/>
        </w:sectPr>
      </w:pPr>
    </w:p>
    <w:p>
      <w:pPr>
        <w:pStyle w:val="BodyText"/>
        <w:spacing w:line="276" w:lineRule="auto" w:before="50"/>
        <w:ind w:left="102" w:right="123"/>
        <w:jc w:val="both"/>
      </w:pPr>
      <w:r>
        <w:rPr/>
        <w:t>Se llevó a cabo un estudio transversal (no se comparan entrevistas antes y después de una intervención, sólo se diagnóstica una sola vez) y correlacional (se establecen las relaciones causales, directas e indirectas, negativas y positivas entre dos o más indicadores).</w:t>
      </w:r>
    </w:p>
    <w:p>
      <w:pPr>
        <w:pStyle w:val="BodyText"/>
        <w:spacing w:before="8"/>
      </w:pPr>
    </w:p>
    <w:p>
      <w:pPr>
        <w:pStyle w:val="BodyText"/>
        <w:spacing w:line="276" w:lineRule="auto"/>
        <w:ind w:left="102" w:right="116"/>
        <w:jc w:val="both"/>
      </w:pPr>
      <w:r>
        <w:rPr/>
        <w:t>Se seleccionó intencionalmente a una muestra compuesta por 100 estudiantes de la Escuela Nacional de Trabajo Social, Universidad Nacional Autónoma de México (ENTS-UNAM), 64 mujeres y 36 hombres. Respecto a su escolaridad el 40 por ciento informó haber terminado la licenciatura, el 30 por ciento la preparatoria, 13 por ciento estudia especialización, 10 por ciento estudia maestría, 6 por ciento no contestó y 1 por ciento doctorado. El 23 por ciento de las personas encuestadas declararon que su pareja no tiene estudios, con el doble del porcentaje están aquellas personas cuya pareja sólo ha terminado la primaria, el 20 por ciento tiene la preparatoria terminada, sólo el 7 por ciento alcanzó el nivel profesional y el 4 por ciento no contestó la pregunta. En relación a su estado civil, el 56 por ciento vive en soltería, el 36 por ciento en unión libre, el 6 por ciento en matrimonio y 2 por ciento no contestó, mientras que en cuanto a su ingreso el 46 por ciento gana entre 3000 y 6000 pesos mensuales, el 23 por ciento menos de 3000 pesos al mes, el 16 por ciento más de 9000, el 13 por ciento obtiene ingresos entre 6000 y 9000 pesos al mes y 2 por ciento no</w:t>
      </w:r>
      <w:r>
        <w:rPr>
          <w:spacing w:val="-4"/>
        </w:rPr>
        <w:t> </w:t>
      </w:r>
      <w:r>
        <w:rPr/>
        <w:t>contestó.</w:t>
      </w:r>
    </w:p>
    <w:p>
      <w:pPr>
        <w:pStyle w:val="BodyText"/>
        <w:spacing w:before="3"/>
      </w:pPr>
    </w:p>
    <w:p>
      <w:pPr>
        <w:pStyle w:val="BodyText"/>
        <w:spacing w:line="276" w:lineRule="auto"/>
        <w:ind w:left="102" w:right="123"/>
        <w:jc w:val="both"/>
      </w:pPr>
      <w:r>
        <w:rPr/>
        <w:t>Se construyó la Escala de Percepción de Riesgos en torno a la Escasez y el Desabasto de Agua Global y Local (EPREDAGL). Incluye 8 items con diez opciones de respuesta que van desde “muy riesgoso  para mi bienestar y confort” hasta “nada riesgoso”.</w:t>
      </w:r>
    </w:p>
    <w:p>
      <w:pPr>
        <w:pStyle w:val="BodyText"/>
        <w:spacing w:before="8"/>
      </w:pPr>
    </w:p>
    <w:p>
      <w:pPr>
        <w:pStyle w:val="BodyText"/>
        <w:spacing w:line="276" w:lineRule="auto"/>
        <w:ind w:left="102" w:right="117"/>
        <w:jc w:val="both"/>
      </w:pPr>
      <w:r>
        <w:rPr/>
        <w:t>Los reactivos fueron seleccionados considerando la definición de la variable que pretenden medir y los ítems empleados en el estado del arte. Se adaptaron los reactivos de los estudios reportados en el estado de la cuestión considerando su especificidad en la medición de rasgos. Otro criterio de inclusión fue la confiabilidad, la validez y la correlación de los ítems. Posteriormente se adecuaron los reactivos al contexto de la investigación. Finalmente, se utilizaron jueces para la selección de aquellos reactivos que fueron incluidos. </w:t>
      </w:r>
      <w:r>
        <w:rPr>
          <w:spacing w:val="-3"/>
        </w:rPr>
        <w:t>La </w:t>
      </w:r>
      <w:r>
        <w:rPr/>
        <w:t>confiabilidad y la validez de la escala superaron los valores mínimos de .60 </w:t>
      </w:r>
      <w:r>
        <w:rPr>
          <w:spacing w:val="36"/>
        </w:rPr>
        <w:t> </w:t>
      </w:r>
      <w:r>
        <w:rPr/>
        <w:t>y</w:t>
      </w:r>
    </w:p>
    <w:p>
      <w:pPr>
        <w:pStyle w:val="BodyText"/>
        <w:spacing w:line="276" w:lineRule="auto" w:before="1"/>
        <w:ind w:left="102" w:right="115"/>
        <w:jc w:val="both"/>
      </w:pPr>
      <w:r>
        <w:rPr/>
        <w:t>.300 para la consistencia interna y la convergencia de indicadores respecto al factor perceptual de riesgos. La escala fue aplicada en el vestíbulo de la biblioteca de la ENTS, trascurridos diez minutos se les pidió el cuestionario a los participantes y se revisaron las respuestas. En los casos en los que había una sola respuesta o la ausencia total o parcial de ellas, se les pidió a los participantes que escribieran al reverso la razón por la que contestaron repetitivamente o en su caso, la ausencia de sus respuestas. Posteriormente, se capturan las respuestas en los programas estadísticos SPSS versión 17 y AMOS versión 6</w:t>
      </w:r>
    </w:p>
    <w:p>
      <w:pPr>
        <w:pStyle w:val="BodyText"/>
        <w:spacing w:before="10"/>
      </w:pPr>
    </w:p>
    <w:p>
      <w:pPr>
        <w:pStyle w:val="Heading1"/>
        <w:ind w:left="3688"/>
      </w:pPr>
      <w:r>
        <w:rPr/>
        <w:t>RESULTADOS</w:t>
      </w:r>
    </w:p>
    <w:p>
      <w:pPr>
        <w:spacing w:after="0"/>
        <w:sectPr>
          <w:pgSz w:w="12240" w:h="15840"/>
          <w:pgMar w:top="1360" w:bottom="280" w:left="1600" w:right="1580"/>
        </w:sectPr>
      </w:pPr>
    </w:p>
    <w:p>
      <w:pPr>
        <w:pStyle w:val="BodyText"/>
        <w:spacing w:line="276" w:lineRule="auto" w:before="50"/>
        <w:ind w:left="102" w:right="116"/>
        <w:jc w:val="both"/>
      </w:pPr>
      <w:r>
        <w:rPr/>
        <w:t>El establecimiento del modelo reflectivo de la percepción de riesgo respecto a la escasez de agua fue estimado considerando la distribución normal de las respuestas a los reactivos de la escala. Posteriormente, se estimó la confiabilidad y la validez tomando como criterios de inclusión a la correlación entre cada reactivo y la escala o factor perceptual. Un valor superior a .60 indicó una consistencia interna adecuada, mientras que una correlación entre cada reactivo y el factor superior a .300 fue considerada como indicador de la variable latente. Para estimar relaciones causales, se estimó la covarianza entre los indicadores y la estructura reflectiva de la percepción de riesgo. Los valores cercanos a la unidad fueron considerados como evidencia de asociación o causalidad. En contraste, valores cercanos al cero fueron considerados como evidencia de relación</w:t>
      </w:r>
      <w:r>
        <w:rPr>
          <w:spacing w:val="-9"/>
        </w:rPr>
        <w:t> </w:t>
      </w:r>
      <w:r>
        <w:rPr/>
        <w:t>espuria.</w:t>
      </w:r>
    </w:p>
    <w:p>
      <w:pPr>
        <w:pStyle w:val="BodyText"/>
        <w:spacing w:before="6"/>
      </w:pPr>
    </w:p>
    <w:p>
      <w:pPr>
        <w:pStyle w:val="BodyText"/>
        <w:spacing w:line="276" w:lineRule="auto"/>
        <w:ind w:left="102" w:right="118"/>
        <w:jc w:val="both"/>
      </w:pPr>
      <w:r>
        <w:rPr/>
        <w:t>La tabla 1 muestra los requerimientos de normalidad, confiabilidad y validez. En el primer caso, el parámetro de Curtosis total (2,489) se encuentra dentro del umbral requerido para considerar una distribución normal. Pueden observarse cinco valores negativos que influyeron para estimar su valor absoluto y así poder proseguir con la estimación de la confiabilidad. En el segundo caso, el parámetro alfa de Crombach (.756) supera el mínimo requerido de .60 y en el tercer caso, el análisis factorial exploratorio de componentes principales con rotación varimax estableció un factor que correlacionó con cada reactivo superando el umbral requerido. El factor perceptual explicó el 35 por ciento de la varianza.</w:t>
      </w:r>
    </w:p>
    <w:p>
      <w:pPr>
        <w:pStyle w:val="BodyText"/>
        <w:spacing w:before="5"/>
      </w:pPr>
    </w:p>
    <w:p>
      <w:pPr>
        <w:pStyle w:val="BodyText"/>
        <w:ind w:left="102"/>
        <w:jc w:val="both"/>
      </w:pPr>
      <w:r>
        <w:rPr/>
        <w:t>Tabla 1. Normalidad, Confiabilidad y validez de la Percepción Hídrica</w:t>
      </w:r>
    </w:p>
    <w:p>
      <w:pPr>
        <w:pStyle w:val="BodyText"/>
        <w:spacing w:before="7"/>
        <w:rPr>
          <w:sz w:val="28"/>
        </w:rPr>
      </w:pPr>
    </w:p>
    <w:tbl>
      <w:tblPr>
        <w:tblW w:w="0" w:type="auto"/>
        <w:jc w:val="left"/>
        <w:tblInd w:w="531" w:type="dxa"/>
        <w:tblBorders>
          <w:top w:val="single" w:sz="8" w:space="0" w:color="1F1F29"/>
          <w:left w:val="single" w:sz="8" w:space="0" w:color="1F1F29"/>
          <w:bottom w:val="single" w:sz="8" w:space="0" w:color="1F1F29"/>
          <w:right w:val="single" w:sz="8" w:space="0" w:color="1F1F29"/>
          <w:insideH w:val="single" w:sz="8" w:space="0" w:color="1F1F29"/>
          <w:insideV w:val="single" w:sz="8" w:space="0" w:color="1F1F29"/>
        </w:tblBorders>
        <w:tblLayout w:type="fixed"/>
        <w:tblCellMar>
          <w:top w:w="0" w:type="dxa"/>
          <w:left w:w="0" w:type="dxa"/>
          <w:bottom w:w="0" w:type="dxa"/>
          <w:right w:w="0" w:type="dxa"/>
        </w:tblCellMar>
        <w:tblLook w:val="01E0"/>
      </w:tblPr>
      <w:tblGrid>
        <w:gridCol w:w="2933"/>
        <w:gridCol w:w="732"/>
        <w:gridCol w:w="758"/>
        <w:gridCol w:w="626"/>
        <w:gridCol w:w="937"/>
        <w:gridCol w:w="598"/>
        <w:gridCol w:w="751"/>
        <w:gridCol w:w="624"/>
      </w:tblGrid>
      <w:tr>
        <w:trPr>
          <w:trHeight w:val="432" w:hRule="exact"/>
        </w:trPr>
        <w:tc>
          <w:tcPr>
            <w:tcW w:w="2933" w:type="dxa"/>
          </w:tcPr>
          <w:p>
            <w:pPr>
              <w:pStyle w:val="TableParagraph"/>
              <w:ind w:left="98" w:right="80"/>
              <w:rPr>
                <w:sz w:val="16"/>
              </w:rPr>
            </w:pPr>
            <w:r>
              <w:rPr>
                <w:color w:val="17171E"/>
                <w:sz w:val="16"/>
              </w:rPr>
              <w:t>Variable</w:t>
            </w:r>
          </w:p>
        </w:tc>
        <w:tc>
          <w:tcPr>
            <w:tcW w:w="732" w:type="dxa"/>
          </w:tcPr>
          <w:p>
            <w:pPr>
              <w:pStyle w:val="TableParagraph"/>
              <w:ind w:right="93"/>
              <w:jc w:val="right"/>
              <w:rPr>
                <w:sz w:val="16"/>
              </w:rPr>
            </w:pPr>
            <w:r>
              <w:rPr>
                <w:color w:val="17171E"/>
                <w:sz w:val="16"/>
              </w:rPr>
              <w:t>Mínimo</w:t>
            </w:r>
          </w:p>
        </w:tc>
        <w:tc>
          <w:tcPr>
            <w:tcW w:w="758" w:type="dxa"/>
          </w:tcPr>
          <w:p>
            <w:pPr>
              <w:pStyle w:val="TableParagraph"/>
              <w:ind w:right="92"/>
              <w:jc w:val="right"/>
              <w:rPr>
                <w:sz w:val="16"/>
              </w:rPr>
            </w:pPr>
            <w:r>
              <w:rPr>
                <w:color w:val="17171E"/>
                <w:sz w:val="16"/>
              </w:rPr>
              <w:t>Máximo</w:t>
            </w:r>
          </w:p>
        </w:tc>
        <w:tc>
          <w:tcPr>
            <w:tcW w:w="626" w:type="dxa"/>
          </w:tcPr>
          <w:p>
            <w:pPr>
              <w:pStyle w:val="TableParagraph"/>
              <w:ind w:right="97"/>
              <w:jc w:val="right"/>
              <w:rPr>
                <w:sz w:val="16"/>
              </w:rPr>
            </w:pPr>
            <w:r>
              <w:rPr>
                <w:color w:val="17171E"/>
                <w:sz w:val="16"/>
              </w:rPr>
              <w:t>Media</w:t>
            </w:r>
          </w:p>
        </w:tc>
        <w:tc>
          <w:tcPr>
            <w:tcW w:w="937" w:type="dxa"/>
          </w:tcPr>
          <w:p>
            <w:pPr>
              <w:pStyle w:val="TableParagraph"/>
              <w:ind w:right="98"/>
              <w:jc w:val="right"/>
              <w:rPr>
                <w:sz w:val="16"/>
              </w:rPr>
            </w:pPr>
            <w:r>
              <w:rPr>
                <w:color w:val="17171E"/>
                <w:sz w:val="16"/>
              </w:rPr>
              <w:t>Desviación</w:t>
            </w:r>
          </w:p>
        </w:tc>
        <w:tc>
          <w:tcPr>
            <w:tcW w:w="598" w:type="dxa"/>
          </w:tcPr>
          <w:p>
            <w:pPr>
              <w:pStyle w:val="TableParagraph"/>
              <w:ind w:left="77" w:right="78"/>
              <w:jc w:val="center"/>
              <w:rPr>
                <w:sz w:val="16"/>
              </w:rPr>
            </w:pPr>
            <w:r>
              <w:rPr>
                <w:color w:val="17171E"/>
                <w:sz w:val="16"/>
              </w:rPr>
              <w:t>Sesgo</w:t>
            </w:r>
          </w:p>
        </w:tc>
        <w:tc>
          <w:tcPr>
            <w:tcW w:w="751" w:type="dxa"/>
          </w:tcPr>
          <w:p>
            <w:pPr>
              <w:pStyle w:val="TableParagraph"/>
              <w:ind w:right="96"/>
              <w:jc w:val="right"/>
              <w:rPr>
                <w:sz w:val="16"/>
              </w:rPr>
            </w:pPr>
            <w:r>
              <w:rPr>
                <w:color w:val="17171E"/>
                <w:sz w:val="16"/>
              </w:rPr>
              <w:t>Curtosis</w:t>
            </w:r>
          </w:p>
        </w:tc>
        <w:tc>
          <w:tcPr>
            <w:tcW w:w="624" w:type="dxa"/>
          </w:tcPr>
          <w:p>
            <w:pPr>
              <w:pStyle w:val="TableParagraph"/>
              <w:ind w:right="98"/>
              <w:jc w:val="right"/>
              <w:rPr>
                <w:sz w:val="16"/>
              </w:rPr>
            </w:pPr>
            <w:r>
              <w:rPr>
                <w:color w:val="17171E"/>
                <w:sz w:val="16"/>
              </w:rPr>
              <w:t>Factor</w:t>
            </w:r>
          </w:p>
        </w:tc>
      </w:tr>
      <w:tr>
        <w:trPr>
          <w:trHeight w:val="862" w:hRule="exact"/>
        </w:trPr>
        <w:tc>
          <w:tcPr>
            <w:tcW w:w="2933" w:type="dxa"/>
          </w:tcPr>
          <w:p>
            <w:pPr>
              <w:pStyle w:val="TableParagraph"/>
              <w:spacing w:line="537" w:lineRule="auto"/>
              <w:ind w:left="98" w:right="80"/>
              <w:rPr>
                <w:sz w:val="16"/>
              </w:rPr>
            </w:pPr>
            <w:r>
              <w:rPr>
                <w:color w:val="17171E"/>
                <w:sz w:val="16"/>
              </w:rPr>
              <w:t>Escala de Percepción Hídrica (alfa = .756) Desabasto local</w:t>
            </w:r>
          </w:p>
        </w:tc>
        <w:tc>
          <w:tcPr>
            <w:tcW w:w="732" w:type="dxa"/>
          </w:tcPr>
          <w:p>
            <w:pPr>
              <w:pStyle w:val="TableParagraph"/>
              <w:spacing w:line="240" w:lineRule="auto"/>
              <w:rPr>
                <w:sz w:val="16"/>
              </w:rPr>
            </w:pPr>
          </w:p>
          <w:p>
            <w:pPr>
              <w:pStyle w:val="TableParagraph"/>
              <w:spacing w:line="240" w:lineRule="auto" w:before="7"/>
              <w:rPr>
                <w:sz w:val="19"/>
              </w:rPr>
            </w:pPr>
          </w:p>
          <w:p>
            <w:pPr>
              <w:pStyle w:val="TableParagraph"/>
              <w:spacing w:line="240" w:lineRule="auto"/>
              <w:ind w:right="95"/>
              <w:jc w:val="right"/>
              <w:rPr>
                <w:sz w:val="16"/>
              </w:rPr>
            </w:pPr>
            <w:r>
              <w:rPr>
                <w:color w:val="17171E"/>
                <w:sz w:val="16"/>
              </w:rPr>
              <w:t>1,0</w:t>
            </w:r>
          </w:p>
        </w:tc>
        <w:tc>
          <w:tcPr>
            <w:tcW w:w="758" w:type="dxa"/>
          </w:tcPr>
          <w:p>
            <w:pPr>
              <w:pStyle w:val="TableParagraph"/>
              <w:spacing w:line="240" w:lineRule="auto"/>
              <w:rPr>
                <w:sz w:val="16"/>
              </w:rPr>
            </w:pPr>
          </w:p>
          <w:p>
            <w:pPr>
              <w:pStyle w:val="TableParagraph"/>
              <w:spacing w:line="240" w:lineRule="auto" w:before="7"/>
              <w:rPr>
                <w:sz w:val="19"/>
              </w:rPr>
            </w:pPr>
          </w:p>
          <w:p>
            <w:pPr>
              <w:pStyle w:val="TableParagraph"/>
              <w:spacing w:line="240" w:lineRule="auto"/>
              <w:ind w:right="95"/>
              <w:jc w:val="right"/>
              <w:rPr>
                <w:sz w:val="16"/>
              </w:rPr>
            </w:pPr>
            <w:r>
              <w:rPr>
                <w:color w:val="17171E"/>
                <w:sz w:val="16"/>
              </w:rPr>
              <w:t>10,0</w:t>
            </w:r>
          </w:p>
        </w:tc>
        <w:tc>
          <w:tcPr>
            <w:tcW w:w="626" w:type="dxa"/>
          </w:tcPr>
          <w:p>
            <w:pPr>
              <w:pStyle w:val="TableParagraph"/>
              <w:spacing w:line="240" w:lineRule="auto"/>
              <w:rPr>
                <w:sz w:val="16"/>
              </w:rPr>
            </w:pPr>
          </w:p>
          <w:p>
            <w:pPr>
              <w:pStyle w:val="TableParagraph"/>
              <w:spacing w:line="240" w:lineRule="auto" w:before="7"/>
              <w:rPr>
                <w:sz w:val="19"/>
              </w:rPr>
            </w:pPr>
          </w:p>
          <w:p>
            <w:pPr>
              <w:pStyle w:val="TableParagraph"/>
              <w:spacing w:line="240" w:lineRule="auto"/>
              <w:ind w:right="97"/>
              <w:jc w:val="right"/>
              <w:rPr>
                <w:sz w:val="16"/>
              </w:rPr>
            </w:pPr>
            <w:r>
              <w:rPr>
                <w:color w:val="17171E"/>
                <w:sz w:val="16"/>
              </w:rPr>
              <w:t>9.3</w:t>
            </w:r>
          </w:p>
        </w:tc>
        <w:tc>
          <w:tcPr>
            <w:tcW w:w="937" w:type="dxa"/>
          </w:tcPr>
          <w:p>
            <w:pPr>
              <w:pStyle w:val="TableParagraph"/>
              <w:spacing w:line="240" w:lineRule="auto"/>
              <w:rPr>
                <w:sz w:val="16"/>
              </w:rPr>
            </w:pPr>
          </w:p>
          <w:p>
            <w:pPr>
              <w:pStyle w:val="TableParagraph"/>
              <w:spacing w:line="240" w:lineRule="auto" w:before="7"/>
              <w:rPr>
                <w:sz w:val="19"/>
              </w:rPr>
            </w:pPr>
          </w:p>
          <w:p>
            <w:pPr>
              <w:pStyle w:val="TableParagraph"/>
              <w:spacing w:line="240" w:lineRule="auto"/>
              <w:ind w:right="98"/>
              <w:jc w:val="right"/>
              <w:rPr>
                <w:sz w:val="16"/>
              </w:rPr>
            </w:pPr>
            <w:r>
              <w:rPr>
                <w:color w:val="17171E"/>
                <w:sz w:val="16"/>
              </w:rPr>
              <w:t>1.6</w:t>
            </w:r>
          </w:p>
        </w:tc>
        <w:tc>
          <w:tcPr>
            <w:tcW w:w="598" w:type="dxa"/>
          </w:tcPr>
          <w:p>
            <w:pPr>
              <w:pStyle w:val="TableParagraph"/>
              <w:spacing w:line="240" w:lineRule="auto"/>
              <w:rPr>
                <w:sz w:val="16"/>
              </w:rPr>
            </w:pPr>
          </w:p>
          <w:p>
            <w:pPr>
              <w:pStyle w:val="TableParagraph"/>
              <w:spacing w:line="240" w:lineRule="auto" w:before="7"/>
              <w:rPr>
                <w:sz w:val="19"/>
              </w:rPr>
            </w:pPr>
          </w:p>
          <w:p>
            <w:pPr>
              <w:pStyle w:val="TableParagraph"/>
              <w:spacing w:line="240" w:lineRule="auto"/>
              <w:ind w:left="77" w:right="55"/>
              <w:jc w:val="center"/>
              <w:rPr>
                <w:sz w:val="16"/>
              </w:rPr>
            </w:pPr>
            <w:r>
              <w:rPr>
                <w:color w:val="17171E"/>
                <w:sz w:val="16"/>
              </w:rPr>
              <w:t>1,363</w:t>
            </w:r>
          </w:p>
        </w:tc>
        <w:tc>
          <w:tcPr>
            <w:tcW w:w="751" w:type="dxa"/>
          </w:tcPr>
          <w:p>
            <w:pPr>
              <w:pStyle w:val="TableParagraph"/>
              <w:spacing w:line="240" w:lineRule="auto"/>
              <w:rPr>
                <w:sz w:val="16"/>
              </w:rPr>
            </w:pPr>
          </w:p>
          <w:p>
            <w:pPr>
              <w:pStyle w:val="TableParagraph"/>
              <w:spacing w:line="240" w:lineRule="auto" w:before="7"/>
              <w:rPr>
                <w:sz w:val="19"/>
              </w:rPr>
            </w:pPr>
          </w:p>
          <w:p>
            <w:pPr>
              <w:pStyle w:val="TableParagraph"/>
              <w:spacing w:line="240" w:lineRule="auto"/>
              <w:ind w:right="97"/>
              <w:jc w:val="right"/>
              <w:rPr>
                <w:sz w:val="16"/>
              </w:rPr>
            </w:pPr>
            <w:r>
              <w:rPr>
                <w:color w:val="17171E"/>
                <w:sz w:val="16"/>
              </w:rPr>
              <w:t>,701</w:t>
            </w:r>
          </w:p>
        </w:tc>
        <w:tc>
          <w:tcPr>
            <w:tcW w:w="624" w:type="dxa"/>
          </w:tcPr>
          <w:p>
            <w:pPr>
              <w:pStyle w:val="TableParagraph"/>
              <w:spacing w:line="240" w:lineRule="auto"/>
              <w:rPr>
                <w:sz w:val="16"/>
              </w:rPr>
            </w:pPr>
          </w:p>
          <w:p>
            <w:pPr>
              <w:pStyle w:val="TableParagraph"/>
              <w:spacing w:line="240" w:lineRule="auto" w:before="7"/>
              <w:rPr>
                <w:sz w:val="19"/>
              </w:rPr>
            </w:pPr>
          </w:p>
          <w:p>
            <w:pPr>
              <w:pStyle w:val="TableParagraph"/>
              <w:spacing w:line="240" w:lineRule="auto"/>
              <w:ind w:right="97"/>
              <w:jc w:val="right"/>
              <w:rPr>
                <w:sz w:val="16"/>
              </w:rPr>
            </w:pPr>
            <w:r>
              <w:rPr>
                <w:color w:val="17171E"/>
                <w:sz w:val="16"/>
              </w:rPr>
              <w:t>.350</w:t>
            </w:r>
          </w:p>
        </w:tc>
      </w:tr>
      <w:tr>
        <w:trPr>
          <w:trHeight w:val="432" w:hRule="exact"/>
        </w:trPr>
        <w:tc>
          <w:tcPr>
            <w:tcW w:w="2933" w:type="dxa"/>
          </w:tcPr>
          <w:p>
            <w:pPr>
              <w:pStyle w:val="TableParagraph"/>
              <w:spacing w:line="183" w:lineRule="exact"/>
              <w:ind w:left="98" w:right="80"/>
              <w:rPr>
                <w:sz w:val="16"/>
              </w:rPr>
            </w:pPr>
            <w:r>
              <w:rPr>
                <w:color w:val="17171E"/>
                <w:sz w:val="16"/>
              </w:rPr>
              <w:t>Escasez global</w:t>
            </w:r>
          </w:p>
        </w:tc>
        <w:tc>
          <w:tcPr>
            <w:tcW w:w="732" w:type="dxa"/>
          </w:tcPr>
          <w:p>
            <w:pPr>
              <w:pStyle w:val="TableParagraph"/>
              <w:spacing w:line="183" w:lineRule="exact"/>
              <w:ind w:right="95"/>
              <w:jc w:val="right"/>
              <w:rPr>
                <w:sz w:val="16"/>
              </w:rPr>
            </w:pPr>
            <w:r>
              <w:rPr>
                <w:color w:val="17171E"/>
                <w:sz w:val="16"/>
              </w:rPr>
              <w:t>1,0</w:t>
            </w:r>
          </w:p>
        </w:tc>
        <w:tc>
          <w:tcPr>
            <w:tcW w:w="758" w:type="dxa"/>
          </w:tcPr>
          <w:p>
            <w:pPr>
              <w:pStyle w:val="TableParagraph"/>
              <w:spacing w:line="183" w:lineRule="exact"/>
              <w:ind w:right="95"/>
              <w:jc w:val="right"/>
              <w:rPr>
                <w:sz w:val="16"/>
              </w:rPr>
            </w:pPr>
            <w:r>
              <w:rPr>
                <w:color w:val="17171E"/>
                <w:sz w:val="16"/>
              </w:rPr>
              <w:t>10,0</w:t>
            </w:r>
          </w:p>
        </w:tc>
        <w:tc>
          <w:tcPr>
            <w:tcW w:w="626" w:type="dxa"/>
          </w:tcPr>
          <w:p>
            <w:pPr>
              <w:pStyle w:val="TableParagraph"/>
              <w:spacing w:line="183" w:lineRule="exact"/>
              <w:ind w:right="97"/>
              <w:jc w:val="right"/>
              <w:rPr>
                <w:sz w:val="16"/>
              </w:rPr>
            </w:pPr>
            <w:r>
              <w:rPr>
                <w:color w:val="17171E"/>
                <w:sz w:val="16"/>
              </w:rPr>
              <w:t>7.2</w:t>
            </w:r>
          </w:p>
        </w:tc>
        <w:tc>
          <w:tcPr>
            <w:tcW w:w="937" w:type="dxa"/>
          </w:tcPr>
          <w:p>
            <w:pPr>
              <w:pStyle w:val="TableParagraph"/>
              <w:spacing w:line="183" w:lineRule="exact"/>
              <w:ind w:right="98"/>
              <w:jc w:val="right"/>
              <w:rPr>
                <w:sz w:val="16"/>
              </w:rPr>
            </w:pPr>
            <w:r>
              <w:rPr>
                <w:color w:val="17171E"/>
                <w:sz w:val="16"/>
              </w:rPr>
              <w:t>1.5</w:t>
            </w:r>
          </w:p>
        </w:tc>
        <w:tc>
          <w:tcPr>
            <w:tcW w:w="598" w:type="dxa"/>
          </w:tcPr>
          <w:p>
            <w:pPr>
              <w:pStyle w:val="TableParagraph"/>
              <w:spacing w:line="183" w:lineRule="exact"/>
              <w:ind w:left="77" w:right="55"/>
              <w:jc w:val="center"/>
              <w:rPr>
                <w:sz w:val="16"/>
              </w:rPr>
            </w:pPr>
            <w:r>
              <w:rPr>
                <w:color w:val="17171E"/>
                <w:sz w:val="16"/>
              </w:rPr>
              <w:t>1,305</w:t>
            </w:r>
          </w:p>
        </w:tc>
        <w:tc>
          <w:tcPr>
            <w:tcW w:w="751" w:type="dxa"/>
          </w:tcPr>
          <w:p>
            <w:pPr>
              <w:pStyle w:val="TableParagraph"/>
              <w:spacing w:line="183" w:lineRule="exact"/>
              <w:ind w:right="97"/>
              <w:jc w:val="right"/>
              <w:rPr>
                <w:sz w:val="16"/>
              </w:rPr>
            </w:pPr>
            <w:r>
              <w:rPr>
                <w:color w:val="17171E"/>
                <w:sz w:val="16"/>
              </w:rPr>
              <w:t>1,010</w:t>
            </w:r>
          </w:p>
        </w:tc>
        <w:tc>
          <w:tcPr>
            <w:tcW w:w="624" w:type="dxa"/>
          </w:tcPr>
          <w:p>
            <w:pPr>
              <w:pStyle w:val="TableParagraph"/>
              <w:spacing w:line="183" w:lineRule="exact"/>
              <w:ind w:right="97"/>
              <w:jc w:val="right"/>
              <w:rPr>
                <w:sz w:val="16"/>
              </w:rPr>
            </w:pPr>
            <w:r>
              <w:rPr>
                <w:color w:val="17171E"/>
                <w:sz w:val="16"/>
              </w:rPr>
              <w:t>.421</w:t>
            </w:r>
          </w:p>
        </w:tc>
      </w:tr>
      <w:tr>
        <w:trPr>
          <w:trHeight w:val="432" w:hRule="exact"/>
        </w:trPr>
        <w:tc>
          <w:tcPr>
            <w:tcW w:w="2933" w:type="dxa"/>
          </w:tcPr>
          <w:p>
            <w:pPr>
              <w:pStyle w:val="TableParagraph"/>
              <w:spacing w:line="183" w:lineRule="exact"/>
              <w:ind w:left="98" w:right="80"/>
              <w:rPr>
                <w:sz w:val="16"/>
              </w:rPr>
            </w:pPr>
            <w:r>
              <w:rPr>
                <w:color w:val="17171E"/>
                <w:sz w:val="16"/>
              </w:rPr>
              <w:t>Huracanes temporales</w:t>
            </w:r>
          </w:p>
        </w:tc>
        <w:tc>
          <w:tcPr>
            <w:tcW w:w="732" w:type="dxa"/>
          </w:tcPr>
          <w:p>
            <w:pPr>
              <w:pStyle w:val="TableParagraph"/>
              <w:spacing w:line="183" w:lineRule="exact"/>
              <w:ind w:right="95"/>
              <w:jc w:val="right"/>
              <w:rPr>
                <w:sz w:val="16"/>
              </w:rPr>
            </w:pPr>
            <w:r>
              <w:rPr>
                <w:color w:val="17171E"/>
                <w:sz w:val="16"/>
              </w:rPr>
              <w:t>1,0</w:t>
            </w:r>
          </w:p>
        </w:tc>
        <w:tc>
          <w:tcPr>
            <w:tcW w:w="758" w:type="dxa"/>
          </w:tcPr>
          <w:p>
            <w:pPr>
              <w:pStyle w:val="TableParagraph"/>
              <w:spacing w:line="183" w:lineRule="exact"/>
              <w:ind w:right="95"/>
              <w:jc w:val="right"/>
              <w:rPr>
                <w:sz w:val="16"/>
              </w:rPr>
            </w:pPr>
            <w:r>
              <w:rPr>
                <w:color w:val="17171E"/>
                <w:sz w:val="16"/>
              </w:rPr>
              <w:t>10,0</w:t>
            </w:r>
          </w:p>
        </w:tc>
        <w:tc>
          <w:tcPr>
            <w:tcW w:w="626" w:type="dxa"/>
          </w:tcPr>
          <w:p>
            <w:pPr>
              <w:pStyle w:val="TableParagraph"/>
              <w:spacing w:line="183" w:lineRule="exact"/>
              <w:ind w:right="97"/>
              <w:jc w:val="right"/>
              <w:rPr>
                <w:sz w:val="16"/>
              </w:rPr>
            </w:pPr>
            <w:r>
              <w:rPr>
                <w:color w:val="17171E"/>
                <w:sz w:val="16"/>
              </w:rPr>
              <w:t>6.1</w:t>
            </w:r>
          </w:p>
        </w:tc>
        <w:tc>
          <w:tcPr>
            <w:tcW w:w="937" w:type="dxa"/>
          </w:tcPr>
          <w:p>
            <w:pPr>
              <w:pStyle w:val="TableParagraph"/>
              <w:spacing w:line="183" w:lineRule="exact"/>
              <w:ind w:right="98"/>
              <w:jc w:val="right"/>
              <w:rPr>
                <w:sz w:val="16"/>
              </w:rPr>
            </w:pPr>
            <w:r>
              <w:rPr>
                <w:color w:val="17171E"/>
                <w:sz w:val="16"/>
              </w:rPr>
              <w:t>1.4</w:t>
            </w:r>
          </w:p>
        </w:tc>
        <w:tc>
          <w:tcPr>
            <w:tcW w:w="598" w:type="dxa"/>
          </w:tcPr>
          <w:p>
            <w:pPr>
              <w:pStyle w:val="TableParagraph"/>
              <w:spacing w:line="183" w:lineRule="exact"/>
              <w:ind w:left="179" w:right="78"/>
              <w:jc w:val="center"/>
              <w:rPr>
                <w:sz w:val="16"/>
              </w:rPr>
            </w:pPr>
            <w:r>
              <w:rPr>
                <w:color w:val="17171E"/>
                <w:sz w:val="16"/>
              </w:rPr>
              <w:t>,938</w:t>
            </w:r>
          </w:p>
        </w:tc>
        <w:tc>
          <w:tcPr>
            <w:tcW w:w="751" w:type="dxa"/>
          </w:tcPr>
          <w:p>
            <w:pPr>
              <w:pStyle w:val="TableParagraph"/>
              <w:spacing w:line="183" w:lineRule="exact"/>
              <w:ind w:right="97"/>
              <w:jc w:val="right"/>
              <w:rPr>
                <w:sz w:val="16"/>
              </w:rPr>
            </w:pPr>
            <w:r>
              <w:rPr>
                <w:color w:val="17171E"/>
                <w:sz w:val="16"/>
              </w:rPr>
              <w:t>-,197</w:t>
            </w:r>
          </w:p>
        </w:tc>
        <w:tc>
          <w:tcPr>
            <w:tcW w:w="624" w:type="dxa"/>
          </w:tcPr>
          <w:p>
            <w:pPr>
              <w:pStyle w:val="TableParagraph"/>
              <w:spacing w:line="183" w:lineRule="exact"/>
              <w:ind w:right="97"/>
              <w:jc w:val="right"/>
              <w:rPr>
                <w:sz w:val="16"/>
              </w:rPr>
            </w:pPr>
            <w:r>
              <w:rPr>
                <w:color w:val="17171E"/>
                <w:sz w:val="16"/>
              </w:rPr>
              <w:t>.587</w:t>
            </w:r>
          </w:p>
        </w:tc>
      </w:tr>
      <w:tr>
        <w:trPr>
          <w:trHeight w:val="432" w:hRule="exact"/>
        </w:trPr>
        <w:tc>
          <w:tcPr>
            <w:tcW w:w="2933" w:type="dxa"/>
          </w:tcPr>
          <w:p>
            <w:pPr>
              <w:pStyle w:val="TableParagraph"/>
              <w:ind w:left="98" w:right="80"/>
              <w:rPr>
                <w:sz w:val="16"/>
              </w:rPr>
            </w:pPr>
            <w:r>
              <w:rPr>
                <w:color w:val="17171E"/>
                <w:sz w:val="16"/>
              </w:rPr>
              <w:t>Inundaciones locales</w:t>
            </w:r>
          </w:p>
        </w:tc>
        <w:tc>
          <w:tcPr>
            <w:tcW w:w="732" w:type="dxa"/>
          </w:tcPr>
          <w:p>
            <w:pPr>
              <w:pStyle w:val="TableParagraph"/>
              <w:ind w:right="95"/>
              <w:jc w:val="right"/>
              <w:rPr>
                <w:sz w:val="16"/>
              </w:rPr>
            </w:pPr>
            <w:r>
              <w:rPr>
                <w:color w:val="17171E"/>
                <w:sz w:val="16"/>
              </w:rPr>
              <w:t>1,0</w:t>
            </w:r>
          </w:p>
        </w:tc>
        <w:tc>
          <w:tcPr>
            <w:tcW w:w="758" w:type="dxa"/>
          </w:tcPr>
          <w:p>
            <w:pPr>
              <w:pStyle w:val="TableParagraph"/>
              <w:ind w:right="95"/>
              <w:jc w:val="right"/>
              <w:rPr>
                <w:sz w:val="16"/>
              </w:rPr>
            </w:pPr>
            <w:r>
              <w:rPr>
                <w:color w:val="17171E"/>
                <w:sz w:val="16"/>
              </w:rPr>
              <w:t>10,0</w:t>
            </w:r>
          </w:p>
        </w:tc>
        <w:tc>
          <w:tcPr>
            <w:tcW w:w="626" w:type="dxa"/>
          </w:tcPr>
          <w:p>
            <w:pPr>
              <w:pStyle w:val="TableParagraph"/>
              <w:ind w:right="97"/>
              <w:jc w:val="right"/>
              <w:rPr>
                <w:sz w:val="16"/>
              </w:rPr>
            </w:pPr>
            <w:r>
              <w:rPr>
                <w:color w:val="17171E"/>
                <w:sz w:val="16"/>
              </w:rPr>
              <w:t>5.2</w:t>
            </w:r>
          </w:p>
        </w:tc>
        <w:tc>
          <w:tcPr>
            <w:tcW w:w="937" w:type="dxa"/>
          </w:tcPr>
          <w:p>
            <w:pPr>
              <w:pStyle w:val="TableParagraph"/>
              <w:ind w:right="98"/>
              <w:jc w:val="right"/>
              <w:rPr>
                <w:sz w:val="16"/>
              </w:rPr>
            </w:pPr>
            <w:r>
              <w:rPr>
                <w:color w:val="17171E"/>
                <w:sz w:val="16"/>
              </w:rPr>
              <w:t>1.8</w:t>
            </w:r>
          </w:p>
        </w:tc>
        <w:tc>
          <w:tcPr>
            <w:tcW w:w="598" w:type="dxa"/>
          </w:tcPr>
          <w:p>
            <w:pPr>
              <w:pStyle w:val="TableParagraph"/>
              <w:ind w:left="77" w:right="55"/>
              <w:jc w:val="center"/>
              <w:rPr>
                <w:sz w:val="16"/>
              </w:rPr>
            </w:pPr>
            <w:r>
              <w:rPr>
                <w:color w:val="17171E"/>
                <w:sz w:val="16"/>
              </w:rPr>
              <w:t>1,099</w:t>
            </w:r>
          </w:p>
        </w:tc>
        <w:tc>
          <w:tcPr>
            <w:tcW w:w="751" w:type="dxa"/>
          </w:tcPr>
          <w:p>
            <w:pPr>
              <w:pStyle w:val="TableParagraph"/>
              <w:ind w:right="97"/>
              <w:jc w:val="right"/>
              <w:rPr>
                <w:sz w:val="16"/>
              </w:rPr>
            </w:pPr>
            <w:r>
              <w:rPr>
                <w:color w:val="17171E"/>
                <w:sz w:val="16"/>
              </w:rPr>
              <w:t>-,047</w:t>
            </w:r>
          </w:p>
        </w:tc>
        <w:tc>
          <w:tcPr>
            <w:tcW w:w="624" w:type="dxa"/>
          </w:tcPr>
          <w:p>
            <w:pPr>
              <w:pStyle w:val="TableParagraph"/>
              <w:ind w:right="97"/>
              <w:jc w:val="right"/>
              <w:rPr>
                <w:sz w:val="16"/>
              </w:rPr>
            </w:pPr>
            <w:r>
              <w:rPr>
                <w:color w:val="17171E"/>
                <w:sz w:val="16"/>
              </w:rPr>
              <w:t>.576</w:t>
            </w:r>
          </w:p>
        </w:tc>
      </w:tr>
      <w:tr>
        <w:trPr>
          <w:trHeight w:val="432" w:hRule="exact"/>
        </w:trPr>
        <w:tc>
          <w:tcPr>
            <w:tcW w:w="2933" w:type="dxa"/>
          </w:tcPr>
          <w:p>
            <w:pPr>
              <w:pStyle w:val="TableParagraph"/>
              <w:ind w:left="98" w:right="80"/>
              <w:rPr>
                <w:sz w:val="16"/>
              </w:rPr>
            </w:pPr>
            <w:r>
              <w:rPr>
                <w:color w:val="17171E"/>
                <w:sz w:val="16"/>
              </w:rPr>
              <w:t>Sequia global</w:t>
            </w:r>
          </w:p>
        </w:tc>
        <w:tc>
          <w:tcPr>
            <w:tcW w:w="732" w:type="dxa"/>
          </w:tcPr>
          <w:p>
            <w:pPr>
              <w:pStyle w:val="TableParagraph"/>
              <w:ind w:right="95"/>
              <w:jc w:val="right"/>
              <w:rPr>
                <w:sz w:val="16"/>
              </w:rPr>
            </w:pPr>
            <w:r>
              <w:rPr>
                <w:color w:val="17171E"/>
                <w:sz w:val="16"/>
              </w:rPr>
              <w:t>1,0</w:t>
            </w:r>
          </w:p>
        </w:tc>
        <w:tc>
          <w:tcPr>
            <w:tcW w:w="758" w:type="dxa"/>
          </w:tcPr>
          <w:p>
            <w:pPr>
              <w:pStyle w:val="TableParagraph"/>
              <w:ind w:right="95"/>
              <w:jc w:val="right"/>
              <w:rPr>
                <w:sz w:val="16"/>
              </w:rPr>
            </w:pPr>
            <w:r>
              <w:rPr>
                <w:color w:val="17171E"/>
                <w:sz w:val="16"/>
              </w:rPr>
              <w:t>10,0</w:t>
            </w:r>
          </w:p>
        </w:tc>
        <w:tc>
          <w:tcPr>
            <w:tcW w:w="626" w:type="dxa"/>
          </w:tcPr>
          <w:p>
            <w:pPr>
              <w:pStyle w:val="TableParagraph"/>
              <w:ind w:right="100"/>
              <w:jc w:val="right"/>
              <w:rPr>
                <w:sz w:val="16"/>
              </w:rPr>
            </w:pPr>
            <w:r>
              <w:rPr>
                <w:color w:val="17171E"/>
                <w:sz w:val="16"/>
              </w:rPr>
              <w:t>8.4</w:t>
            </w:r>
          </w:p>
        </w:tc>
        <w:tc>
          <w:tcPr>
            <w:tcW w:w="937" w:type="dxa"/>
          </w:tcPr>
          <w:p>
            <w:pPr>
              <w:pStyle w:val="TableParagraph"/>
              <w:ind w:right="98"/>
              <w:jc w:val="right"/>
              <w:rPr>
                <w:sz w:val="16"/>
              </w:rPr>
            </w:pPr>
            <w:r>
              <w:rPr>
                <w:color w:val="17171E"/>
                <w:sz w:val="16"/>
              </w:rPr>
              <w:t>2.4</w:t>
            </w:r>
          </w:p>
        </w:tc>
        <w:tc>
          <w:tcPr>
            <w:tcW w:w="598" w:type="dxa"/>
          </w:tcPr>
          <w:p>
            <w:pPr>
              <w:pStyle w:val="TableParagraph"/>
              <w:ind w:left="77" w:right="55"/>
              <w:jc w:val="center"/>
              <w:rPr>
                <w:sz w:val="16"/>
              </w:rPr>
            </w:pPr>
            <w:r>
              <w:rPr>
                <w:color w:val="17171E"/>
                <w:sz w:val="16"/>
              </w:rPr>
              <w:t>1,515</w:t>
            </w:r>
          </w:p>
        </w:tc>
        <w:tc>
          <w:tcPr>
            <w:tcW w:w="751" w:type="dxa"/>
          </w:tcPr>
          <w:p>
            <w:pPr>
              <w:pStyle w:val="TableParagraph"/>
              <w:ind w:right="97"/>
              <w:jc w:val="right"/>
              <w:rPr>
                <w:sz w:val="16"/>
              </w:rPr>
            </w:pPr>
            <w:r>
              <w:rPr>
                <w:color w:val="17171E"/>
                <w:sz w:val="16"/>
              </w:rPr>
              <w:t>1,855</w:t>
            </w:r>
          </w:p>
        </w:tc>
        <w:tc>
          <w:tcPr>
            <w:tcW w:w="624" w:type="dxa"/>
          </w:tcPr>
          <w:p>
            <w:pPr>
              <w:pStyle w:val="TableParagraph"/>
              <w:ind w:right="97"/>
              <w:jc w:val="right"/>
              <w:rPr>
                <w:sz w:val="16"/>
              </w:rPr>
            </w:pPr>
            <w:r>
              <w:rPr>
                <w:color w:val="17171E"/>
                <w:sz w:val="16"/>
              </w:rPr>
              <w:t>.675</w:t>
            </w:r>
          </w:p>
        </w:tc>
      </w:tr>
      <w:tr>
        <w:trPr>
          <w:trHeight w:val="430" w:hRule="exact"/>
        </w:trPr>
        <w:tc>
          <w:tcPr>
            <w:tcW w:w="2933" w:type="dxa"/>
          </w:tcPr>
          <w:p>
            <w:pPr>
              <w:pStyle w:val="TableParagraph"/>
              <w:ind w:left="98" w:right="80"/>
              <w:rPr>
                <w:sz w:val="16"/>
              </w:rPr>
            </w:pPr>
            <w:r>
              <w:rPr>
                <w:color w:val="17171E"/>
                <w:sz w:val="16"/>
              </w:rPr>
              <w:t>Sequia permanente</w:t>
            </w:r>
          </w:p>
        </w:tc>
        <w:tc>
          <w:tcPr>
            <w:tcW w:w="732" w:type="dxa"/>
          </w:tcPr>
          <w:p>
            <w:pPr>
              <w:pStyle w:val="TableParagraph"/>
              <w:ind w:right="95"/>
              <w:jc w:val="right"/>
              <w:rPr>
                <w:sz w:val="16"/>
              </w:rPr>
            </w:pPr>
            <w:r>
              <w:rPr>
                <w:color w:val="17171E"/>
                <w:sz w:val="16"/>
              </w:rPr>
              <w:t>1,0</w:t>
            </w:r>
          </w:p>
        </w:tc>
        <w:tc>
          <w:tcPr>
            <w:tcW w:w="758" w:type="dxa"/>
          </w:tcPr>
          <w:p>
            <w:pPr>
              <w:pStyle w:val="TableParagraph"/>
              <w:ind w:right="95"/>
              <w:jc w:val="right"/>
              <w:rPr>
                <w:sz w:val="16"/>
              </w:rPr>
            </w:pPr>
            <w:r>
              <w:rPr>
                <w:color w:val="17171E"/>
                <w:sz w:val="16"/>
              </w:rPr>
              <w:t>10,0</w:t>
            </w:r>
          </w:p>
        </w:tc>
        <w:tc>
          <w:tcPr>
            <w:tcW w:w="626" w:type="dxa"/>
          </w:tcPr>
          <w:p>
            <w:pPr>
              <w:pStyle w:val="TableParagraph"/>
              <w:ind w:right="97"/>
              <w:jc w:val="right"/>
              <w:rPr>
                <w:sz w:val="16"/>
              </w:rPr>
            </w:pPr>
            <w:r>
              <w:rPr>
                <w:color w:val="17171E"/>
                <w:sz w:val="16"/>
              </w:rPr>
              <w:t>7.2</w:t>
            </w:r>
          </w:p>
        </w:tc>
        <w:tc>
          <w:tcPr>
            <w:tcW w:w="937" w:type="dxa"/>
          </w:tcPr>
          <w:p>
            <w:pPr>
              <w:pStyle w:val="TableParagraph"/>
              <w:ind w:right="98"/>
              <w:jc w:val="right"/>
              <w:rPr>
                <w:sz w:val="16"/>
              </w:rPr>
            </w:pPr>
            <w:r>
              <w:rPr>
                <w:color w:val="17171E"/>
                <w:sz w:val="16"/>
              </w:rPr>
              <w:t>3.1</w:t>
            </w:r>
          </w:p>
        </w:tc>
        <w:tc>
          <w:tcPr>
            <w:tcW w:w="598" w:type="dxa"/>
          </w:tcPr>
          <w:p>
            <w:pPr>
              <w:pStyle w:val="TableParagraph"/>
              <w:ind w:left="179" w:right="78"/>
              <w:jc w:val="center"/>
              <w:rPr>
                <w:sz w:val="16"/>
              </w:rPr>
            </w:pPr>
            <w:r>
              <w:rPr>
                <w:color w:val="17171E"/>
                <w:sz w:val="16"/>
              </w:rPr>
              <w:t>,829</w:t>
            </w:r>
          </w:p>
        </w:tc>
        <w:tc>
          <w:tcPr>
            <w:tcW w:w="751" w:type="dxa"/>
          </w:tcPr>
          <w:p>
            <w:pPr>
              <w:pStyle w:val="TableParagraph"/>
              <w:ind w:right="97"/>
              <w:jc w:val="right"/>
              <w:rPr>
                <w:sz w:val="16"/>
              </w:rPr>
            </w:pPr>
            <w:r>
              <w:rPr>
                <w:color w:val="17171E"/>
                <w:sz w:val="16"/>
              </w:rPr>
              <w:t>-,404</w:t>
            </w:r>
          </w:p>
        </w:tc>
        <w:tc>
          <w:tcPr>
            <w:tcW w:w="624" w:type="dxa"/>
          </w:tcPr>
          <w:p>
            <w:pPr>
              <w:pStyle w:val="TableParagraph"/>
              <w:ind w:right="97"/>
              <w:jc w:val="right"/>
              <w:rPr>
                <w:sz w:val="16"/>
              </w:rPr>
            </w:pPr>
            <w:r>
              <w:rPr>
                <w:color w:val="17171E"/>
                <w:sz w:val="16"/>
              </w:rPr>
              <w:t>.365</w:t>
            </w:r>
          </w:p>
        </w:tc>
      </w:tr>
      <w:tr>
        <w:trPr>
          <w:trHeight w:val="433" w:hRule="exact"/>
        </w:trPr>
        <w:tc>
          <w:tcPr>
            <w:tcW w:w="2933" w:type="dxa"/>
          </w:tcPr>
          <w:p>
            <w:pPr>
              <w:pStyle w:val="TableParagraph"/>
              <w:spacing w:line="240" w:lineRule="auto"/>
              <w:ind w:left="98" w:right="80"/>
              <w:rPr>
                <w:sz w:val="16"/>
              </w:rPr>
            </w:pPr>
            <w:r>
              <w:rPr>
                <w:color w:val="17171E"/>
                <w:sz w:val="16"/>
              </w:rPr>
              <w:t>Sequia temporal</w:t>
            </w:r>
          </w:p>
        </w:tc>
        <w:tc>
          <w:tcPr>
            <w:tcW w:w="732" w:type="dxa"/>
          </w:tcPr>
          <w:p>
            <w:pPr>
              <w:pStyle w:val="TableParagraph"/>
              <w:spacing w:line="240" w:lineRule="auto"/>
              <w:ind w:right="95"/>
              <w:jc w:val="right"/>
              <w:rPr>
                <w:sz w:val="16"/>
              </w:rPr>
            </w:pPr>
            <w:r>
              <w:rPr>
                <w:color w:val="17171E"/>
                <w:sz w:val="16"/>
              </w:rPr>
              <w:t>1,0</w:t>
            </w:r>
          </w:p>
        </w:tc>
        <w:tc>
          <w:tcPr>
            <w:tcW w:w="758" w:type="dxa"/>
          </w:tcPr>
          <w:p>
            <w:pPr>
              <w:pStyle w:val="TableParagraph"/>
              <w:spacing w:line="240" w:lineRule="auto"/>
              <w:ind w:right="95"/>
              <w:jc w:val="right"/>
              <w:rPr>
                <w:sz w:val="16"/>
              </w:rPr>
            </w:pPr>
            <w:r>
              <w:rPr>
                <w:color w:val="17171E"/>
                <w:sz w:val="16"/>
              </w:rPr>
              <w:t>10,0</w:t>
            </w:r>
          </w:p>
        </w:tc>
        <w:tc>
          <w:tcPr>
            <w:tcW w:w="626" w:type="dxa"/>
          </w:tcPr>
          <w:p>
            <w:pPr>
              <w:pStyle w:val="TableParagraph"/>
              <w:spacing w:line="240" w:lineRule="auto"/>
              <w:ind w:right="97"/>
              <w:jc w:val="right"/>
              <w:rPr>
                <w:sz w:val="16"/>
              </w:rPr>
            </w:pPr>
            <w:r>
              <w:rPr>
                <w:color w:val="17171E"/>
                <w:sz w:val="16"/>
              </w:rPr>
              <w:t>8.5</w:t>
            </w:r>
          </w:p>
        </w:tc>
        <w:tc>
          <w:tcPr>
            <w:tcW w:w="937" w:type="dxa"/>
          </w:tcPr>
          <w:p>
            <w:pPr>
              <w:pStyle w:val="TableParagraph"/>
              <w:spacing w:line="240" w:lineRule="auto"/>
              <w:ind w:right="98"/>
              <w:jc w:val="right"/>
              <w:rPr>
                <w:sz w:val="16"/>
              </w:rPr>
            </w:pPr>
            <w:r>
              <w:rPr>
                <w:color w:val="17171E"/>
                <w:sz w:val="16"/>
              </w:rPr>
              <w:t>3.6</w:t>
            </w:r>
          </w:p>
        </w:tc>
        <w:tc>
          <w:tcPr>
            <w:tcW w:w="598" w:type="dxa"/>
          </w:tcPr>
          <w:p>
            <w:pPr>
              <w:pStyle w:val="TableParagraph"/>
              <w:spacing w:line="240" w:lineRule="auto"/>
              <w:ind w:left="179" w:right="78"/>
              <w:jc w:val="center"/>
              <w:rPr>
                <w:sz w:val="16"/>
              </w:rPr>
            </w:pPr>
            <w:r>
              <w:rPr>
                <w:color w:val="17171E"/>
                <w:sz w:val="16"/>
              </w:rPr>
              <w:t>,738</w:t>
            </w:r>
          </w:p>
        </w:tc>
        <w:tc>
          <w:tcPr>
            <w:tcW w:w="751" w:type="dxa"/>
          </w:tcPr>
          <w:p>
            <w:pPr>
              <w:pStyle w:val="TableParagraph"/>
              <w:spacing w:line="240" w:lineRule="auto"/>
              <w:ind w:right="97"/>
              <w:jc w:val="right"/>
              <w:rPr>
                <w:sz w:val="16"/>
              </w:rPr>
            </w:pPr>
            <w:r>
              <w:rPr>
                <w:color w:val="17171E"/>
                <w:sz w:val="16"/>
              </w:rPr>
              <w:t>-,429</w:t>
            </w:r>
          </w:p>
        </w:tc>
        <w:tc>
          <w:tcPr>
            <w:tcW w:w="624" w:type="dxa"/>
          </w:tcPr>
          <w:p>
            <w:pPr>
              <w:pStyle w:val="TableParagraph"/>
              <w:spacing w:line="240" w:lineRule="auto"/>
              <w:ind w:right="97"/>
              <w:jc w:val="right"/>
              <w:rPr>
                <w:sz w:val="16"/>
              </w:rPr>
            </w:pPr>
            <w:r>
              <w:rPr>
                <w:color w:val="17171E"/>
                <w:sz w:val="16"/>
              </w:rPr>
              <w:t>.465</w:t>
            </w:r>
          </w:p>
        </w:tc>
      </w:tr>
      <w:tr>
        <w:trPr>
          <w:trHeight w:val="432" w:hRule="exact"/>
        </w:trPr>
        <w:tc>
          <w:tcPr>
            <w:tcW w:w="2933" w:type="dxa"/>
          </w:tcPr>
          <w:p>
            <w:pPr>
              <w:pStyle w:val="TableParagraph"/>
              <w:spacing w:line="183" w:lineRule="exact"/>
              <w:ind w:left="98" w:right="80"/>
              <w:rPr>
                <w:sz w:val="16"/>
              </w:rPr>
            </w:pPr>
            <w:r>
              <w:rPr>
                <w:color w:val="17171E"/>
                <w:sz w:val="16"/>
              </w:rPr>
              <w:t>Tormentas temporales</w:t>
            </w:r>
          </w:p>
        </w:tc>
        <w:tc>
          <w:tcPr>
            <w:tcW w:w="732" w:type="dxa"/>
          </w:tcPr>
          <w:p>
            <w:pPr>
              <w:pStyle w:val="TableParagraph"/>
              <w:spacing w:line="183" w:lineRule="exact"/>
              <w:ind w:right="95"/>
              <w:jc w:val="right"/>
              <w:rPr>
                <w:sz w:val="16"/>
              </w:rPr>
            </w:pPr>
            <w:r>
              <w:rPr>
                <w:color w:val="17171E"/>
                <w:sz w:val="16"/>
              </w:rPr>
              <w:t>1,0</w:t>
            </w:r>
          </w:p>
        </w:tc>
        <w:tc>
          <w:tcPr>
            <w:tcW w:w="758" w:type="dxa"/>
          </w:tcPr>
          <w:p>
            <w:pPr>
              <w:pStyle w:val="TableParagraph"/>
              <w:spacing w:line="183" w:lineRule="exact"/>
              <w:ind w:right="95"/>
              <w:jc w:val="right"/>
              <w:rPr>
                <w:sz w:val="16"/>
              </w:rPr>
            </w:pPr>
            <w:r>
              <w:rPr>
                <w:color w:val="17171E"/>
                <w:sz w:val="16"/>
              </w:rPr>
              <w:t>10,0</w:t>
            </w:r>
          </w:p>
        </w:tc>
        <w:tc>
          <w:tcPr>
            <w:tcW w:w="626" w:type="dxa"/>
          </w:tcPr>
          <w:p>
            <w:pPr>
              <w:pStyle w:val="TableParagraph"/>
              <w:spacing w:line="183" w:lineRule="exact"/>
              <w:ind w:right="97"/>
              <w:jc w:val="right"/>
              <w:rPr>
                <w:sz w:val="16"/>
              </w:rPr>
            </w:pPr>
            <w:r>
              <w:rPr>
                <w:color w:val="17171E"/>
                <w:sz w:val="16"/>
              </w:rPr>
              <w:t>7.3</w:t>
            </w:r>
          </w:p>
        </w:tc>
        <w:tc>
          <w:tcPr>
            <w:tcW w:w="937" w:type="dxa"/>
          </w:tcPr>
          <w:p>
            <w:pPr>
              <w:pStyle w:val="TableParagraph"/>
              <w:spacing w:line="183" w:lineRule="exact"/>
              <w:ind w:right="98"/>
              <w:jc w:val="right"/>
              <w:rPr>
                <w:sz w:val="16"/>
              </w:rPr>
            </w:pPr>
            <w:r>
              <w:rPr>
                <w:color w:val="17171E"/>
                <w:sz w:val="16"/>
              </w:rPr>
              <w:t>2.4</w:t>
            </w:r>
          </w:p>
        </w:tc>
        <w:tc>
          <w:tcPr>
            <w:tcW w:w="598" w:type="dxa"/>
          </w:tcPr>
          <w:p>
            <w:pPr>
              <w:pStyle w:val="TableParagraph"/>
              <w:spacing w:line="183" w:lineRule="exact"/>
              <w:ind w:left="179" w:right="78"/>
              <w:jc w:val="center"/>
              <w:rPr>
                <w:sz w:val="16"/>
              </w:rPr>
            </w:pPr>
            <w:r>
              <w:rPr>
                <w:color w:val="17171E"/>
                <w:sz w:val="16"/>
              </w:rPr>
              <w:t>,998</w:t>
            </w:r>
          </w:p>
        </w:tc>
        <w:tc>
          <w:tcPr>
            <w:tcW w:w="751" w:type="dxa"/>
          </w:tcPr>
          <w:p>
            <w:pPr>
              <w:pStyle w:val="TableParagraph"/>
              <w:spacing w:line="183" w:lineRule="exact"/>
              <w:ind w:right="97"/>
              <w:jc w:val="right"/>
              <w:rPr>
                <w:sz w:val="16"/>
              </w:rPr>
            </w:pPr>
            <w:r>
              <w:rPr>
                <w:color w:val="17171E"/>
                <w:sz w:val="16"/>
              </w:rPr>
              <w:t>-,007</w:t>
            </w:r>
          </w:p>
        </w:tc>
        <w:tc>
          <w:tcPr>
            <w:tcW w:w="624" w:type="dxa"/>
          </w:tcPr>
          <w:p>
            <w:pPr>
              <w:pStyle w:val="TableParagraph"/>
              <w:spacing w:line="183" w:lineRule="exact"/>
              <w:ind w:right="97"/>
              <w:jc w:val="right"/>
              <w:rPr>
                <w:sz w:val="16"/>
              </w:rPr>
            </w:pPr>
            <w:r>
              <w:rPr>
                <w:color w:val="17171E"/>
                <w:sz w:val="16"/>
              </w:rPr>
              <w:t>.342</w:t>
            </w:r>
          </w:p>
        </w:tc>
      </w:tr>
      <w:tr>
        <w:trPr>
          <w:trHeight w:val="432" w:hRule="exact"/>
        </w:trPr>
        <w:tc>
          <w:tcPr>
            <w:tcW w:w="2933" w:type="dxa"/>
          </w:tcPr>
          <w:p>
            <w:pPr>
              <w:pStyle w:val="TableParagraph"/>
              <w:ind w:left="98" w:right="80"/>
              <w:rPr>
                <w:sz w:val="16"/>
              </w:rPr>
            </w:pPr>
            <w:r>
              <w:rPr>
                <w:color w:val="17171E"/>
                <w:sz w:val="16"/>
              </w:rPr>
              <w:t>Total</w:t>
            </w:r>
          </w:p>
        </w:tc>
        <w:tc>
          <w:tcPr>
            <w:tcW w:w="732" w:type="dxa"/>
          </w:tcPr>
          <w:p>
            <w:pPr/>
          </w:p>
        </w:tc>
        <w:tc>
          <w:tcPr>
            <w:tcW w:w="758" w:type="dxa"/>
          </w:tcPr>
          <w:p>
            <w:pPr/>
          </w:p>
        </w:tc>
        <w:tc>
          <w:tcPr>
            <w:tcW w:w="626" w:type="dxa"/>
          </w:tcPr>
          <w:p>
            <w:pPr/>
          </w:p>
        </w:tc>
        <w:tc>
          <w:tcPr>
            <w:tcW w:w="937" w:type="dxa"/>
          </w:tcPr>
          <w:p>
            <w:pPr/>
          </w:p>
        </w:tc>
        <w:tc>
          <w:tcPr>
            <w:tcW w:w="598" w:type="dxa"/>
          </w:tcPr>
          <w:p>
            <w:pPr/>
          </w:p>
        </w:tc>
        <w:tc>
          <w:tcPr>
            <w:tcW w:w="751" w:type="dxa"/>
          </w:tcPr>
          <w:p>
            <w:pPr>
              <w:pStyle w:val="TableParagraph"/>
              <w:ind w:right="97"/>
              <w:jc w:val="right"/>
              <w:rPr>
                <w:sz w:val="16"/>
              </w:rPr>
            </w:pPr>
            <w:r>
              <w:rPr>
                <w:color w:val="17171E"/>
                <w:sz w:val="16"/>
              </w:rPr>
              <w:t>2,489</w:t>
            </w:r>
          </w:p>
        </w:tc>
        <w:tc>
          <w:tcPr>
            <w:tcW w:w="624" w:type="dxa"/>
          </w:tcPr>
          <w:p>
            <w:pPr/>
          </w:p>
        </w:tc>
      </w:tr>
      <w:tr>
        <w:trPr>
          <w:trHeight w:val="432" w:hRule="exact"/>
        </w:trPr>
        <w:tc>
          <w:tcPr>
            <w:tcW w:w="2933" w:type="dxa"/>
          </w:tcPr>
          <w:p>
            <w:pPr>
              <w:pStyle w:val="TableParagraph"/>
              <w:ind w:left="98" w:right="80"/>
              <w:rPr>
                <w:sz w:val="16"/>
              </w:rPr>
            </w:pPr>
            <w:r>
              <w:rPr>
                <w:color w:val="17171E"/>
                <w:sz w:val="16"/>
              </w:rPr>
              <w:t>Varianza</w:t>
            </w:r>
          </w:p>
        </w:tc>
        <w:tc>
          <w:tcPr>
            <w:tcW w:w="732" w:type="dxa"/>
          </w:tcPr>
          <w:p>
            <w:pPr/>
          </w:p>
        </w:tc>
        <w:tc>
          <w:tcPr>
            <w:tcW w:w="758" w:type="dxa"/>
          </w:tcPr>
          <w:p>
            <w:pPr/>
          </w:p>
        </w:tc>
        <w:tc>
          <w:tcPr>
            <w:tcW w:w="626" w:type="dxa"/>
          </w:tcPr>
          <w:p>
            <w:pPr/>
          </w:p>
        </w:tc>
        <w:tc>
          <w:tcPr>
            <w:tcW w:w="937" w:type="dxa"/>
          </w:tcPr>
          <w:p>
            <w:pPr/>
          </w:p>
        </w:tc>
        <w:tc>
          <w:tcPr>
            <w:tcW w:w="598" w:type="dxa"/>
          </w:tcPr>
          <w:p>
            <w:pPr/>
          </w:p>
        </w:tc>
        <w:tc>
          <w:tcPr>
            <w:tcW w:w="751" w:type="dxa"/>
          </w:tcPr>
          <w:p>
            <w:pPr/>
          </w:p>
        </w:tc>
        <w:tc>
          <w:tcPr>
            <w:tcW w:w="624" w:type="dxa"/>
          </w:tcPr>
          <w:p>
            <w:pPr>
              <w:pStyle w:val="TableParagraph"/>
              <w:ind w:right="97"/>
              <w:jc w:val="right"/>
              <w:rPr>
                <w:sz w:val="16"/>
              </w:rPr>
            </w:pPr>
            <w:r>
              <w:rPr>
                <w:color w:val="17171E"/>
                <w:sz w:val="16"/>
              </w:rPr>
              <w:t>.35%</w:t>
            </w:r>
          </w:p>
        </w:tc>
      </w:tr>
    </w:tbl>
    <w:p>
      <w:pPr>
        <w:pStyle w:val="BodyText"/>
        <w:spacing w:before="8"/>
        <w:rPr>
          <w:sz w:val="17"/>
        </w:rPr>
      </w:pPr>
    </w:p>
    <w:p>
      <w:pPr>
        <w:pStyle w:val="BodyText"/>
        <w:spacing w:line="278" w:lineRule="auto" w:before="69"/>
        <w:ind w:left="102" w:right="124"/>
      </w:pPr>
      <w:r>
        <w:rPr/>
        <w:t>La consistencia interna de la escala y la validez de la misma permitieron estimar covarianzas entre los indicadores que fueron cercanas al cero (véase tabla 2). Los valores</w:t>
      </w:r>
    </w:p>
    <w:p>
      <w:pPr>
        <w:spacing w:after="0" w:line="278" w:lineRule="auto"/>
        <w:sectPr>
          <w:pgSz w:w="12240" w:h="15840"/>
          <w:pgMar w:top="1360" w:bottom="280" w:left="1600" w:right="1580"/>
        </w:sectPr>
      </w:pPr>
    </w:p>
    <w:p>
      <w:pPr>
        <w:pStyle w:val="BodyText"/>
        <w:spacing w:line="276" w:lineRule="auto" w:before="50"/>
        <w:ind w:left="102" w:right="117"/>
        <w:jc w:val="both"/>
      </w:pPr>
      <w:r>
        <w:rPr/>
        <w:t>muestran que entre los indicadores las relaciones son espurias. Es decir, cada reactivo está influido por una tercera variable. Es decir, la percepción de riesgo parece estar relacionada con otros factores cuyos indicadores influyen en las expectativas de escasez, desabasto, huracanes, inundaciones o sequias a nivel global o local, en situaciones permanentes o temporales. La percepción de riesgo, parece estar influida por los indicadores de otros factores que los estudios psicológicos han identificado como valores, creencias, actitudes, motivos o intenciones.</w:t>
      </w:r>
    </w:p>
    <w:p>
      <w:pPr>
        <w:pStyle w:val="BodyText"/>
        <w:spacing w:before="5"/>
      </w:pPr>
    </w:p>
    <w:p>
      <w:pPr>
        <w:pStyle w:val="BodyText"/>
        <w:ind w:left="102"/>
        <w:jc w:val="both"/>
      </w:pPr>
      <w:r>
        <w:rPr/>
        <w:t>Tabla 2. Covarianzas entre los indicadores perceptuales</w:t>
      </w:r>
    </w:p>
    <w:p>
      <w:pPr>
        <w:pStyle w:val="BodyText"/>
        <w:spacing w:before="7"/>
        <w:rPr>
          <w:sz w:val="28"/>
        </w:rPr>
      </w:pPr>
    </w:p>
    <w:tbl>
      <w:tblPr>
        <w:tblW w:w="0" w:type="auto"/>
        <w:jc w:val="left"/>
        <w:tblInd w:w="1503" w:type="dxa"/>
        <w:tblBorders>
          <w:top w:val="single" w:sz="8" w:space="0" w:color="1F1F29"/>
          <w:left w:val="single" w:sz="8" w:space="0" w:color="1F1F29"/>
          <w:bottom w:val="single" w:sz="8" w:space="0" w:color="1F1F29"/>
          <w:right w:val="single" w:sz="8" w:space="0" w:color="1F1F29"/>
          <w:insideH w:val="single" w:sz="8" w:space="0" w:color="1F1F29"/>
          <w:insideV w:val="single" w:sz="8" w:space="0" w:color="1F1F29"/>
        </w:tblBorders>
        <w:tblLayout w:type="fixed"/>
        <w:tblCellMar>
          <w:top w:w="0" w:type="dxa"/>
          <w:left w:w="0" w:type="dxa"/>
          <w:bottom w:w="0" w:type="dxa"/>
          <w:right w:w="0" w:type="dxa"/>
        </w:tblCellMar>
        <w:tblLook w:val="01E0"/>
      </w:tblPr>
      <w:tblGrid>
        <w:gridCol w:w="1993"/>
        <w:gridCol w:w="497"/>
        <w:gridCol w:w="550"/>
        <w:gridCol w:w="497"/>
        <w:gridCol w:w="497"/>
        <w:gridCol w:w="494"/>
        <w:gridCol w:w="497"/>
        <w:gridCol w:w="497"/>
        <w:gridCol w:w="494"/>
      </w:tblGrid>
      <w:tr>
        <w:trPr>
          <w:trHeight w:val="430" w:hRule="exact"/>
        </w:trPr>
        <w:tc>
          <w:tcPr>
            <w:tcW w:w="1993" w:type="dxa"/>
          </w:tcPr>
          <w:p>
            <w:pPr/>
          </w:p>
        </w:tc>
        <w:tc>
          <w:tcPr>
            <w:tcW w:w="497" w:type="dxa"/>
          </w:tcPr>
          <w:p>
            <w:pPr>
              <w:pStyle w:val="TableParagraph"/>
              <w:ind w:left="145" w:right="75"/>
              <w:jc w:val="center"/>
              <w:rPr>
                <w:sz w:val="16"/>
              </w:rPr>
            </w:pPr>
            <w:r>
              <w:rPr>
                <w:color w:val="17171E"/>
                <w:sz w:val="16"/>
              </w:rPr>
              <w:t>DL</w:t>
            </w:r>
          </w:p>
        </w:tc>
        <w:tc>
          <w:tcPr>
            <w:tcW w:w="550" w:type="dxa"/>
          </w:tcPr>
          <w:p>
            <w:pPr>
              <w:pStyle w:val="TableParagraph"/>
              <w:ind w:left="78" w:right="195"/>
              <w:jc w:val="center"/>
              <w:rPr>
                <w:sz w:val="16"/>
              </w:rPr>
            </w:pPr>
            <w:r>
              <w:rPr>
                <w:color w:val="17171E"/>
                <w:sz w:val="16"/>
              </w:rPr>
              <w:t>EG</w:t>
            </w:r>
          </w:p>
        </w:tc>
        <w:tc>
          <w:tcPr>
            <w:tcW w:w="497" w:type="dxa"/>
          </w:tcPr>
          <w:p>
            <w:pPr>
              <w:pStyle w:val="TableParagraph"/>
              <w:ind w:left="143" w:right="77"/>
              <w:jc w:val="center"/>
              <w:rPr>
                <w:sz w:val="16"/>
              </w:rPr>
            </w:pPr>
            <w:r>
              <w:rPr>
                <w:color w:val="17171E"/>
                <w:sz w:val="16"/>
              </w:rPr>
              <w:t>HT</w:t>
            </w:r>
          </w:p>
        </w:tc>
        <w:tc>
          <w:tcPr>
            <w:tcW w:w="497" w:type="dxa"/>
          </w:tcPr>
          <w:p>
            <w:pPr>
              <w:pStyle w:val="TableParagraph"/>
              <w:ind w:right="97"/>
              <w:jc w:val="right"/>
              <w:rPr>
                <w:sz w:val="16"/>
              </w:rPr>
            </w:pPr>
            <w:r>
              <w:rPr>
                <w:color w:val="17171E"/>
                <w:sz w:val="16"/>
              </w:rPr>
              <w:t>IL</w:t>
            </w:r>
          </w:p>
        </w:tc>
        <w:tc>
          <w:tcPr>
            <w:tcW w:w="494" w:type="dxa"/>
          </w:tcPr>
          <w:p>
            <w:pPr>
              <w:pStyle w:val="TableParagraph"/>
              <w:ind w:left="152" w:right="78"/>
              <w:jc w:val="center"/>
              <w:rPr>
                <w:sz w:val="16"/>
              </w:rPr>
            </w:pPr>
            <w:r>
              <w:rPr>
                <w:color w:val="17171E"/>
                <w:sz w:val="16"/>
              </w:rPr>
              <w:t>SG</w:t>
            </w:r>
          </w:p>
        </w:tc>
        <w:tc>
          <w:tcPr>
            <w:tcW w:w="497" w:type="dxa"/>
          </w:tcPr>
          <w:p>
            <w:pPr>
              <w:pStyle w:val="TableParagraph"/>
              <w:ind w:right="98"/>
              <w:jc w:val="right"/>
              <w:rPr>
                <w:sz w:val="16"/>
              </w:rPr>
            </w:pPr>
            <w:r>
              <w:rPr>
                <w:color w:val="17171E"/>
                <w:sz w:val="16"/>
              </w:rPr>
              <w:t>SP</w:t>
            </w:r>
          </w:p>
        </w:tc>
        <w:tc>
          <w:tcPr>
            <w:tcW w:w="497" w:type="dxa"/>
          </w:tcPr>
          <w:p>
            <w:pPr>
              <w:pStyle w:val="TableParagraph"/>
              <w:ind w:left="145" w:right="53"/>
              <w:jc w:val="center"/>
              <w:rPr>
                <w:sz w:val="16"/>
              </w:rPr>
            </w:pPr>
            <w:r>
              <w:rPr>
                <w:color w:val="17171E"/>
                <w:sz w:val="16"/>
              </w:rPr>
              <w:t>ST</w:t>
            </w:r>
          </w:p>
        </w:tc>
        <w:tc>
          <w:tcPr>
            <w:tcW w:w="494" w:type="dxa"/>
          </w:tcPr>
          <w:p>
            <w:pPr>
              <w:pStyle w:val="TableParagraph"/>
              <w:ind w:left="152" w:right="71"/>
              <w:jc w:val="center"/>
              <w:rPr>
                <w:sz w:val="16"/>
              </w:rPr>
            </w:pPr>
            <w:r>
              <w:rPr>
                <w:color w:val="17171E"/>
                <w:sz w:val="16"/>
              </w:rPr>
              <w:t>TT</w:t>
            </w:r>
          </w:p>
        </w:tc>
      </w:tr>
      <w:tr>
        <w:trPr>
          <w:trHeight w:val="433" w:hRule="exact"/>
        </w:trPr>
        <w:tc>
          <w:tcPr>
            <w:tcW w:w="1993" w:type="dxa"/>
          </w:tcPr>
          <w:p>
            <w:pPr>
              <w:pStyle w:val="TableParagraph"/>
              <w:spacing w:line="240" w:lineRule="auto"/>
              <w:ind w:left="98"/>
              <w:rPr>
                <w:sz w:val="16"/>
              </w:rPr>
            </w:pPr>
            <w:r>
              <w:rPr>
                <w:color w:val="17171E"/>
                <w:sz w:val="16"/>
              </w:rPr>
              <w:t>Desabasto local (DL)</w:t>
            </w:r>
          </w:p>
        </w:tc>
        <w:tc>
          <w:tcPr>
            <w:tcW w:w="497" w:type="dxa"/>
          </w:tcPr>
          <w:p>
            <w:pPr>
              <w:pStyle w:val="TableParagraph"/>
              <w:spacing w:line="240" w:lineRule="auto"/>
              <w:ind w:left="77" w:right="77"/>
              <w:jc w:val="center"/>
              <w:rPr>
                <w:sz w:val="16"/>
              </w:rPr>
            </w:pPr>
            <w:r>
              <w:rPr>
                <w:color w:val="17171E"/>
                <w:sz w:val="16"/>
              </w:rPr>
              <w:t>,600</w:t>
            </w:r>
          </w:p>
        </w:tc>
        <w:tc>
          <w:tcPr>
            <w:tcW w:w="550" w:type="dxa"/>
          </w:tcPr>
          <w:p>
            <w:pPr/>
          </w:p>
        </w:tc>
        <w:tc>
          <w:tcPr>
            <w:tcW w:w="497" w:type="dxa"/>
          </w:tcPr>
          <w:p>
            <w:pPr/>
          </w:p>
        </w:tc>
        <w:tc>
          <w:tcPr>
            <w:tcW w:w="497" w:type="dxa"/>
          </w:tcPr>
          <w:p>
            <w:pPr/>
          </w:p>
        </w:tc>
        <w:tc>
          <w:tcPr>
            <w:tcW w:w="494" w:type="dxa"/>
          </w:tcPr>
          <w:p>
            <w:pPr/>
          </w:p>
        </w:tc>
        <w:tc>
          <w:tcPr>
            <w:tcW w:w="497" w:type="dxa"/>
          </w:tcPr>
          <w:p>
            <w:pPr/>
          </w:p>
        </w:tc>
        <w:tc>
          <w:tcPr>
            <w:tcW w:w="497" w:type="dxa"/>
          </w:tcPr>
          <w:p>
            <w:pPr/>
          </w:p>
        </w:tc>
        <w:tc>
          <w:tcPr>
            <w:tcW w:w="494" w:type="dxa"/>
          </w:tcPr>
          <w:p>
            <w:pPr/>
          </w:p>
        </w:tc>
      </w:tr>
      <w:tr>
        <w:trPr>
          <w:trHeight w:val="432" w:hRule="exact"/>
        </w:trPr>
        <w:tc>
          <w:tcPr>
            <w:tcW w:w="1993" w:type="dxa"/>
          </w:tcPr>
          <w:p>
            <w:pPr>
              <w:pStyle w:val="TableParagraph"/>
              <w:spacing w:line="183" w:lineRule="exact"/>
              <w:ind w:left="98"/>
              <w:rPr>
                <w:sz w:val="16"/>
              </w:rPr>
            </w:pPr>
            <w:r>
              <w:rPr>
                <w:color w:val="17171E"/>
                <w:sz w:val="16"/>
              </w:rPr>
              <w:t>Escasez global (EG)</w:t>
            </w:r>
          </w:p>
        </w:tc>
        <w:tc>
          <w:tcPr>
            <w:tcW w:w="497" w:type="dxa"/>
          </w:tcPr>
          <w:p>
            <w:pPr>
              <w:pStyle w:val="TableParagraph"/>
              <w:spacing w:line="183" w:lineRule="exact"/>
              <w:ind w:left="77" w:right="77"/>
              <w:jc w:val="center"/>
              <w:rPr>
                <w:sz w:val="16"/>
              </w:rPr>
            </w:pPr>
            <w:r>
              <w:rPr>
                <w:color w:val="17171E"/>
                <w:sz w:val="16"/>
              </w:rPr>
              <w:t>,285</w:t>
            </w:r>
          </w:p>
        </w:tc>
        <w:tc>
          <w:tcPr>
            <w:tcW w:w="550" w:type="dxa"/>
          </w:tcPr>
          <w:p>
            <w:pPr>
              <w:pStyle w:val="TableParagraph"/>
              <w:spacing w:line="183" w:lineRule="exact"/>
              <w:ind w:left="78" w:right="24"/>
              <w:jc w:val="center"/>
              <w:rPr>
                <w:sz w:val="16"/>
              </w:rPr>
            </w:pPr>
            <w:r>
              <w:rPr>
                <w:color w:val="17171E"/>
                <w:sz w:val="16"/>
              </w:rPr>
              <w:t>,459</w:t>
            </w:r>
          </w:p>
        </w:tc>
        <w:tc>
          <w:tcPr>
            <w:tcW w:w="497" w:type="dxa"/>
          </w:tcPr>
          <w:p>
            <w:pPr/>
          </w:p>
        </w:tc>
        <w:tc>
          <w:tcPr>
            <w:tcW w:w="497" w:type="dxa"/>
          </w:tcPr>
          <w:p>
            <w:pPr/>
          </w:p>
        </w:tc>
        <w:tc>
          <w:tcPr>
            <w:tcW w:w="494" w:type="dxa"/>
          </w:tcPr>
          <w:p>
            <w:pPr/>
          </w:p>
        </w:tc>
        <w:tc>
          <w:tcPr>
            <w:tcW w:w="497" w:type="dxa"/>
          </w:tcPr>
          <w:p>
            <w:pPr/>
          </w:p>
        </w:tc>
        <w:tc>
          <w:tcPr>
            <w:tcW w:w="497" w:type="dxa"/>
          </w:tcPr>
          <w:p>
            <w:pPr/>
          </w:p>
        </w:tc>
        <w:tc>
          <w:tcPr>
            <w:tcW w:w="494" w:type="dxa"/>
          </w:tcPr>
          <w:p>
            <w:pPr/>
          </w:p>
        </w:tc>
      </w:tr>
      <w:tr>
        <w:trPr>
          <w:trHeight w:val="432" w:hRule="exact"/>
        </w:trPr>
        <w:tc>
          <w:tcPr>
            <w:tcW w:w="1993" w:type="dxa"/>
          </w:tcPr>
          <w:p>
            <w:pPr>
              <w:pStyle w:val="TableParagraph"/>
              <w:ind w:left="98"/>
              <w:rPr>
                <w:sz w:val="16"/>
              </w:rPr>
            </w:pPr>
            <w:r>
              <w:rPr>
                <w:color w:val="17171E"/>
                <w:sz w:val="16"/>
              </w:rPr>
              <w:t>Huracanes temporales (HT)</w:t>
            </w:r>
          </w:p>
        </w:tc>
        <w:tc>
          <w:tcPr>
            <w:tcW w:w="497" w:type="dxa"/>
          </w:tcPr>
          <w:p>
            <w:pPr>
              <w:pStyle w:val="TableParagraph"/>
              <w:ind w:left="77" w:right="77"/>
              <w:jc w:val="center"/>
              <w:rPr>
                <w:sz w:val="16"/>
              </w:rPr>
            </w:pPr>
            <w:r>
              <w:rPr>
                <w:color w:val="17171E"/>
                <w:sz w:val="16"/>
              </w:rPr>
              <w:t>,156</w:t>
            </w:r>
          </w:p>
        </w:tc>
        <w:tc>
          <w:tcPr>
            <w:tcW w:w="550" w:type="dxa"/>
          </w:tcPr>
          <w:p>
            <w:pPr>
              <w:pStyle w:val="TableParagraph"/>
              <w:ind w:left="78" w:right="24"/>
              <w:jc w:val="center"/>
              <w:rPr>
                <w:sz w:val="16"/>
              </w:rPr>
            </w:pPr>
            <w:r>
              <w:rPr>
                <w:color w:val="17171E"/>
                <w:sz w:val="16"/>
              </w:rPr>
              <w:t>,121</w:t>
            </w:r>
          </w:p>
        </w:tc>
        <w:tc>
          <w:tcPr>
            <w:tcW w:w="497" w:type="dxa"/>
          </w:tcPr>
          <w:p>
            <w:pPr>
              <w:pStyle w:val="TableParagraph"/>
              <w:ind w:left="77" w:right="77"/>
              <w:jc w:val="center"/>
              <w:rPr>
                <w:sz w:val="16"/>
              </w:rPr>
            </w:pPr>
            <w:r>
              <w:rPr>
                <w:color w:val="17171E"/>
                <w:sz w:val="16"/>
              </w:rPr>
              <w:t>,296</w:t>
            </w:r>
          </w:p>
        </w:tc>
        <w:tc>
          <w:tcPr>
            <w:tcW w:w="497" w:type="dxa"/>
          </w:tcPr>
          <w:p>
            <w:pPr/>
          </w:p>
        </w:tc>
        <w:tc>
          <w:tcPr>
            <w:tcW w:w="494" w:type="dxa"/>
          </w:tcPr>
          <w:p>
            <w:pPr/>
          </w:p>
        </w:tc>
        <w:tc>
          <w:tcPr>
            <w:tcW w:w="497" w:type="dxa"/>
          </w:tcPr>
          <w:p>
            <w:pPr/>
          </w:p>
        </w:tc>
        <w:tc>
          <w:tcPr>
            <w:tcW w:w="497" w:type="dxa"/>
          </w:tcPr>
          <w:p>
            <w:pPr/>
          </w:p>
        </w:tc>
        <w:tc>
          <w:tcPr>
            <w:tcW w:w="494" w:type="dxa"/>
          </w:tcPr>
          <w:p>
            <w:pPr/>
          </w:p>
        </w:tc>
      </w:tr>
      <w:tr>
        <w:trPr>
          <w:trHeight w:val="432" w:hRule="exact"/>
        </w:trPr>
        <w:tc>
          <w:tcPr>
            <w:tcW w:w="1993" w:type="dxa"/>
          </w:tcPr>
          <w:p>
            <w:pPr>
              <w:pStyle w:val="TableParagraph"/>
              <w:ind w:left="98"/>
              <w:rPr>
                <w:sz w:val="16"/>
              </w:rPr>
            </w:pPr>
            <w:r>
              <w:rPr>
                <w:color w:val="17171E"/>
                <w:sz w:val="16"/>
              </w:rPr>
              <w:t>Inundaciones locales (IL)</w:t>
            </w:r>
          </w:p>
        </w:tc>
        <w:tc>
          <w:tcPr>
            <w:tcW w:w="497" w:type="dxa"/>
          </w:tcPr>
          <w:p>
            <w:pPr>
              <w:pStyle w:val="TableParagraph"/>
              <w:ind w:left="77" w:right="77"/>
              <w:jc w:val="center"/>
              <w:rPr>
                <w:sz w:val="16"/>
              </w:rPr>
            </w:pPr>
            <w:r>
              <w:rPr>
                <w:color w:val="17171E"/>
                <w:sz w:val="16"/>
              </w:rPr>
              <w:t>,089</w:t>
            </w:r>
          </w:p>
        </w:tc>
        <w:tc>
          <w:tcPr>
            <w:tcW w:w="550" w:type="dxa"/>
          </w:tcPr>
          <w:p>
            <w:pPr>
              <w:pStyle w:val="TableParagraph"/>
              <w:ind w:left="78" w:right="24"/>
              <w:jc w:val="center"/>
              <w:rPr>
                <w:sz w:val="16"/>
              </w:rPr>
            </w:pPr>
            <w:r>
              <w:rPr>
                <w:color w:val="17171E"/>
                <w:sz w:val="16"/>
              </w:rPr>
              <w:t>,068</w:t>
            </w:r>
          </w:p>
        </w:tc>
        <w:tc>
          <w:tcPr>
            <w:tcW w:w="497" w:type="dxa"/>
          </w:tcPr>
          <w:p>
            <w:pPr>
              <w:pStyle w:val="TableParagraph"/>
              <w:ind w:left="77" w:right="77"/>
              <w:jc w:val="center"/>
              <w:rPr>
                <w:sz w:val="16"/>
              </w:rPr>
            </w:pPr>
            <w:r>
              <w:rPr>
                <w:color w:val="17171E"/>
                <w:sz w:val="16"/>
              </w:rPr>
              <w:t>,139</w:t>
            </w:r>
          </w:p>
        </w:tc>
        <w:tc>
          <w:tcPr>
            <w:tcW w:w="497" w:type="dxa"/>
          </w:tcPr>
          <w:p>
            <w:pPr>
              <w:pStyle w:val="TableParagraph"/>
              <w:ind w:right="95"/>
              <w:jc w:val="right"/>
              <w:rPr>
                <w:sz w:val="16"/>
              </w:rPr>
            </w:pPr>
            <w:r>
              <w:rPr>
                <w:color w:val="17171E"/>
                <w:sz w:val="16"/>
              </w:rPr>
              <w:t>,292</w:t>
            </w:r>
          </w:p>
        </w:tc>
        <w:tc>
          <w:tcPr>
            <w:tcW w:w="494" w:type="dxa"/>
          </w:tcPr>
          <w:p>
            <w:pPr/>
          </w:p>
        </w:tc>
        <w:tc>
          <w:tcPr>
            <w:tcW w:w="497" w:type="dxa"/>
          </w:tcPr>
          <w:p>
            <w:pPr/>
          </w:p>
        </w:tc>
        <w:tc>
          <w:tcPr>
            <w:tcW w:w="497" w:type="dxa"/>
          </w:tcPr>
          <w:p>
            <w:pPr/>
          </w:p>
        </w:tc>
        <w:tc>
          <w:tcPr>
            <w:tcW w:w="494" w:type="dxa"/>
          </w:tcPr>
          <w:p>
            <w:pPr/>
          </w:p>
        </w:tc>
      </w:tr>
      <w:tr>
        <w:trPr>
          <w:trHeight w:val="432" w:hRule="exact"/>
        </w:trPr>
        <w:tc>
          <w:tcPr>
            <w:tcW w:w="1993" w:type="dxa"/>
          </w:tcPr>
          <w:p>
            <w:pPr>
              <w:pStyle w:val="TableParagraph"/>
              <w:ind w:left="98"/>
              <w:rPr>
                <w:sz w:val="16"/>
              </w:rPr>
            </w:pPr>
            <w:r>
              <w:rPr>
                <w:color w:val="17171E"/>
                <w:sz w:val="16"/>
              </w:rPr>
              <w:t>Sequia global (SG)</w:t>
            </w:r>
          </w:p>
        </w:tc>
        <w:tc>
          <w:tcPr>
            <w:tcW w:w="497" w:type="dxa"/>
          </w:tcPr>
          <w:p>
            <w:pPr>
              <w:pStyle w:val="TableParagraph"/>
              <w:ind w:left="77" w:right="77"/>
              <w:jc w:val="center"/>
              <w:rPr>
                <w:sz w:val="16"/>
              </w:rPr>
            </w:pPr>
            <w:r>
              <w:rPr>
                <w:color w:val="17171E"/>
                <w:sz w:val="16"/>
              </w:rPr>
              <w:t>,094</w:t>
            </w:r>
          </w:p>
        </w:tc>
        <w:tc>
          <w:tcPr>
            <w:tcW w:w="550" w:type="dxa"/>
          </w:tcPr>
          <w:p>
            <w:pPr>
              <w:pStyle w:val="TableParagraph"/>
              <w:ind w:left="78" w:right="24"/>
              <w:jc w:val="center"/>
              <w:rPr>
                <w:sz w:val="16"/>
              </w:rPr>
            </w:pPr>
            <w:r>
              <w:rPr>
                <w:color w:val="17171E"/>
                <w:sz w:val="16"/>
              </w:rPr>
              <w:t>,019</w:t>
            </w:r>
          </w:p>
        </w:tc>
        <w:tc>
          <w:tcPr>
            <w:tcW w:w="497" w:type="dxa"/>
          </w:tcPr>
          <w:p>
            <w:pPr>
              <w:pStyle w:val="TableParagraph"/>
              <w:ind w:left="77" w:right="77"/>
              <w:jc w:val="center"/>
              <w:rPr>
                <w:sz w:val="16"/>
              </w:rPr>
            </w:pPr>
            <w:r>
              <w:rPr>
                <w:color w:val="17171E"/>
                <w:sz w:val="16"/>
              </w:rPr>
              <w:t>,088</w:t>
            </w:r>
          </w:p>
        </w:tc>
        <w:tc>
          <w:tcPr>
            <w:tcW w:w="497" w:type="dxa"/>
          </w:tcPr>
          <w:p>
            <w:pPr>
              <w:pStyle w:val="TableParagraph"/>
              <w:ind w:right="95"/>
              <w:jc w:val="right"/>
              <w:rPr>
                <w:sz w:val="16"/>
              </w:rPr>
            </w:pPr>
            <w:r>
              <w:rPr>
                <w:color w:val="17171E"/>
                <w:sz w:val="16"/>
              </w:rPr>
              <w:t>,118</w:t>
            </w:r>
          </w:p>
        </w:tc>
        <w:tc>
          <w:tcPr>
            <w:tcW w:w="494" w:type="dxa"/>
          </w:tcPr>
          <w:p>
            <w:pPr>
              <w:pStyle w:val="TableParagraph"/>
              <w:ind w:left="77" w:right="78"/>
              <w:jc w:val="center"/>
              <w:rPr>
                <w:sz w:val="16"/>
              </w:rPr>
            </w:pPr>
            <w:r>
              <w:rPr>
                <w:color w:val="17171E"/>
                <w:sz w:val="16"/>
              </w:rPr>
              <w:t>,227</w:t>
            </w:r>
          </w:p>
        </w:tc>
        <w:tc>
          <w:tcPr>
            <w:tcW w:w="497" w:type="dxa"/>
          </w:tcPr>
          <w:p>
            <w:pPr/>
          </w:p>
        </w:tc>
        <w:tc>
          <w:tcPr>
            <w:tcW w:w="497" w:type="dxa"/>
          </w:tcPr>
          <w:p>
            <w:pPr/>
          </w:p>
        </w:tc>
        <w:tc>
          <w:tcPr>
            <w:tcW w:w="494" w:type="dxa"/>
          </w:tcPr>
          <w:p>
            <w:pPr/>
          </w:p>
        </w:tc>
      </w:tr>
      <w:tr>
        <w:trPr>
          <w:trHeight w:val="430" w:hRule="exact"/>
        </w:trPr>
        <w:tc>
          <w:tcPr>
            <w:tcW w:w="1993" w:type="dxa"/>
          </w:tcPr>
          <w:p>
            <w:pPr>
              <w:pStyle w:val="TableParagraph"/>
              <w:ind w:left="98"/>
              <w:rPr>
                <w:sz w:val="16"/>
              </w:rPr>
            </w:pPr>
            <w:r>
              <w:rPr>
                <w:color w:val="17171E"/>
                <w:sz w:val="16"/>
              </w:rPr>
              <w:t>Sequia permanente (SP)</w:t>
            </w:r>
          </w:p>
        </w:tc>
        <w:tc>
          <w:tcPr>
            <w:tcW w:w="497" w:type="dxa"/>
          </w:tcPr>
          <w:p>
            <w:pPr>
              <w:pStyle w:val="TableParagraph"/>
              <w:ind w:left="77" w:right="77"/>
              <w:jc w:val="center"/>
              <w:rPr>
                <w:sz w:val="16"/>
              </w:rPr>
            </w:pPr>
            <w:r>
              <w:rPr>
                <w:color w:val="17171E"/>
                <w:sz w:val="16"/>
              </w:rPr>
              <w:t>,056</w:t>
            </w:r>
          </w:p>
        </w:tc>
        <w:tc>
          <w:tcPr>
            <w:tcW w:w="550" w:type="dxa"/>
          </w:tcPr>
          <w:p>
            <w:pPr>
              <w:pStyle w:val="TableParagraph"/>
              <w:ind w:left="78" w:right="24"/>
              <w:jc w:val="center"/>
              <w:rPr>
                <w:sz w:val="16"/>
              </w:rPr>
            </w:pPr>
            <w:r>
              <w:rPr>
                <w:color w:val="17171E"/>
                <w:sz w:val="16"/>
              </w:rPr>
              <w:t>,030</w:t>
            </w:r>
          </w:p>
        </w:tc>
        <w:tc>
          <w:tcPr>
            <w:tcW w:w="497" w:type="dxa"/>
          </w:tcPr>
          <w:p>
            <w:pPr>
              <w:pStyle w:val="TableParagraph"/>
              <w:ind w:left="77" w:right="77"/>
              <w:jc w:val="center"/>
              <w:rPr>
                <w:sz w:val="16"/>
              </w:rPr>
            </w:pPr>
            <w:r>
              <w:rPr>
                <w:color w:val="17171E"/>
                <w:sz w:val="16"/>
              </w:rPr>
              <w:t>,073</w:t>
            </w:r>
          </w:p>
        </w:tc>
        <w:tc>
          <w:tcPr>
            <w:tcW w:w="497" w:type="dxa"/>
          </w:tcPr>
          <w:p>
            <w:pPr>
              <w:pStyle w:val="TableParagraph"/>
              <w:ind w:right="95"/>
              <w:jc w:val="right"/>
              <w:rPr>
                <w:sz w:val="16"/>
              </w:rPr>
            </w:pPr>
            <w:r>
              <w:rPr>
                <w:color w:val="17171E"/>
                <w:sz w:val="16"/>
              </w:rPr>
              <w:t>,117</w:t>
            </w:r>
          </w:p>
        </w:tc>
        <w:tc>
          <w:tcPr>
            <w:tcW w:w="494" w:type="dxa"/>
          </w:tcPr>
          <w:p>
            <w:pPr>
              <w:pStyle w:val="TableParagraph"/>
              <w:ind w:left="77" w:right="78"/>
              <w:jc w:val="center"/>
              <w:rPr>
                <w:sz w:val="16"/>
              </w:rPr>
            </w:pPr>
            <w:r>
              <w:rPr>
                <w:color w:val="17171E"/>
                <w:sz w:val="16"/>
              </w:rPr>
              <w:t>,085</w:t>
            </w:r>
          </w:p>
        </w:tc>
        <w:tc>
          <w:tcPr>
            <w:tcW w:w="497" w:type="dxa"/>
          </w:tcPr>
          <w:p>
            <w:pPr>
              <w:pStyle w:val="TableParagraph"/>
              <w:ind w:right="96"/>
              <w:jc w:val="right"/>
              <w:rPr>
                <w:sz w:val="16"/>
              </w:rPr>
            </w:pPr>
            <w:r>
              <w:rPr>
                <w:color w:val="17171E"/>
                <w:sz w:val="16"/>
              </w:rPr>
              <w:t>,244</w:t>
            </w:r>
          </w:p>
        </w:tc>
        <w:tc>
          <w:tcPr>
            <w:tcW w:w="497" w:type="dxa"/>
          </w:tcPr>
          <w:p>
            <w:pPr/>
          </w:p>
        </w:tc>
        <w:tc>
          <w:tcPr>
            <w:tcW w:w="494" w:type="dxa"/>
          </w:tcPr>
          <w:p>
            <w:pPr/>
          </w:p>
        </w:tc>
      </w:tr>
      <w:tr>
        <w:trPr>
          <w:trHeight w:val="432" w:hRule="exact"/>
        </w:trPr>
        <w:tc>
          <w:tcPr>
            <w:tcW w:w="1993" w:type="dxa"/>
          </w:tcPr>
          <w:p>
            <w:pPr>
              <w:pStyle w:val="TableParagraph"/>
              <w:spacing w:line="183" w:lineRule="exact"/>
              <w:ind w:left="98"/>
              <w:rPr>
                <w:sz w:val="16"/>
              </w:rPr>
            </w:pPr>
            <w:r>
              <w:rPr>
                <w:color w:val="17171E"/>
                <w:sz w:val="16"/>
              </w:rPr>
              <w:t>Sequia temporal (ST)</w:t>
            </w:r>
          </w:p>
        </w:tc>
        <w:tc>
          <w:tcPr>
            <w:tcW w:w="497" w:type="dxa"/>
          </w:tcPr>
          <w:p>
            <w:pPr>
              <w:pStyle w:val="TableParagraph"/>
              <w:spacing w:line="183" w:lineRule="exact"/>
              <w:ind w:left="77" w:right="77"/>
              <w:jc w:val="center"/>
              <w:rPr>
                <w:sz w:val="16"/>
              </w:rPr>
            </w:pPr>
            <w:r>
              <w:rPr>
                <w:color w:val="17171E"/>
                <w:sz w:val="16"/>
              </w:rPr>
              <w:t>,028</w:t>
            </w:r>
          </w:p>
        </w:tc>
        <w:tc>
          <w:tcPr>
            <w:tcW w:w="550" w:type="dxa"/>
          </w:tcPr>
          <w:p>
            <w:pPr>
              <w:pStyle w:val="TableParagraph"/>
              <w:spacing w:line="183" w:lineRule="exact"/>
              <w:ind w:left="78" w:right="24"/>
              <w:jc w:val="center"/>
              <w:rPr>
                <w:sz w:val="16"/>
              </w:rPr>
            </w:pPr>
            <w:r>
              <w:rPr>
                <w:color w:val="17171E"/>
                <w:sz w:val="16"/>
              </w:rPr>
              <w:t>,023</w:t>
            </w:r>
          </w:p>
        </w:tc>
        <w:tc>
          <w:tcPr>
            <w:tcW w:w="497" w:type="dxa"/>
          </w:tcPr>
          <w:p>
            <w:pPr>
              <w:pStyle w:val="TableParagraph"/>
              <w:spacing w:line="183" w:lineRule="exact"/>
              <w:ind w:left="77" w:right="77"/>
              <w:jc w:val="center"/>
              <w:rPr>
                <w:sz w:val="16"/>
              </w:rPr>
            </w:pPr>
            <w:r>
              <w:rPr>
                <w:color w:val="17171E"/>
                <w:sz w:val="16"/>
              </w:rPr>
              <w:t>,058</w:t>
            </w:r>
          </w:p>
        </w:tc>
        <w:tc>
          <w:tcPr>
            <w:tcW w:w="497" w:type="dxa"/>
          </w:tcPr>
          <w:p>
            <w:pPr>
              <w:pStyle w:val="TableParagraph"/>
              <w:spacing w:line="183" w:lineRule="exact"/>
              <w:ind w:right="95"/>
              <w:jc w:val="right"/>
              <w:rPr>
                <w:sz w:val="16"/>
              </w:rPr>
            </w:pPr>
            <w:r>
              <w:rPr>
                <w:color w:val="17171E"/>
                <w:sz w:val="16"/>
              </w:rPr>
              <w:t>,107</w:t>
            </w:r>
          </w:p>
        </w:tc>
        <w:tc>
          <w:tcPr>
            <w:tcW w:w="494" w:type="dxa"/>
          </w:tcPr>
          <w:p>
            <w:pPr>
              <w:pStyle w:val="TableParagraph"/>
              <w:spacing w:line="183" w:lineRule="exact"/>
              <w:ind w:left="77" w:right="78"/>
              <w:jc w:val="center"/>
              <w:rPr>
                <w:sz w:val="16"/>
              </w:rPr>
            </w:pPr>
            <w:r>
              <w:rPr>
                <w:color w:val="17171E"/>
                <w:sz w:val="16"/>
              </w:rPr>
              <w:t>,096</w:t>
            </w:r>
          </w:p>
        </w:tc>
        <w:tc>
          <w:tcPr>
            <w:tcW w:w="497" w:type="dxa"/>
          </w:tcPr>
          <w:p>
            <w:pPr>
              <w:pStyle w:val="TableParagraph"/>
              <w:spacing w:line="183" w:lineRule="exact"/>
              <w:ind w:right="96"/>
              <w:jc w:val="right"/>
              <w:rPr>
                <w:sz w:val="16"/>
              </w:rPr>
            </w:pPr>
            <w:r>
              <w:rPr>
                <w:color w:val="17171E"/>
                <w:sz w:val="16"/>
              </w:rPr>
              <w:t>,158</w:t>
            </w:r>
          </w:p>
        </w:tc>
        <w:tc>
          <w:tcPr>
            <w:tcW w:w="497" w:type="dxa"/>
          </w:tcPr>
          <w:p>
            <w:pPr>
              <w:pStyle w:val="TableParagraph"/>
              <w:spacing w:line="183" w:lineRule="exact"/>
              <w:ind w:left="77" w:right="77"/>
              <w:jc w:val="center"/>
              <w:rPr>
                <w:sz w:val="16"/>
              </w:rPr>
            </w:pPr>
            <w:r>
              <w:rPr>
                <w:color w:val="17171E"/>
                <w:sz w:val="16"/>
              </w:rPr>
              <w:t>,322</w:t>
            </w:r>
          </w:p>
        </w:tc>
        <w:tc>
          <w:tcPr>
            <w:tcW w:w="494" w:type="dxa"/>
          </w:tcPr>
          <w:p>
            <w:pPr/>
          </w:p>
        </w:tc>
      </w:tr>
      <w:tr>
        <w:trPr>
          <w:trHeight w:val="432" w:hRule="exact"/>
        </w:trPr>
        <w:tc>
          <w:tcPr>
            <w:tcW w:w="1993" w:type="dxa"/>
            <w:tcBorders>
              <w:bottom w:val="single" w:sz="8" w:space="0" w:color="1F1F29"/>
            </w:tcBorders>
          </w:tcPr>
          <w:p>
            <w:pPr>
              <w:pStyle w:val="TableParagraph"/>
              <w:spacing w:line="183" w:lineRule="exact"/>
              <w:ind w:left="98"/>
              <w:rPr>
                <w:sz w:val="16"/>
              </w:rPr>
            </w:pPr>
            <w:r>
              <w:rPr>
                <w:color w:val="17171E"/>
                <w:sz w:val="16"/>
              </w:rPr>
              <w:t>Tormentas temporales (TT)</w:t>
            </w:r>
          </w:p>
        </w:tc>
        <w:tc>
          <w:tcPr>
            <w:tcW w:w="497" w:type="dxa"/>
            <w:tcBorders>
              <w:bottom w:val="single" w:sz="8" w:space="0" w:color="1F1F29"/>
            </w:tcBorders>
          </w:tcPr>
          <w:p>
            <w:pPr>
              <w:pStyle w:val="TableParagraph"/>
              <w:spacing w:line="183" w:lineRule="exact"/>
              <w:ind w:left="77" w:right="77"/>
              <w:jc w:val="center"/>
              <w:rPr>
                <w:sz w:val="16"/>
              </w:rPr>
            </w:pPr>
            <w:r>
              <w:rPr>
                <w:color w:val="17171E"/>
                <w:sz w:val="16"/>
              </w:rPr>
              <w:t>,005</w:t>
            </w:r>
          </w:p>
        </w:tc>
        <w:tc>
          <w:tcPr>
            <w:tcW w:w="550" w:type="dxa"/>
            <w:tcBorders>
              <w:bottom w:val="single" w:sz="8" w:space="0" w:color="1F1F29"/>
            </w:tcBorders>
          </w:tcPr>
          <w:p>
            <w:pPr>
              <w:pStyle w:val="TableParagraph"/>
              <w:spacing w:line="183" w:lineRule="exact"/>
              <w:ind w:left="78" w:right="78"/>
              <w:jc w:val="center"/>
              <w:rPr>
                <w:sz w:val="16"/>
              </w:rPr>
            </w:pPr>
            <w:r>
              <w:rPr>
                <w:color w:val="17171E"/>
                <w:sz w:val="16"/>
              </w:rPr>
              <w:t>-,006</w:t>
            </w:r>
          </w:p>
        </w:tc>
        <w:tc>
          <w:tcPr>
            <w:tcW w:w="497" w:type="dxa"/>
            <w:tcBorders>
              <w:bottom w:val="single" w:sz="8" w:space="0" w:color="1F1F29"/>
            </w:tcBorders>
          </w:tcPr>
          <w:p>
            <w:pPr>
              <w:pStyle w:val="TableParagraph"/>
              <w:spacing w:line="183" w:lineRule="exact"/>
              <w:ind w:left="77" w:right="77"/>
              <w:jc w:val="center"/>
              <w:rPr>
                <w:sz w:val="16"/>
              </w:rPr>
            </w:pPr>
            <w:r>
              <w:rPr>
                <w:color w:val="17171E"/>
                <w:sz w:val="16"/>
              </w:rPr>
              <w:t>,060</w:t>
            </w:r>
          </w:p>
        </w:tc>
        <w:tc>
          <w:tcPr>
            <w:tcW w:w="497" w:type="dxa"/>
            <w:tcBorders>
              <w:bottom w:val="single" w:sz="8" w:space="0" w:color="1F1F29"/>
            </w:tcBorders>
          </w:tcPr>
          <w:p>
            <w:pPr>
              <w:pStyle w:val="TableParagraph"/>
              <w:spacing w:line="183" w:lineRule="exact"/>
              <w:ind w:right="95"/>
              <w:jc w:val="right"/>
              <w:rPr>
                <w:sz w:val="16"/>
              </w:rPr>
            </w:pPr>
            <w:r>
              <w:rPr>
                <w:color w:val="17171E"/>
                <w:sz w:val="16"/>
              </w:rPr>
              <w:t>,139</w:t>
            </w:r>
          </w:p>
        </w:tc>
        <w:tc>
          <w:tcPr>
            <w:tcW w:w="494" w:type="dxa"/>
            <w:tcBorders>
              <w:bottom w:val="single" w:sz="8" w:space="0" w:color="1F1F29"/>
            </w:tcBorders>
          </w:tcPr>
          <w:p>
            <w:pPr>
              <w:pStyle w:val="TableParagraph"/>
              <w:spacing w:line="183" w:lineRule="exact"/>
              <w:ind w:left="77" w:right="78"/>
              <w:jc w:val="center"/>
              <w:rPr>
                <w:sz w:val="16"/>
              </w:rPr>
            </w:pPr>
            <w:r>
              <w:rPr>
                <w:color w:val="17171E"/>
                <w:sz w:val="16"/>
              </w:rPr>
              <w:t>,094</w:t>
            </w:r>
          </w:p>
        </w:tc>
        <w:tc>
          <w:tcPr>
            <w:tcW w:w="497" w:type="dxa"/>
            <w:tcBorders>
              <w:bottom w:val="single" w:sz="8" w:space="0" w:color="1F1F29"/>
            </w:tcBorders>
          </w:tcPr>
          <w:p>
            <w:pPr>
              <w:pStyle w:val="TableParagraph"/>
              <w:spacing w:line="183" w:lineRule="exact"/>
              <w:ind w:right="96"/>
              <w:jc w:val="right"/>
              <w:rPr>
                <w:sz w:val="16"/>
              </w:rPr>
            </w:pPr>
            <w:r>
              <w:rPr>
                <w:color w:val="17171E"/>
                <w:sz w:val="16"/>
              </w:rPr>
              <w:t>,116</w:t>
            </w:r>
          </w:p>
        </w:tc>
        <w:tc>
          <w:tcPr>
            <w:tcW w:w="497" w:type="dxa"/>
            <w:tcBorders>
              <w:bottom w:val="single" w:sz="8" w:space="0" w:color="1F1F29"/>
            </w:tcBorders>
          </w:tcPr>
          <w:p>
            <w:pPr>
              <w:pStyle w:val="TableParagraph"/>
              <w:spacing w:line="183" w:lineRule="exact"/>
              <w:ind w:left="77" w:right="77"/>
              <w:jc w:val="center"/>
              <w:rPr>
                <w:sz w:val="16"/>
              </w:rPr>
            </w:pPr>
            <w:r>
              <w:rPr>
                <w:color w:val="17171E"/>
                <w:sz w:val="16"/>
              </w:rPr>
              <w:t>,169</w:t>
            </w:r>
          </w:p>
        </w:tc>
        <w:tc>
          <w:tcPr>
            <w:tcW w:w="494" w:type="dxa"/>
            <w:tcBorders>
              <w:bottom w:val="single" w:sz="8" w:space="0" w:color="1F1F29"/>
            </w:tcBorders>
          </w:tcPr>
          <w:p>
            <w:pPr>
              <w:pStyle w:val="TableParagraph"/>
              <w:spacing w:line="183" w:lineRule="exact"/>
              <w:ind w:left="77" w:right="78"/>
              <w:jc w:val="center"/>
              <w:rPr>
                <w:sz w:val="16"/>
              </w:rPr>
            </w:pPr>
            <w:r>
              <w:rPr>
                <w:color w:val="17171E"/>
                <w:sz w:val="16"/>
              </w:rPr>
              <w:t>,357</w:t>
            </w:r>
          </w:p>
        </w:tc>
      </w:tr>
    </w:tbl>
    <w:p>
      <w:pPr>
        <w:pStyle w:val="BodyText"/>
        <w:spacing w:before="8"/>
        <w:rPr>
          <w:sz w:val="17"/>
        </w:rPr>
      </w:pPr>
    </w:p>
    <w:p>
      <w:pPr>
        <w:pStyle w:val="BodyText"/>
        <w:spacing w:line="276" w:lineRule="auto" w:before="69"/>
        <w:ind w:left="102" w:right="119"/>
        <w:jc w:val="both"/>
      </w:pPr>
      <w:r>
        <w:rPr/>
        <w:t>Si cada uno de los indicadores perceptuales se relacionara causalmente con un comportamiento de riesgo los valores de regresión serían cercanos al cero. Es decir, las expectativas de riesgo tendrían que estar asociadas con otros indicadores para incidir sobre las acciones de riesgo. En el caso del factor perceptual, su asociación con otros factores explicaría la variación del comportamiento en situaciones de riesgo.</w:t>
      </w:r>
    </w:p>
    <w:p>
      <w:pPr>
        <w:pStyle w:val="BodyText"/>
        <w:spacing w:before="8"/>
      </w:pPr>
    </w:p>
    <w:p>
      <w:pPr>
        <w:pStyle w:val="BodyText"/>
        <w:spacing w:line="276" w:lineRule="auto"/>
        <w:ind w:left="102" w:right="123"/>
        <w:jc w:val="both"/>
      </w:pPr>
      <w:r>
        <w:rPr/>
        <w:t>La figura 3 muestra valores cercanos al cero entre el factor perceptual y los indicadores de expectativas de riesgo. La sequía global fue el indicador con mayor relación con el factor perceptual y la sequía temporal obtuvo el valor causal más bajo. Ambos hallazgos son relevantes para discutir la multidimensionalidad de las percepciones de riesgo en referencia a las situaciones hídricas.</w:t>
      </w:r>
    </w:p>
    <w:p>
      <w:pPr>
        <w:pStyle w:val="BodyText"/>
        <w:spacing w:before="5"/>
      </w:pPr>
    </w:p>
    <w:p>
      <w:pPr>
        <w:pStyle w:val="BodyText"/>
        <w:ind w:left="102"/>
        <w:jc w:val="both"/>
      </w:pPr>
      <w:r>
        <w:rPr>
          <w:b/>
        </w:rPr>
        <w:t>Figura 3. </w:t>
      </w:r>
      <w:r>
        <w:rPr/>
        <w:t>Estructura reflectiva de la percepción hídrica</w:t>
      </w:r>
    </w:p>
    <w:p>
      <w:pPr>
        <w:spacing w:after="0"/>
        <w:jc w:val="both"/>
        <w:sectPr>
          <w:pgSz w:w="12240" w:h="15840"/>
          <w:pgMar w:top="1360" w:bottom="280" w:left="1600" w:right="1580"/>
        </w:sectPr>
      </w:pPr>
    </w:p>
    <w:p>
      <w:pPr>
        <w:spacing w:before="66" w:after="8"/>
        <w:ind w:left="0" w:right="1755" w:firstLine="0"/>
        <w:jc w:val="right"/>
        <w:rPr>
          <w:rFonts w:ascii="Arial"/>
          <w:sz w:val="18"/>
        </w:rPr>
      </w:pPr>
      <w:r>
        <w:rPr/>
        <w:pict>
          <v:group style="position:absolute;margin-left:170.581635pt;margin-top:12.250788pt;width:230.85pt;height:287.650pt;mso-position-horizontal-relative:page;mso-position-vertical-relative:paragraph;z-index:-24112" coordorigin="3412,245" coordsize="4617,5753">
            <v:shape style="position:absolute;left:3414;top:245;width:4415;height:3246" coordorigin="3414,245" coordsize="4415,3246" path="m4585,3181l4582,3149,4573,3119,4558,3089,4539,3061,4514,3034,4485,3009,4451,2986,4413,2964,4372,2944,4326,2927,4278,2911,4227,2899,4173,2888,4117,2881,4059,2876,3999,2875,3939,2876,3881,2881,3825,2888,3771,2899,3720,2911,3672,2927,3627,2944,3585,2964,3547,2986,3514,3009,3484,3034,3460,3061,3440,3089,3426,3119,3417,3149,3414,3181,3417,3212,3426,3243,3440,3273,3460,3301,3484,3328,3514,3354,3547,3377,3585,3399,3627,3419,3672,3437,3720,3453,3771,3466,3825,3476,3881,3484,3939,3489,3999,3490,4055,3489,4110,3485,4163,3478,4215,3469,4263,3457,4310,3443,4353,3427,4394,3409,4431,3389,4465,3368,4496,3345,4522,3320,4544,3294,4561,3267,4574,3239,4582,3210,4585,3181m7781,245l6811,245,6811,640,7781,640,7781,245m7815,963l6845,963,6845,1354,7815,1354,7815,963m7829,1769l6858,1769,6858,2160,7829,2160,7829,1769e" filled="true" fillcolor="#c0c0c0" stroked="false">
              <v:path arrowok="t"/>
              <v:fill type="solid"/>
            </v:shape>
            <v:shape style="position:absolute;left:3414;top:2875;width:1172;height:616" coordorigin="3414,2875" coordsize="1172,616" path="m3414,3181l3426,3243,3460,3301,3514,3354,3585,3399,3672,3437,3771,3466,3881,3484,3999,3490,4055,3489,4163,3478,4263,3457,4353,3427,4431,3389,4496,3345,4544,3294,4574,3239,4585,3181,4582,3149,4558,3089,4514,3034,4451,2986,4372,2944,4278,2911,4173,2888,4059,2876,3999,2875,3939,2876,3825,2888,3720,2911,3627,2944,3547,2986,3484,3034,3440,3089,3417,3149,3414,3181xe" filled="false" stroked="true" strokeweight=".175413pt" strokecolor="#000000">
              <v:path arrowok="t"/>
            </v:shape>
            <v:line style="position:absolute" from="4523,3037" to="6814,459" stroked="true" strokeweight=".175425pt" strokecolor="#000000"/>
            <v:shape style="position:absolute;left:6704;top:437;width:102;height:112" type="#_x0000_t75" stroked="false">
              <v:imagedata r:id="rId5" o:title=""/>
            </v:shape>
            <v:line style="position:absolute" from="4557,3071" to="6847,1173" stroked="true" strokeweight=".17542pt" strokecolor="#000000"/>
            <v:shape style="position:absolute;left:6731;top:1155;width:109;height:109" type="#_x0000_t75" stroked="false">
              <v:imagedata r:id="rId6" o:title=""/>
            </v:shape>
            <v:line style="position:absolute" from="4584,3119" to="6861,1979" stroked="true" strokeweight=".175412pt" strokecolor="#000000"/>
            <v:shape style="position:absolute;left:6736;top:1963;width:113;height:92" coordorigin="6736,1963" coordsize="113,92" path="m6848,1963l6736,1977,6741,1999,6750,2020,6764,2038,6780,2055,6848,1963xe" filled="true" fillcolor="#000000" stroked="false">
              <v:path arrowok="t"/>
              <v:fill type="solid"/>
            </v:shape>
            <v:shape style="position:absolute;left:6736;top:1963;width:113;height:92" coordorigin="6736,1963" coordsize="113,92" path="m6736,1977l6741,1999,6750,2020,6764,2038,6780,2055,6848,1963,6736,1977xe" filled="false" stroked="true" strokeweight=".17542pt" strokecolor="#000000">
              <v:path arrowok="t"/>
            </v:shape>
            <v:line style="position:absolute" from="4601,3173" to="6861,2853" stroked="true" strokeweight=".175406pt" strokecolor="#000000"/>
            <v:shape style="position:absolute;left:6736;top:2813;width:113;height:92" coordorigin="6736,2813" coordsize="113,92" path="m6736,2813l6736,2841,6736,2855,6739,2873,6746,2889,6753,2905,6848,2841,6736,2813xe" filled="true" fillcolor="#000000" stroked="false">
              <v:path arrowok="t"/>
              <v:fill type="solid"/>
            </v:shape>
            <v:shape style="position:absolute;left:6736;top:2813;width:113;height:92" coordorigin="6736,2813" coordsize="113,92" path="m6736,2813l6736,2824,6736,2831,6736,2837,6736,2855,6739,2873,6746,2889,6753,2905,6848,2841,6736,2813xe" filled="false" stroked="true" strokeweight=".17542pt" strokecolor="#000000">
              <v:path arrowok="t"/>
            </v:shape>
            <v:rect style="position:absolute;left:6869;top:3439;width:970;height:398" filled="true" fillcolor="#c0c0c0" stroked="false">
              <v:fill type="solid"/>
            </v:rect>
            <v:line style="position:absolute" from="4601,3224" to="6871,3650" stroked="true" strokeweight=".175407pt" strokecolor="#000000"/>
            <v:shape style="position:absolute;left:6743;top:3572;width:120;height:92" coordorigin="6743,3572" coordsize="120,92" path="m6763,3572l6755,3586,6750,3601,6747,3618,6746,3633,6743,3644,6746,3654,6750,3664,6862,3633,6763,3572xe" filled="true" fillcolor="#000000" stroked="false">
              <v:path arrowok="t"/>
              <v:fill type="solid"/>
            </v:shape>
            <v:shape style="position:absolute;left:6743;top:3572;width:120;height:92" coordorigin="6743,3572" coordsize="120,92" path="m6763,3572l6755,3586,6750,3601,6747,3618,6746,3633,6743,3644,6746,3654,6750,3664,6862,3633,6763,3572xe" filled="false" stroked="true" strokeweight=".175419pt" strokecolor="#000000">
              <v:path arrowok="t"/>
            </v:shape>
            <v:rect style="position:absolute;left:6879;top:4191;width:974;height:391" filled="true" fillcolor="#c0c0c0" stroked="false">
              <v:fill type="solid"/>
            </v:rect>
            <v:line style="position:absolute" from="4584,3272" to="6882,4398" stroked="true" strokeweight=".175412pt" strokecolor="#000000"/>
            <v:shape style="position:absolute;left:6760;top:4300;width:116;height:85" coordorigin="6760,4300" coordsize="116,85" path="m6797,4300l6781,4317,6770,4337,6762,4360,6760,4385,6876,4385,6797,4300xe" filled="true" fillcolor="#000000" stroked="false">
              <v:path arrowok="t"/>
              <v:fill type="solid"/>
            </v:shape>
            <v:shape style="position:absolute;left:6760;top:4300;width:116;height:85" coordorigin="6760,4300" coordsize="116,85" path="m6797,4300l6781,4317,6770,4337,6762,4360,6760,4385,6876,4385,6797,4300xe" filled="false" stroked="true" strokeweight=".175418pt" strokecolor="#000000">
              <v:path arrowok="t"/>
            </v:shape>
            <v:rect style="position:absolute;left:6903;top:4882;width:970;height:395" filled="true" fillcolor="#c0c0c0" stroked="false">
              <v:fill type="solid"/>
            </v:rect>
            <v:line style="position:absolute" from="4563,3309" to="6905,5089" stroked="true" strokeweight=".175418pt" strokecolor="#000000"/>
            <v:shape style="position:absolute;left:6779;top:4979;width:119;height:102" type="#_x0000_t75" stroked="false">
              <v:imagedata r:id="rId7" o:title=""/>
            </v:shape>
            <v:shape style="position:absolute;left:7832;top:2803;width:116;height:82" coordorigin="7832,2803" coordsize="116,82" path="m7941,2803l7832,2841,7938,2885,7942,2873,7945,2862,7947,2851,7948,2841,7948,2827,7944,2813,7941,2803xe" filled="true" fillcolor="#000000" stroked="false">
              <v:path arrowok="t"/>
              <v:fill type="solid"/>
            </v:shape>
            <v:shape style="position:absolute;left:7832;top:2803;width:116;height:82" coordorigin="7832,2803" coordsize="116,82" path="m7938,2885l7942,2873,7945,2862,7947,2851,7948,2841,7948,2827,7944,2813,7941,2803,7832,2841,7938,2885xe" filled="false" stroked="true" strokeweight=".175417pt" strokecolor="#000000">
              <v:path arrowok="t"/>
            </v:shape>
            <v:rect style="position:absolute;left:6930;top:5603;width:973;height:395" filled="true" fillcolor="#c0c0c0" stroked="false">
              <v:fill type="solid"/>
            </v:rect>
            <v:shape style="position:absolute;left:7910;top:5760;width:116;height:89" coordorigin="7910,5760" coordsize="116,89" path="m8013,5848l8017,5836,8022,5824,8025,5813,8026,5800,8025,5790,8024,5780,8022,5770,8019,5760,7910,5800,8013,5848xe" filled="false" stroked="true" strokeweight=".175418pt" strokecolor="#000000">
              <v:path arrowok="t"/>
            </v:shape>
            <v:line style="position:absolute" from="4553,3320" to="6933,5810" stroked="true" strokeweight=".175424pt" strokecolor="#000000"/>
            <v:shape style="position:absolute;left:6816;top:5686;width:112;height:116" type="#_x0000_t75" stroked="false">
              <v:imagedata r:id="rId8" o:title=""/>
            </v:shape>
            <w10:wrap type="none"/>
          </v:group>
        </w:pict>
      </w:r>
      <w:r>
        <w:rPr/>
        <w:pict>
          <v:shapetype id="_x0000_t202" o:spt="202" coordsize="21600,21600" path="m,l,21600r21600,l21600,xe">
            <v:stroke joinstyle="miter"/>
            <v:path gradientshapeok="t" o:connecttype="rect"/>
          </v:shapetype>
          <v:shape style="position:absolute;margin-left:340.451447pt;margin-top:12.163083pt;width:79.25pt;height:19.95pt;mso-position-horizontal-relative:page;mso-position-vertical-relative:paragraph;z-index:1456" type="#_x0000_t202" filled="false" stroked="false">
            <v:textbox inset="0,0,0,0">
              <w:txbxContent>
                <w:tbl>
                  <w:tblPr>
                    <w:tblW w:w="0" w:type="auto"/>
                    <w:jc w:val="left"/>
                    <w:tblBorders>
                      <w:top w:val="single" w:sz="1" w:space="0" w:color="000000"/>
                      <w:left w:val="single" w:sz="1" w:space="0" w:color="000000"/>
                      <w:bottom w:val="single" w:sz="1" w:space="0" w:color="000000"/>
                      <w:right w:val="single" w:sz="1" w:space="0" w:color="000000"/>
                      <w:insideH w:val="single" w:sz="1" w:space="0" w:color="000000"/>
                      <w:insideV w:val="single" w:sz="1" w:space="0" w:color="000000"/>
                    </w:tblBorders>
                    <w:tblLayout w:type="fixed"/>
                    <w:tblCellMar>
                      <w:top w:w="0" w:type="dxa"/>
                      <w:left w:w="0" w:type="dxa"/>
                      <w:bottom w:w="0" w:type="dxa"/>
                      <w:right w:w="0" w:type="dxa"/>
                    </w:tblCellMar>
                    <w:tblLook w:val="01E0"/>
                  </w:tblPr>
                  <w:tblGrid>
                    <w:gridCol w:w="970"/>
                    <w:gridCol w:w="612"/>
                  </w:tblGrid>
                  <w:tr>
                    <w:trPr>
                      <w:trHeight w:val="210" w:hRule="exact"/>
                    </w:trPr>
                    <w:tc>
                      <w:tcPr>
                        <w:tcW w:w="970" w:type="dxa"/>
                        <w:vMerge w:val="restart"/>
                        <w:shd w:val="clear" w:color="auto" w:fill="C0C0C0"/>
                      </w:tcPr>
                      <w:p>
                        <w:pPr>
                          <w:pStyle w:val="TableParagraph"/>
                          <w:spacing w:line="240" w:lineRule="auto" w:before="2"/>
                          <w:rPr>
                            <w:sz w:val="9"/>
                          </w:rPr>
                        </w:pPr>
                      </w:p>
                      <w:p>
                        <w:pPr>
                          <w:pStyle w:val="TableParagraph"/>
                          <w:spacing w:line="108" w:lineRule="exact"/>
                          <w:ind w:left="358" w:right="198" w:hanging="136"/>
                          <w:rPr>
                            <w:rFonts w:ascii="Arial"/>
                            <w:sz w:val="11"/>
                          </w:rPr>
                        </w:pPr>
                        <w:r>
                          <w:rPr>
                            <w:rFonts w:ascii="Arial"/>
                            <w:sz w:val="11"/>
                          </w:rPr>
                          <w:t>Desabasto Local</w:t>
                        </w:r>
                      </w:p>
                    </w:tc>
                    <w:tc>
                      <w:tcPr>
                        <w:tcW w:w="612" w:type="dxa"/>
                        <w:tcBorders>
                          <w:top w:val="nil"/>
                          <w:right w:val="nil"/>
                        </w:tcBorders>
                      </w:tcPr>
                      <w:p>
                        <w:pPr>
                          <w:pStyle w:val="TableParagraph"/>
                          <w:spacing w:line="240" w:lineRule="auto" w:before="63"/>
                          <w:ind w:right="40"/>
                          <w:jc w:val="center"/>
                          <w:rPr>
                            <w:rFonts w:ascii="Arial"/>
                            <w:sz w:val="11"/>
                          </w:rPr>
                        </w:pPr>
                        <w:r>
                          <w:rPr>
                            <w:rFonts w:ascii="Arial"/>
                            <w:w w:val="99"/>
                            <w:sz w:val="11"/>
                          </w:rPr>
                          <w:t>1</w:t>
                        </w:r>
                      </w:p>
                    </w:tc>
                  </w:tr>
                  <w:tr>
                    <w:trPr>
                      <w:trHeight w:val="185" w:hRule="exact"/>
                    </w:trPr>
                    <w:tc>
                      <w:tcPr>
                        <w:tcW w:w="970" w:type="dxa"/>
                        <w:vMerge/>
                        <w:shd w:val="clear" w:color="auto" w:fill="C0C0C0"/>
                      </w:tcPr>
                      <w:p>
                        <w:pPr/>
                      </w:p>
                    </w:tc>
                    <w:tc>
                      <w:tcPr>
                        <w:tcW w:w="612" w:type="dxa"/>
                        <w:tcBorders>
                          <w:bottom w:val="nil"/>
                          <w:right w:val="nil"/>
                        </w:tcBorders>
                      </w:tcPr>
                      <w:p>
                        <w:pPr/>
                      </w:p>
                    </w:tc>
                  </w:tr>
                </w:tbl>
                <w:p>
                  <w:pPr>
                    <w:pStyle w:val="BodyText"/>
                  </w:pPr>
                </w:p>
              </w:txbxContent>
            </v:textbox>
            <w10:wrap type="none"/>
          </v:shape>
        </w:pict>
      </w:r>
      <w:r>
        <w:rPr>
          <w:rFonts w:ascii="Arial"/>
          <w:sz w:val="18"/>
        </w:rPr>
        <w:t>,24</w:t>
      </w:r>
    </w:p>
    <w:p>
      <w:pPr>
        <w:pStyle w:val="BodyText"/>
        <w:ind w:left="6785"/>
        <w:rPr>
          <w:rFonts w:ascii="Arial"/>
          <w:sz w:val="20"/>
        </w:rPr>
      </w:pPr>
      <w:r>
        <w:rPr>
          <w:rFonts w:ascii="Arial"/>
          <w:sz w:val="20"/>
        </w:rPr>
        <w:pict>
          <v:group style="width:15.85pt;height:16.2pt;mso-position-horizontal-relative:char;mso-position-vertical-relative:line" coordorigin="0,0" coordsize="317,324">
            <v:shape style="position:absolute;left:0;top:0;width:317;height:323" type="#_x0000_t75" stroked="false">
              <v:imagedata r:id="rId9" o:title=""/>
            </v:shape>
            <v:shape style="position:absolute;left:0;top:0;width:317;height:324" type="#_x0000_t202" filled="false" stroked="false">
              <v:textbox inset="0,0,0,0">
                <w:txbxContent>
                  <w:p>
                    <w:pPr>
                      <w:spacing w:line="240" w:lineRule="auto" w:before="6"/>
                      <w:rPr>
                        <w:rFonts w:ascii="Arial"/>
                        <w:sz w:val="9"/>
                      </w:rPr>
                    </w:pPr>
                  </w:p>
                  <w:p>
                    <w:pPr>
                      <w:spacing w:before="0"/>
                      <w:ind w:left="107" w:right="0" w:firstLine="0"/>
                      <w:jc w:val="left"/>
                      <w:rPr>
                        <w:rFonts w:ascii="Arial"/>
                        <w:sz w:val="11"/>
                      </w:rPr>
                    </w:pPr>
                    <w:r>
                      <w:rPr>
                        <w:rFonts w:ascii="Arial"/>
                        <w:sz w:val="11"/>
                      </w:rPr>
                      <w:t>e1</w:t>
                    </w:r>
                  </w:p>
                </w:txbxContent>
              </v:textbox>
              <w10:wrap type="none"/>
            </v:shape>
          </v:group>
        </w:pict>
      </w:r>
      <w:r>
        <w:rPr>
          <w:rFonts w:ascii="Arial"/>
          <w:sz w:val="20"/>
        </w:rPr>
      </w:r>
    </w:p>
    <w:p>
      <w:pPr>
        <w:pStyle w:val="BodyText"/>
        <w:spacing w:before="2"/>
        <w:rPr>
          <w:rFonts w:ascii="Arial"/>
          <w:sz w:val="7"/>
        </w:rPr>
      </w:pPr>
    </w:p>
    <w:p>
      <w:pPr>
        <w:spacing w:before="83"/>
        <w:ind w:left="0" w:right="1721" w:firstLine="0"/>
        <w:jc w:val="right"/>
        <w:rPr>
          <w:rFonts w:ascii="Arial"/>
          <w:sz w:val="18"/>
        </w:rPr>
      </w:pPr>
      <w:r>
        <w:rPr/>
        <w:pict>
          <v:shape style="position:absolute;margin-left:342.158112pt;margin-top:13.188534pt;width:79.2pt;height:19.75pt;mso-position-horizontal-relative:page;mso-position-vertical-relative:paragraph;z-index:1480" type="#_x0000_t202" filled="false" stroked="false">
            <v:textbox inset="0,0,0,0">
              <w:txbxContent>
                <w:tbl>
                  <w:tblPr>
                    <w:tblW w:w="0" w:type="auto"/>
                    <w:jc w:val="left"/>
                    <w:tblBorders>
                      <w:top w:val="single" w:sz="1" w:space="0" w:color="000000"/>
                      <w:left w:val="single" w:sz="1" w:space="0" w:color="000000"/>
                      <w:bottom w:val="single" w:sz="1" w:space="0" w:color="000000"/>
                      <w:right w:val="single" w:sz="1" w:space="0" w:color="000000"/>
                      <w:insideH w:val="single" w:sz="1" w:space="0" w:color="000000"/>
                      <w:insideV w:val="single" w:sz="1" w:space="0" w:color="000000"/>
                    </w:tblBorders>
                    <w:tblLayout w:type="fixed"/>
                    <w:tblCellMar>
                      <w:top w:w="0" w:type="dxa"/>
                      <w:left w:w="0" w:type="dxa"/>
                      <w:bottom w:w="0" w:type="dxa"/>
                      <w:right w:w="0" w:type="dxa"/>
                    </w:tblCellMar>
                    <w:tblLook w:val="01E0"/>
                  </w:tblPr>
                  <w:tblGrid>
                    <w:gridCol w:w="970"/>
                    <w:gridCol w:w="612"/>
                  </w:tblGrid>
                  <w:tr>
                    <w:trPr>
                      <w:trHeight w:val="207" w:hRule="exact"/>
                    </w:trPr>
                    <w:tc>
                      <w:tcPr>
                        <w:tcW w:w="970" w:type="dxa"/>
                        <w:vMerge w:val="restart"/>
                        <w:shd w:val="clear" w:color="auto" w:fill="C0C0C0"/>
                      </w:tcPr>
                      <w:p>
                        <w:pPr>
                          <w:pStyle w:val="TableParagraph"/>
                          <w:spacing w:line="240" w:lineRule="auto" w:before="3"/>
                          <w:rPr>
                            <w:sz w:val="9"/>
                          </w:rPr>
                        </w:pPr>
                      </w:p>
                      <w:p>
                        <w:pPr>
                          <w:pStyle w:val="TableParagraph"/>
                          <w:spacing w:line="106" w:lineRule="exact"/>
                          <w:ind w:left="335" w:right="250" w:hanging="55"/>
                          <w:rPr>
                            <w:rFonts w:ascii="Arial"/>
                            <w:sz w:val="11"/>
                          </w:rPr>
                        </w:pPr>
                        <w:r>
                          <w:rPr>
                            <w:rFonts w:ascii="Arial"/>
                            <w:sz w:val="11"/>
                          </w:rPr>
                          <w:t>Escasez Global</w:t>
                        </w:r>
                      </w:p>
                    </w:tc>
                    <w:tc>
                      <w:tcPr>
                        <w:tcW w:w="612" w:type="dxa"/>
                        <w:tcBorders>
                          <w:top w:val="nil"/>
                          <w:right w:val="nil"/>
                        </w:tcBorders>
                      </w:tcPr>
                      <w:p>
                        <w:pPr>
                          <w:pStyle w:val="TableParagraph"/>
                          <w:spacing w:line="240" w:lineRule="auto" w:before="63"/>
                          <w:ind w:right="40"/>
                          <w:jc w:val="center"/>
                          <w:rPr>
                            <w:rFonts w:ascii="Arial"/>
                            <w:sz w:val="11"/>
                          </w:rPr>
                        </w:pPr>
                        <w:r>
                          <w:rPr>
                            <w:rFonts w:ascii="Arial"/>
                            <w:w w:val="99"/>
                            <w:sz w:val="11"/>
                          </w:rPr>
                          <w:t>1</w:t>
                        </w:r>
                      </w:p>
                    </w:tc>
                  </w:tr>
                  <w:tr>
                    <w:trPr>
                      <w:trHeight w:val="185" w:hRule="exact"/>
                    </w:trPr>
                    <w:tc>
                      <w:tcPr>
                        <w:tcW w:w="970" w:type="dxa"/>
                        <w:vMerge/>
                        <w:shd w:val="clear" w:color="auto" w:fill="C0C0C0"/>
                      </w:tcPr>
                      <w:p>
                        <w:pPr/>
                      </w:p>
                    </w:tc>
                    <w:tc>
                      <w:tcPr>
                        <w:tcW w:w="612" w:type="dxa"/>
                        <w:tcBorders>
                          <w:bottom w:val="nil"/>
                          <w:right w:val="nil"/>
                        </w:tcBorders>
                      </w:tcPr>
                      <w:p>
                        <w:pPr/>
                      </w:p>
                    </w:tc>
                  </w:tr>
                </w:tbl>
                <w:p>
                  <w:pPr>
                    <w:pStyle w:val="BodyText"/>
                  </w:pPr>
                </w:p>
              </w:txbxContent>
            </v:textbox>
            <w10:wrap type="none"/>
          </v:shape>
        </w:pict>
      </w:r>
      <w:r>
        <w:rPr>
          <w:rFonts w:ascii="Arial"/>
          <w:sz w:val="18"/>
        </w:rPr>
        <w:t>,20</w:t>
      </w:r>
    </w:p>
    <w:p>
      <w:pPr>
        <w:pStyle w:val="BodyText"/>
        <w:spacing w:before="3"/>
        <w:rPr>
          <w:rFonts w:ascii="Arial"/>
          <w:sz w:val="14"/>
        </w:rPr>
      </w:pPr>
    </w:p>
    <w:p>
      <w:pPr>
        <w:spacing w:before="86"/>
        <w:ind w:left="3752" w:right="4152" w:firstLine="0"/>
        <w:jc w:val="center"/>
        <w:rPr>
          <w:rFonts w:ascii="Arial"/>
          <w:sz w:val="11"/>
        </w:rPr>
      </w:pPr>
      <w:r>
        <w:rPr/>
        <w:pict>
          <v:group style="position:absolute;margin-left:420.964691pt;margin-top:-7.817905pt;width:15.85pt;height:16.2pt;mso-position-horizontal-relative:page;mso-position-vertical-relative:paragraph;z-index:1168" coordorigin="8419,-156" coordsize="317,324">
            <v:shape style="position:absolute;left:8419;top:-156;width:317;height:323" type="#_x0000_t75" stroked="false">
              <v:imagedata r:id="rId10" o:title=""/>
            </v:shape>
            <v:shape style="position:absolute;left:8419;top:-156;width:317;height:324" type="#_x0000_t202" filled="false" stroked="false">
              <v:textbox inset="0,0,0,0">
                <w:txbxContent>
                  <w:p>
                    <w:pPr>
                      <w:spacing w:line="240" w:lineRule="auto" w:before="6"/>
                      <w:rPr>
                        <w:sz w:val="9"/>
                      </w:rPr>
                    </w:pPr>
                  </w:p>
                  <w:p>
                    <w:pPr>
                      <w:spacing w:before="0"/>
                      <w:ind w:left="107" w:right="0" w:firstLine="0"/>
                      <w:jc w:val="left"/>
                      <w:rPr>
                        <w:rFonts w:ascii="Arial"/>
                        <w:sz w:val="11"/>
                      </w:rPr>
                    </w:pPr>
                    <w:r>
                      <w:rPr>
                        <w:rFonts w:ascii="Arial"/>
                        <w:sz w:val="11"/>
                      </w:rPr>
                      <w:t>e2</w:t>
                    </w:r>
                  </w:p>
                </w:txbxContent>
              </v:textbox>
              <w10:wrap type="none"/>
            </v:shape>
            <w10:wrap type="none"/>
          </v:group>
        </w:pict>
      </w:r>
      <w:r>
        <w:rPr>
          <w:rFonts w:ascii="Arial"/>
          <w:sz w:val="11"/>
        </w:rPr>
        <w:t>,28</w:t>
      </w:r>
    </w:p>
    <w:p>
      <w:pPr>
        <w:spacing w:after="0"/>
        <w:jc w:val="center"/>
        <w:rPr>
          <w:rFonts w:ascii="Arial"/>
          <w:sz w:val="11"/>
        </w:rPr>
        <w:sectPr>
          <w:pgSz w:w="12240" w:h="15840"/>
          <w:pgMar w:top="1400" w:bottom="280" w:left="1600" w:right="1600"/>
        </w:sectPr>
      </w:pPr>
    </w:p>
    <w:p>
      <w:pPr>
        <w:pStyle w:val="BodyText"/>
        <w:rPr>
          <w:rFonts w:ascii="Arial"/>
          <w:sz w:val="10"/>
        </w:rPr>
      </w:pPr>
    </w:p>
    <w:p>
      <w:pPr>
        <w:spacing w:before="61"/>
        <w:ind w:left="0" w:right="0" w:firstLine="0"/>
        <w:jc w:val="right"/>
        <w:rPr>
          <w:rFonts w:ascii="Arial"/>
          <w:sz w:val="11"/>
        </w:rPr>
      </w:pPr>
      <w:r>
        <w:rPr>
          <w:rFonts w:ascii="Arial"/>
          <w:sz w:val="11"/>
        </w:rPr>
        <w:t>,29</w:t>
      </w:r>
    </w:p>
    <w:p>
      <w:pPr>
        <w:pStyle w:val="BodyText"/>
        <w:spacing w:before="4"/>
        <w:rPr>
          <w:rFonts w:ascii="Arial"/>
          <w:sz w:val="19"/>
        </w:rPr>
      </w:pPr>
      <w:r>
        <w:rPr/>
        <w:br w:type="column"/>
      </w:r>
      <w:r>
        <w:rPr>
          <w:rFonts w:ascii="Arial"/>
          <w:sz w:val="19"/>
        </w:rPr>
      </w:r>
    </w:p>
    <w:p>
      <w:pPr>
        <w:spacing w:before="0"/>
        <w:ind w:left="2369" w:right="1688" w:firstLine="0"/>
        <w:jc w:val="center"/>
        <w:rPr>
          <w:rFonts w:ascii="Arial"/>
          <w:sz w:val="18"/>
        </w:rPr>
      </w:pPr>
      <w:r>
        <w:rPr/>
        <w:pict>
          <v:shape style="position:absolute;margin-left:342.834808pt;margin-top:9.023579pt;width:79.05pt;height:19.75pt;mso-position-horizontal-relative:page;mso-position-vertical-relative:paragraph;z-index:1504" type="#_x0000_t202" filled="false" stroked="false">
            <v:textbox inset="0,0,0,0">
              <w:txbxContent>
                <w:tbl>
                  <w:tblPr>
                    <w:tblW w:w="0" w:type="auto"/>
                    <w:jc w:val="left"/>
                    <w:tblBorders>
                      <w:top w:val="single" w:sz="1" w:space="0" w:color="000000"/>
                      <w:left w:val="single" w:sz="1" w:space="0" w:color="000000"/>
                      <w:bottom w:val="single" w:sz="1" w:space="0" w:color="000000"/>
                      <w:right w:val="single" w:sz="1" w:space="0" w:color="000000"/>
                      <w:insideH w:val="single" w:sz="1" w:space="0" w:color="000000"/>
                      <w:insideV w:val="single" w:sz="1" w:space="0" w:color="000000"/>
                    </w:tblBorders>
                    <w:tblLayout w:type="fixed"/>
                    <w:tblCellMar>
                      <w:top w:w="0" w:type="dxa"/>
                      <w:left w:w="0" w:type="dxa"/>
                      <w:bottom w:w="0" w:type="dxa"/>
                      <w:right w:w="0" w:type="dxa"/>
                    </w:tblCellMar>
                    <w:tblLook w:val="01E0"/>
                  </w:tblPr>
                  <w:tblGrid>
                    <w:gridCol w:w="970"/>
                    <w:gridCol w:w="609"/>
                  </w:tblGrid>
                  <w:tr>
                    <w:trPr>
                      <w:trHeight w:val="210" w:hRule="exact"/>
                    </w:trPr>
                    <w:tc>
                      <w:tcPr>
                        <w:tcW w:w="970" w:type="dxa"/>
                        <w:vMerge w:val="restart"/>
                        <w:shd w:val="clear" w:color="auto" w:fill="C0C0C0"/>
                      </w:tcPr>
                      <w:p>
                        <w:pPr>
                          <w:pStyle w:val="TableParagraph"/>
                          <w:spacing w:line="240" w:lineRule="auto" w:before="2"/>
                          <w:rPr>
                            <w:sz w:val="9"/>
                          </w:rPr>
                        </w:pPr>
                      </w:p>
                      <w:p>
                        <w:pPr>
                          <w:pStyle w:val="TableParagraph"/>
                          <w:spacing w:line="108" w:lineRule="exact"/>
                          <w:ind w:left="202" w:firstLine="17"/>
                          <w:rPr>
                            <w:rFonts w:ascii="Arial"/>
                            <w:sz w:val="11"/>
                          </w:rPr>
                        </w:pPr>
                        <w:r>
                          <w:rPr>
                            <w:rFonts w:ascii="Arial"/>
                            <w:sz w:val="11"/>
                          </w:rPr>
                          <w:t>Huracanes Temporales</w:t>
                        </w:r>
                      </w:p>
                    </w:tc>
                    <w:tc>
                      <w:tcPr>
                        <w:tcW w:w="609" w:type="dxa"/>
                        <w:tcBorders>
                          <w:top w:val="nil"/>
                          <w:right w:val="nil"/>
                        </w:tcBorders>
                      </w:tcPr>
                      <w:p>
                        <w:pPr>
                          <w:pStyle w:val="TableParagraph"/>
                          <w:spacing w:line="240" w:lineRule="auto" w:before="63"/>
                          <w:ind w:right="37"/>
                          <w:jc w:val="center"/>
                          <w:rPr>
                            <w:rFonts w:ascii="Arial"/>
                            <w:sz w:val="11"/>
                          </w:rPr>
                        </w:pPr>
                        <w:r>
                          <w:rPr>
                            <w:rFonts w:ascii="Arial"/>
                            <w:w w:val="99"/>
                            <w:sz w:val="11"/>
                          </w:rPr>
                          <w:t>1</w:t>
                        </w:r>
                      </w:p>
                    </w:tc>
                  </w:tr>
                  <w:tr>
                    <w:trPr>
                      <w:trHeight w:val="181" w:hRule="exact"/>
                    </w:trPr>
                    <w:tc>
                      <w:tcPr>
                        <w:tcW w:w="970" w:type="dxa"/>
                        <w:vMerge/>
                        <w:shd w:val="clear" w:color="auto" w:fill="C0C0C0"/>
                      </w:tcPr>
                      <w:p>
                        <w:pPr/>
                      </w:p>
                    </w:tc>
                    <w:tc>
                      <w:tcPr>
                        <w:tcW w:w="609" w:type="dxa"/>
                        <w:tcBorders>
                          <w:bottom w:val="nil"/>
                          <w:right w:val="nil"/>
                        </w:tcBorders>
                      </w:tcPr>
                      <w:p>
                        <w:pPr/>
                      </w:p>
                    </w:tc>
                  </w:tr>
                </w:tbl>
                <w:p>
                  <w:pPr>
                    <w:pStyle w:val="BodyText"/>
                  </w:pPr>
                </w:p>
              </w:txbxContent>
            </v:textbox>
            <w10:wrap type="none"/>
          </v:shape>
        </w:pict>
      </w:r>
      <w:r>
        <w:rPr>
          <w:rFonts w:ascii="Arial"/>
          <w:w w:val="105"/>
          <w:sz w:val="18"/>
        </w:rPr>
        <w:t>,14</w:t>
      </w:r>
    </w:p>
    <w:p>
      <w:pPr>
        <w:spacing w:after="0"/>
        <w:jc w:val="center"/>
        <w:rPr>
          <w:rFonts w:ascii="Arial"/>
          <w:sz w:val="18"/>
        </w:rPr>
        <w:sectPr>
          <w:type w:val="continuous"/>
          <w:pgSz w:w="12240" w:h="15840"/>
          <w:pgMar w:top="1500" w:bottom="280" w:left="1600" w:right="1600"/>
          <w:cols w:num="2" w:equalWidth="0">
            <w:col w:w="4639" w:space="40"/>
            <w:col w:w="4361"/>
          </w:cols>
        </w:sectPr>
      </w:pPr>
    </w:p>
    <w:p>
      <w:pPr>
        <w:pStyle w:val="BodyText"/>
        <w:spacing w:before="4"/>
        <w:rPr>
          <w:rFonts w:ascii="Arial"/>
          <w:sz w:val="13"/>
        </w:rPr>
      </w:pPr>
    </w:p>
    <w:p>
      <w:pPr>
        <w:spacing w:before="86"/>
        <w:ind w:left="4223" w:right="3680" w:firstLine="0"/>
        <w:jc w:val="center"/>
        <w:rPr>
          <w:rFonts w:ascii="Arial"/>
          <w:sz w:val="11"/>
        </w:rPr>
      </w:pPr>
      <w:r>
        <w:rPr/>
        <w:pict>
          <v:group style="position:absolute;margin-left:421.473694pt;margin-top:-7.117409pt;width:16.05pt;height:16pt;mso-position-horizontal-relative:page;mso-position-vertical-relative:paragraph;z-index:1216" coordorigin="8429,-142" coordsize="321,320">
            <v:shape style="position:absolute;left:8429;top:-142;width:320;height:320" type="#_x0000_t75" stroked="false">
              <v:imagedata r:id="rId11" o:title=""/>
            </v:shape>
            <v:shape style="position:absolute;left:8429;top:-142;width:321;height:320" type="#_x0000_t202" filled="false" stroked="false">
              <v:textbox inset="0,0,0,0">
                <w:txbxContent>
                  <w:p>
                    <w:pPr>
                      <w:spacing w:line="240" w:lineRule="auto" w:before="5"/>
                      <w:rPr>
                        <w:sz w:val="9"/>
                      </w:rPr>
                    </w:pPr>
                  </w:p>
                  <w:p>
                    <w:pPr>
                      <w:spacing w:before="1"/>
                      <w:ind w:left="107" w:right="0" w:firstLine="0"/>
                      <w:jc w:val="left"/>
                      <w:rPr>
                        <w:rFonts w:ascii="Arial"/>
                        <w:sz w:val="11"/>
                      </w:rPr>
                    </w:pPr>
                    <w:r>
                      <w:rPr>
                        <w:rFonts w:ascii="Arial"/>
                        <w:sz w:val="11"/>
                      </w:rPr>
                      <w:t>e3</w:t>
                    </w:r>
                  </w:p>
                </w:txbxContent>
              </v:textbox>
              <w10:wrap type="none"/>
            </v:shape>
            <w10:wrap type="none"/>
          </v:group>
        </w:pict>
      </w:r>
      <w:r>
        <w:rPr>
          <w:rFonts w:ascii="Arial"/>
          <w:sz w:val="11"/>
        </w:rPr>
        <w:t>,27</w:t>
      </w:r>
    </w:p>
    <w:p>
      <w:pPr>
        <w:pStyle w:val="BodyText"/>
        <w:spacing w:before="3"/>
        <w:rPr>
          <w:rFonts w:ascii="Arial"/>
          <w:sz w:val="19"/>
        </w:rPr>
      </w:pPr>
    </w:p>
    <w:p>
      <w:pPr>
        <w:spacing w:after="0"/>
        <w:rPr>
          <w:rFonts w:ascii="Arial"/>
          <w:sz w:val="19"/>
        </w:rPr>
        <w:sectPr>
          <w:type w:val="continuous"/>
          <w:pgSz w:w="12240" w:h="15840"/>
          <w:pgMar w:top="1500" w:bottom="280" w:left="1600" w:right="1600"/>
        </w:sectPr>
      </w:pPr>
    </w:p>
    <w:p>
      <w:pPr>
        <w:pStyle w:val="BodyText"/>
        <w:spacing w:before="11"/>
        <w:rPr>
          <w:rFonts w:ascii="Arial"/>
        </w:rPr>
      </w:pPr>
    </w:p>
    <w:p>
      <w:pPr>
        <w:spacing w:before="0"/>
        <w:ind w:left="0" w:right="0" w:firstLine="0"/>
        <w:jc w:val="right"/>
        <w:rPr>
          <w:rFonts w:ascii="Arial"/>
          <w:sz w:val="18"/>
        </w:rPr>
      </w:pPr>
      <w:r>
        <w:rPr>
          <w:rFonts w:ascii="Arial"/>
          <w:sz w:val="18"/>
        </w:rPr>
        <w:t>1,51</w:t>
      </w:r>
    </w:p>
    <w:p>
      <w:pPr>
        <w:pStyle w:val="BodyText"/>
        <w:rPr>
          <w:rFonts w:ascii="Arial"/>
          <w:sz w:val="10"/>
        </w:rPr>
      </w:pPr>
      <w:r>
        <w:rPr/>
        <w:br w:type="column"/>
      </w:r>
      <w:r>
        <w:rPr>
          <w:rFonts w:ascii="Arial"/>
          <w:sz w:val="10"/>
        </w:rPr>
      </w:r>
    </w:p>
    <w:p>
      <w:pPr>
        <w:pStyle w:val="BodyText"/>
        <w:rPr>
          <w:rFonts w:ascii="Arial"/>
          <w:sz w:val="10"/>
        </w:rPr>
      </w:pPr>
    </w:p>
    <w:p>
      <w:pPr>
        <w:pStyle w:val="BodyText"/>
        <w:spacing w:before="8"/>
        <w:rPr>
          <w:rFonts w:ascii="Arial"/>
          <w:sz w:val="12"/>
        </w:rPr>
      </w:pPr>
    </w:p>
    <w:p>
      <w:pPr>
        <w:spacing w:before="0"/>
        <w:ind w:left="0" w:right="0" w:firstLine="0"/>
        <w:jc w:val="right"/>
        <w:rPr>
          <w:rFonts w:ascii="Arial"/>
          <w:sz w:val="11"/>
        </w:rPr>
      </w:pPr>
      <w:r>
        <w:rPr>
          <w:rFonts w:ascii="Arial"/>
          <w:sz w:val="11"/>
        </w:rPr>
        <w:t>,23</w:t>
      </w:r>
    </w:p>
    <w:p>
      <w:pPr>
        <w:spacing w:before="83"/>
        <w:ind w:left="2087" w:right="1688" w:firstLine="0"/>
        <w:jc w:val="center"/>
        <w:rPr>
          <w:rFonts w:ascii="Arial"/>
          <w:sz w:val="18"/>
        </w:rPr>
      </w:pPr>
      <w:r>
        <w:rPr/>
        <w:br w:type="column"/>
      </w:r>
      <w:r>
        <w:rPr>
          <w:rFonts w:ascii="Arial"/>
          <w:w w:val="105"/>
          <w:sz w:val="18"/>
        </w:rPr>
        <w:t>,15</w:t>
      </w:r>
    </w:p>
    <w:p>
      <w:pPr>
        <w:tabs>
          <w:tab w:pos="1523" w:val="left" w:leader="none"/>
          <w:tab w:pos="1876" w:val="left" w:leader="none"/>
        </w:tabs>
        <w:spacing w:before="35"/>
        <w:ind w:left="1290" w:right="0" w:firstLine="0"/>
        <w:jc w:val="left"/>
        <w:rPr>
          <w:rFonts w:ascii="Arial"/>
          <w:sz w:val="11"/>
        </w:rPr>
      </w:pPr>
      <w:r>
        <w:rPr/>
        <w:pict>
          <v:group style="position:absolute;margin-left:421.473694pt;margin-top:.361111pt;width:16.05pt;height:16.1500pt;mso-position-horizontal-relative:page;mso-position-vertical-relative:paragraph;z-index:-23968" coordorigin="8429,7" coordsize="321,323">
            <v:shape style="position:absolute;left:8429;top:7;width:320;height:323" type="#_x0000_t75" stroked="false">
              <v:imagedata r:id="rId12" o:title=""/>
            </v:shape>
            <v:shape style="position:absolute;left:8429;top:7;width:321;height:323" type="#_x0000_t202" filled="false" stroked="false">
              <v:textbox inset="0,0,0,0">
                <w:txbxContent>
                  <w:p>
                    <w:pPr>
                      <w:spacing w:line="240" w:lineRule="auto" w:before="5"/>
                      <w:rPr>
                        <w:sz w:val="9"/>
                      </w:rPr>
                    </w:pPr>
                  </w:p>
                  <w:p>
                    <w:pPr>
                      <w:spacing w:before="0"/>
                      <w:ind w:left="107" w:right="0" w:firstLine="0"/>
                      <w:jc w:val="left"/>
                      <w:rPr>
                        <w:rFonts w:ascii="Arial"/>
                        <w:sz w:val="11"/>
                      </w:rPr>
                    </w:pPr>
                    <w:r>
                      <w:rPr>
                        <w:rFonts w:ascii="Arial"/>
                        <w:sz w:val="11"/>
                      </w:rPr>
                      <w:t>e4</w:t>
                    </w:r>
                  </w:p>
                </w:txbxContent>
              </v:textbox>
              <w10:wrap type="none"/>
            </v:shape>
            <w10:wrap type="none"/>
          </v:group>
        </w:pict>
      </w:r>
      <w:r>
        <w:rPr/>
        <w:pict>
          <v:shape style="position:absolute;margin-left:342.922516pt;margin-top:-1.433537pt;width:48.55pt;height:19.75pt;mso-position-horizontal-relative:page;mso-position-vertical-relative:paragraph;z-index:1432" type="#_x0000_t202" filled="true" fillcolor="#c0c0c0" stroked="true" strokeweight=".17541pt" strokecolor="#000000">
            <v:textbox inset="0,0,0,0">
              <w:txbxContent>
                <w:p>
                  <w:pPr>
                    <w:pStyle w:val="BodyText"/>
                    <w:spacing w:before="2"/>
                    <w:rPr>
                      <w:sz w:val="9"/>
                    </w:rPr>
                  </w:pPr>
                </w:p>
                <w:p>
                  <w:pPr>
                    <w:spacing w:line="108" w:lineRule="exact" w:before="0"/>
                    <w:ind w:left="297" w:right="139" w:hanging="140"/>
                    <w:jc w:val="left"/>
                    <w:rPr>
                      <w:rFonts w:ascii="Arial"/>
                      <w:sz w:val="11"/>
                    </w:rPr>
                  </w:pPr>
                  <w:r>
                    <w:rPr>
                      <w:rFonts w:ascii="Arial"/>
                      <w:sz w:val="11"/>
                    </w:rPr>
                    <w:t>Inundaciones Locales</w:t>
                  </w:r>
                </w:p>
              </w:txbxContent>
            </v:textbox>
            <v:fill type="solid"/>
            <w10:wrap type="none"/>
          </v:shape>
        </w:pict>
      </w:r>
      <w:r>
        <w:rPr>
          <w:rFonts w:ascii="Arial"/>
          <w:w w:val="99"/>
          <w:sz w:val="11"/>
          <w:u w:val="single"/>
        </w:rPr>
        <w:t> </w:t>
      </w:r>
      <w:r>
        <w:rPr>
          <w:rFonts w:ascii="Arial"/>
          <w:sz w:val="11"/>
          <w:u w:val="single"/>
        </w:rPr>
        <w:tab/>
        <w:t>1</w:t>
        <w:tab/>
      </w:r>
    </w:p>
    <w:p>
      <w:pPr>
        <w:spacing w:after="0"/>
        <w:jc w:val="left"/>
        <w:rPr>
          <w:rFonts w:ascii="Arial"/>
          <w:sz w:val="11"/>
        </w:rPr>
        <w:sectPr>
          <w:type w:val="continuous"/>
          <w:pgSz w:w="12240" w:h="15840"/>
          <w:pgMar w:top="1500" w:bottom="280" w:left="1600" w:right="1600"/>
          <w:cols w:num="3" w:equalWidth="0">
            <w:col w:w="2997" w:space="40"/>
            <w:col w:w="1885" w:space="40"/>
            <w:col w:w="4078"/>
          </w:cols>
        </w:sectPr>
      </w:pPr>
    </w:p>
    <w:p>
      <w:pPr>
        <w:pStyle w:val="BodyText"/>
        <w:spacing w:before="1"/>
        <w:rPr>
          <w:rFonts w:ascii="Arial"/>
          <w:sz w:val="14"/>
        </w:rPr>
      </w:pPr>
    </w:p>
    <w:p>
      <w:pPr>
        <w:spacing w:after="0"/>
        <w:rPr>
          <w:rFonts w:ascii="Arial"/>
          <w:sz w:val="14"/>
        </w:rPr>
        <w:sectPr>
          <w:type w:val="continuous"/>
          <w:pgSz w:w="12240" w:h="15840"/>
          <w:pgMar w:top="1500" w:bottom="280" w:left="1600" w:right="1600"/>
        </w:sectPr>
      </w:pPr>
    </w:p>
    <w:p>
      <w:pPr>
        <w:spacing w:before="86"/>
        <w:ind w:left="0" w:right="0" w:firstLine="0"/>
        <w:jc w:val="right"/>
        <w:rPr>
          <w:rFonts w:ascii="Arial" w:hAnsi="Arial"/>
          <w:sz w:val="11"/>
        </w:rPr>
      </w:pPr>
      <w:r>
        <w:rPr/>
        <w:pict>
          <v:shape style="position:absolute;margin-left:343.343811pt;margin-top:19.572142pt;width:79.05pt;height:20.1pt;mso-position-horizontal-relative:page;mso-position-vertical-relative:paragraph;z-index:1528" type="#_x0000_t202" filled="false" stroked="false">
            <v:textbox inset="0,0,0,0">
              <w:txbxContent>
                <w:tbl>
                  <w:tblPr>
                    <w:tblW w:w="0" w:type="auto"/>
                    <w:jc w:val="left"/>
                    <w:tblBorders>
                      <w:top w:val="single" w:sz="1" w:space="0" w:color="000000"/>
                      <w:left w:val="single" w:sz="1" w:space="0" w:color="000000"/>
                      <w:bottom w:val="single" w:sz="1" w:space="0" w:color="000000"/>
                      <w:right w:val="single" w:sz="1" w:space="0" w:color="000000"/>
                      <w:insideH w:val="single" w:sz="1" w:space="0" w:color="000000"/>
                      <w:insideV w:val="single" w:sz="1" w:space="0" w:color="000000"/>
                    </w:tblBorders>
                    <w:tblLayout w:type="fixed"/>
                    <w:tblCellMar>
                      <w:top w:w="0" w:type="dxa"/>
                      <w:left w:w="0" w:type="dxa"/>
                      <w:bottom w:w="0" w:type="dxa"/>
                      <w:right w:w="0" w:type="dxa"/>
                    </w:tblCellMar>
                    <w:tblLook w:val="01E0"/>
                  </w:tblPr>
                  <w:tblGrid>
                    <w:gridCol w:w="970"/>
                    <w:gridCol w:w="609"/>
                  </w:tblGrid>
                  <w:tr>
                    <w:trPr>
                      <w:trHeight w:val="210" w:hRule="exact"/>
                    </w:trPr>
                    <w:tc>
                      <w:tcPr>
                        <w:tcW w:w="970" w:type="dxa"/>
                        <w:vMerge w:val="restart"/>
                        <w:shd w:val="clear" w:color="auto" w:fill="C0C0C0"/>
                      </w:tcPr>
                      <w:p>
                        <w:pPr>
                          <w:pStyle w:val="TableParagraph"/>
                          <w:spacing w:line="240" w:lineRule="auto" w:before="2"/>
                          <w:rPr>
                            <w:sz w:val="9"/>
                          </w:rPr>
                        </w:pPr>
                      </w:p>
                      <w:p>
                        <w:pPr>
                          <w:pStyle w:val="TableParagraph"/>
                          <w:spacing w:line="108" w:lineRule="exact"/>
                          <w:ind w:left="335" w:right="280" w:hanging="17"/>
                          <w:rPr>
                            <w:rFonts w:ascii="Arial" w:hAnsi="Arial"/>
                            <w:sz w:val="11"/>
                          </w:rPr>
                        </w:pPr>
                        <w:r>
                          <w:rPr>
                            <w:rFonts w:ascii="Arial" w:hAnsi="Arial"/>
                            <w:sz w:val="11"/>
                          </w:rPr>
                          <w:t>Sequía Global</w:t>
                        </w:r>
                      </w:p>
                    </w:tc>
                    <w:tc>
                      <w:tcPr>
                        <w:tcW w:w="609" w:type="dxa"/>
                        <w:tcBorders>
                          <w:top w:val="nil"/>
                          <w:right w:val="nil"/>
                        </w:tcBorders>
                      </w:tcPr>
                      <w:p>
                        <w:pPr>
                          <w:pStyle w:val="TableParagraph"/>
                          <w:spacing w:line="240" w:lineRule="auto" w:before="63"/>
                          <w:ind w:right="37"/>
                          <w:jc w:val="center"/>
                          <w:rPr>
                            <w:rFonts w:ascii="Arial"/>
                            <w:sz w:val="11"/>
                          </w:rPr>
                        </w:pPr>
                        <w:r>
                          <w:rPr>
                            <w:rFonts w:ascii="Arial"/>
                            <w:w w:val="99"/>
                            <w:sz w:val="11"/>
                          </w:rPr>
                          <w:t>1</w:t>
                        </w:r>
                      </w:p>
                    </w:tc>
                  </w:tr>
                  <w:tr>
                    <w:trPr>
                      <w:trHeight w:val="188" w:hRule="exact"/>
                    </w:trPr>
                    <w:tc>
                      <w:tcPr>
                        <w:tcW w:w="970" w:type="dxa"/>
                        <w:vMerge/>
                        <w:shd w:val="clear" w:color="auto" w:fill="C0C0C0"/>
                      </w:tcPr>
                      <w:p>
                        <w:pPr/>
                      </w:p>
                    </w:tc>
                    <w:tc>
                      <w:tcPr>
                        <w:tcW w:w="609" w:type="dxa"/>
                        <w:tcBorders>
                          <w:bottom w:val="nil"/>
                          <w:right w:val="nil"/>
                        </w:tcBorders>
                      </w:tcPr>
                      <w:p>
                        <w:pPr/>
                      </w:p>
                    </w:tc>
                  </w:tr>
                </w:tbl>
                <w:p>
                  <w:pPr>
                    <w:pStyle w:val="BodyText"/>
                  </w:pPr>
                </w:p>
              </w:txbxContent>
            </v:textbox>
            <w10:wrap type="none"/>
          </v:shape>
        </w:pict>
      </w:r>
      <w:r>
        <w:rPr>
          <w:rFonts w:ascii="Arial" w:hAnsi="Arial"/>
          <w:w w:val="95"/>
          <w:sz w:val="11"/>
        </w:rPr>
        <w:t>Percepción</w:t>
      </w:r>
    </w:p>
    <w:p>
      <w:pPr>
        <w:pStyle w:val="BodyText"/>
        <w:rPr>
          <w:rFonts w:ascii="Arial"/>
          <w:sz w:val="10"/>
        </w:rPr>
      </w:pPr>
      <w:r>
        <w:rPr/>
        <w:br w:type="column"/>
      </w:r>
      <w:r>
        <w:rPr>
          <w:rFonts w:ascii="Arial"/>
          <w:sz w:val="10"/>
        </w:rPr>
      </w:r>
    </w:p>
    <w:p>
      <w:pPr>
        <w:pStyle w:val="BodyText"/>
        <w:rPr>
          <w:rFonts w:ascii="Arial"/>
          <w:sz w:val="10"/>
        </w:rPr>
      </w:pPr>
    </w:p>
    <w:p>
      <w:pPr>
        <w:pStyle w:val="BodyText"/>
        <w:rPr>
          <w:rFonts w:ascii="Arial"/>
          <w:sz w:val="10"/>
        </w:rPr>
      </w:pPr>
    </w:p>
    <w:p>
      <w:pPr>
        <w:pStyle w:val="BodyText"/>
        <w:rPr>
          <w:rFonts w:ascii="Arial"/>
          <w:sz w:val="10"/>
        </w:rPr>
      </w:pPr>
    </w:p>
    <w:p>
      <w:pPr>
        <w:spacing w:before="85"/>
        <w:ind w:left="0" w:right="0" w:firstLine="0"/>
        <w:jc w:val="right"/>
        <w:rPr>
          <w:rFonts w:ascii="Arial"/>
          <w:sz w:val="11"/>
        </w:rPr>
      </w:pPr>
      <w:r>
        <w:rPr/>
        <w:pict>
          <v:group style="position:absolute;margin-left:422.659393pt;margin-top:36.02388pt;width:16.05pt;height:16pt;mso-position-horizontal-relative:page;mso-position-vertical-relative:paragraph;z-index:1360" coordorigin="8453,720" coordsize="321,320">
            <v:shape style="position:absolute;left:8453;top:720;width:320;height:320" type="#_x0000_t75" stroked="false">
              <v:imagedata r:id="rId13" o:title=""/>
            </v:shape>
            <v:shape style="position:absolute;left:8453;top:720;width:321;height:320" type="#_x0000_t202" filled="false" stroked="false">
              <v:textbox inset="0,0,0,0">
                <w:txbxContent>
                  <w:p>
                    <w:pPr>
                      <w:spacing w:line="240" w:lineRule="auto" w:before="5"/>
                      <w:rPr>
                        <w:sz w:val="9"/>
                      </w:rPr>
                    </w:pPr>
                  </w:p>
                  <w:p>
                    <w:pPr>
                      <w:spacing w:before="1"/>
                      <w:ind w:left="107" w:right="0" w:firstLine="0"/>
                      <w:jc w:val="left"/>
                      <w:rPr>
                        <w:rFonts w:ascii="Arial"/>
                        <w:sz w:val="11"/>
                      </w:rPr>
                    </w:pPr>
                    <w:r>
                      <w:rPr>
                        <w:rFonts w:ascii="Arial"/>
                        <w:sz w:val="11"/>
                      </w:rPr>
                      <w:t>e6</w:t>
                    </w:r>
                  </w:p>
                </w:txbxContent>
              </v:textbox>
              <w10:wrap type="none"/>
            </v:shape>
            <w10:wrap type="none"/>
          </v:group>
        </w:pict>
      </w:r>
      <w:r>
        <w:rPr>
          <w:rFonts w:ascii="Arial"/>
          <w:sz w:val="11"/>
        </w:rPr>
        <w:t>,31</w:t>
      </w:r>
    </w:p>
    <w:p>
      <w:pPr>
        <w:pStyle w:val="BodyText"/>
        <w:spacing w:before="7"/>
        <w:rPr>
          <w:rFonts w:ascii="Arial"/>
          <w:sz w:val="18"/>
        </w:rPr>
      </w:pPr>
      <w:r>
        <w:rPr/>
        <w:br w:type="column"/>
      </w:r>
      <w:r>
        <w:rPr>
          <w:rFonts w:ascii="Arial"/>
          <w:sz w:val="18"/>
        </w:rPr>
      </w:r>
    </w:p>
    <w:p>
      <w:pPr>
        <w:spacing w:before="0"/>
        <w:ind w:left="2108" w:right="1678" w:firstLine="0"/>
        <w:jc w:val="center"/>
        <w:rPr>
          <w:rFonts w:ascii="Arial"/>
          <w:sz w:val="18"/>
        </w:rPr>
      </w:pPr>
      <w:r>
        <w:rPr/>
        <w:pict>
          <v:group style="position:absolute;margin-left:421.988708pt;margin-top:10.737087pt;width:16pt;height:16.3500pt;mso-position-horizontal-relative:page;mso-position-vertical-relative:paragraph;z-index:1312" coordorigin="8440,215" coordsize="320,327">
            <v:shape style="position:absolute;left:8440;top:215;width:320;height:327" type="#_x0000_t75" stroked="false">
              <v:imagedata r:id="rId14" o:title=""/>
            </v:shape>
            <v:shape style="position:absolute;left:8440;top:215;width:320;height:327" type="#_x0000_t202" filled="false" stroked="false">
              <v:textbox inset="0,0,0,0">
                <w:txbxContent>
                  <w:p>
                    <w:pPr>
                      <w:spacing w:line="240" w:lineRule="auto" w:before="6"/>
                      <w:rPr>
                        <w:sz w:val="9"/>
                      </w:rPr>
                    </w:pPr>
                  </w:p>
                  <w:p>
                    <w:pPr>
                      <w:spacing w:before="0"/>
                      <w:ind w:left="107" w:right="0" w:firstLine="0"/>
                      <w:jc w:val="left"/>
                      <w:rPr>
                        <w:rFonts w:ascii="Arial"/>
                        <w:sz w:val="11"/>
                      </w:rPr>
                    </w:pPr>
                    <w:r>
                      <w:rPr>
                        <w:rFonts w:ascii="Arial"/>
                        <w:sz w:val="11"/>
                      </w:rPr>
                      <w:t>e5</w:t>
                    </w:r>
                  </w:p>
                </w:txbxContent>
              </v:textbox>
              <w10:wrap type="none"/>
            </v:shape>
            <w10:wrap type="none"/>
          </v:group>
        </w:pict>
      </w:r>
      <w:r>
        <w:rPr>
          <w:rFonts w:ascii="Arial"/>
          <w:w w:val="105"/>
          <w:sz w:val="18"/>
        </w:rPr>
        <w:t>,14</w:t>
      </w:r>
    </w:p>
    <w:p>
      <w:pPr>
        <w:spacing w:after="0"/>
        <w:jc w:val="center"/>
        <w:rPr>
          <w:rFonts w:ascii="Arial"/>
          <w:sz w:val="18"/>
        </w:rPr>
        <w:sectPr>
          <w:type w:val="continuous"/>
          <w:pgSz w:w="12240" w:h="15840"/>
          <w:pgMar w:top="1500" w:bottom="280" w:left="1600" w:right="1600"/>
          <w:cols w:num="3" w:equalWidth="0">
            <w:col w:w="2685" w:space="40"/>
            <w:col w:w="2170" w:space="55"/>
            <w:col w:w="4090"/>
          </w:cols>
        </w:sectPr>
      </w:pPr>
    </w:p>
    <w:p>
      <w:pPr>
        <w:pStyle w:val="BodyText"/>
        <w:rPr>
          <w:rFonts w:ascii="Arial"/>
          <w:sz w:val="18"/>
        </w:rPr>
      </w:pPr>
    </w:p>
    <w:p>
      <w:pPr>
        <w:spacing w:after="0"/>
        <w:rPr>
          <w:rFonts w:ascii="Arial"/>
          <w:sz w:val="18"/>
        </w:rPr>
        <w:sectPr>
          <w:type w:val="continuous"/>
          <w:pgSz w:w="12240" w:h="15840"/>
          <w:pgMar w:top="1500" w:bottom="280" w:left="1600" w:right="1600"/>
        </w:sectPr>
      </w:pPr>
    </w:p>
    <w:p>
      <w:pPr>
        <w:pStyle w:val="BodyText"/>
        <w:rPr>
          <w:rFonts w:ascii="Arial"/>
          <w:sz w:val="10"/>
        </w:rPr>
      </w:pPr>
    </w:p>
    <w:p>
      <w:pPr>
        <w:pStyle w:val="BodyText"/>
        <w:spacing w:before="5"/>
        <w:rPr>
          <w:rFonts w:ascii="Arial"/>
          <w:sz w:val="12"/>
        </w:rPr>
      </w:pPr>
    </w:p>
    <w:p>
      <w:pPr>
        <w:spacing w:before="0"/>
        <w:ind w:left="0" w:right="0" w:firstLine="0"/>
        <w:jc w:val="right"/>
        <w:rPr>
          <w:rFonts w:ascii="Arial"/>
          <w:sz w:val="11"/>
        </w:rPr>
      </w:pPr>
      <w:r>
        <w:rPr/>
        <w:pict>
          <v:shape style="position:absolute;margin-left:343.858795pt;margin-top:.298271pt;width:79.2pt;height:19.75pt;mso-position-horizontal-relative:page;mso-position-vertical-relative:paragraph;z-index:1552" type="#_x0000_t202" filled="false" stroked="false">
            <v:textbox inset="0,0,0,0">
              <w:txbxContent>
                <w:tbl>
                  <w:tblPr>
                    <w:tblW w:w="0" w:type="auto"/>
                    <w:jc w:val="left"/>
                    <w:tblBorders>
                      <w:top w:val="single" w:sz="1" w:space="0" w:color="000000"/>
                      <w:left w:val="single" w:sz="1" w:space="0" w:color="000000"/>
                      <w:bottom w:val="single" w:sz="1" w:space="0" w:color="000000"/>
                      <w:right w:val="single" w:sz="1" w:space="0" w:color="000000"/>
                      <w:insideH w:val="single" w:sz="1" w:space="0" w:color="000000"/>
                      <w:insideV w:val="single" w:sz="1" w:space="0" w:color="000000"/>
                    </w:tblBorders>
                    <w:tblLayout w:type="fixed"/>
                    <w:tblCellMar>
                      <w:top w:w="0" w:type="dxa"/>
                      <w:left w:w="0" w:type="dxa"/>
                      <w:bottom w:w="0" w:type="dxa"/>
                      <w:right w:w="0" w:type="dxa"/>
                    </w:tblCellMar>
                    <w:tblLook w:val="01E0"/>
                  </w:tblPr>
                  <w:tblGrid>
                    <w:gridCol w:w="974"/>
                    <w:gridCol w:w="608"/>
                  </w:tblGrid>
                  <w:tr>
                    <w:trPr>
                      <w:trHeight w:val="207" w:hRule="exact"/>
                    </w:trPr>
                    <w:tc>
                      <w:tcPr>
                        <w:tcW w:w="974" w:type="dxa"/>
                        <w:vMerge w:val="restart"/>
                        <w:shd w:val="clear" w:color="auto" w:fill="C0C0C0"/>
                      </w:tcPr>
                      <w:p>
                        <w:pPr>
                          <w:pStyle w:val="TableParagraph"/>
                          <w:spacing w:line="240" w:lineRule="auto" w:before="3"/>
                          <w:rPr>
                            <w:sz w:val="9"/>
                          </w:rPr>
                        </w:pPr>
                      </w:p>
                      <w:p>
                        <w:pPr>
                          <w:pStyle w:val="TableParagraph"/>
                          <w:spacing w:line="106" w:lineRule="exact" w:before="1"/>
                          <w:ind w:left="192" w:right="158" w:firstLine="126"/>
                          <w:rPr>
                            <w:rFonts w:ascii="Arial" w:hAnsi="Arial"/>
                            <w:sz w:val="11"/>
                          </w:rPr>
                        </w:pPr>
                        <w:r>
                          <w:rPr>
                            <w:rFonts w:ascii="Arial" w:hAnsi="Arial"/>
                            <w:sz w:val="11"/>
                          </w:rPr>
                          <w:t>Sequía Permanente</w:t>
                        </w:r>
                      </w:p>
                    </w:tc>
                    <w:tc>
                      <w:tcPr>
                        <w:tcW w:w="608" w:type="dxa"/>
                        <w:tcBorders>
                          <w:top w:val="nil"/>
                          <w:right w:val="nil"/>
                        </w:tcBorders>
                      </w:tcPr>
                      <w:p>
                        <w:pPr>
                          <w:pStyle w:val="TableParagraph"/>
                          <w:spacing w:line="240" w:lineRule="auto" w:before="63"/>
                          <w:ind w:right="43"/>
                          <w:jc w:val="center"/>
                          <w:rPr>
                            <w:rFonts w:ascii="Arial"/>
                            <w:sz w:val="11"/>
                          </w:rPr>
                        </w:pPr>
                        <w:r>
                          <w:rPr>
                            <w:rFonts w:ascii="Arial"/>
                            <w:w w:val="99"/>
                            <w:sz w:val="11"/>
                          </w:rPr>
                          <w:t>1</w:t>
                        </w:r>
                      </w:p>
                    </w:tc>
                  </w:tr>
                  <w:tr>
                    <w:trPr>
                      <w:trHeight w:val="185" w:hRule="exact"/>
                    </w:trPr>
                    <w:tc>
                      <w:tcPr>
                        <w:tcW w:w="974" w:type="dxa"/>
                        <w:vMerge/>
                        <w:shd w:val="clear" w:color="auto" w:fill="C0C0C0"/>
                      </w:tcPr>
                      <w:p>
                        <w:pPr/>
                      </w:p>
                    </w:tc>
                    <w:tc>
                      <w:tcPr>
                        <w:tcW w:w="608" w:type="dxa"/>
                        <w:tcBorders>
                          <w:bottom w:val="nil"/>
                          <w:right w:val="nil"/>
                        </w:tcBorders>
                      </w:tcPr>
                      <w:p>
                        <w:pPr/>
                      </w:p>
                    </w:tc>
                  </w:tr>
                </w:tbl>
                <w:p>
                  <w:pPr>
                    <w:pStyle w:val="BodyText"/>
                  </w:pPr>
                </w:p>
              </w:txbxContent>
            </v:textbox>
            <w10:wrap type="none"/>
          </v:shape>
        </w:pict>
      </w:r>
      <w:r>
        <w:rPr>
          <w:rFonts w:ascii="Arial"/>
          <w:sz w:val="11"/>
        </w:rPr>
        <w:t>,23</w:t>
      </w:r>
    </w:p>
    <w:p>
      <w:pPr>
        <w:spacing w:before="83"/>
        <w:ind w:left="2206" w:right="1668" w:firstLine="0"/>
        <w:jc w:val="center"/>
        <w:rPr>
          <w:rFonts w:ascii="Arial"/>
          <w:sz w:val="18"/>
        </w:rPr>
      </w:pPr>
      <w:r>
        <w:rPr/>
        <w:br w:type="column"/>
      </w:r>
      <w:r>
        <w:rPr>
          <w:rFonts w:ascii="Arial"/>
          <w:w w:val="105"/>
          <w:sz w:val="18"/>
        </w:rPr>
        <w:t>,22</w:t>
      </w:r>
    </w:p>
    <w:p>
      <w:pPr>
        <w:spacing w:after="0"/>
        <w:jc w:val="center"/>
        <w:rPr>
          <w:rFonts w:ascii="Arial"/>
          <w:sz w:val="18"/>
        </w:rPr>
        <w:sectPr>
          <w:type w:val="continuous"/>
          <w:pgSz w:w="12240" w:h="15840"/>
          <w:pgMar w:top="1500" w:bottom="280" w:left="1600" w:right="1600"/>
          <w:cols w:num="2" w:equalWidth="0">
            <w:col w:w="4823" w:space="40"/>
            <w:col w:w="4177"/>
          </w:cols>
        </w:sectPr>
      </w:pPr>
    </w:p>
    <w:p>
      <w:pPr>
        <w:pStyle w:val="BodyText"/>
        <w:spacing w:before="10"/>
        <w:rPr>
          <w:rFonts w:ascii="Arial"/>
          <w:sz w:val="20"/>
        </w:rPr>
      </w:pPr>
    </w:p>
    <w:p>
      <w:pPr>
        <w:spacing w:after="0"/>
        <w:rPr>
          <w:rFonts w:ascii="Arial"/>
          <w:sz w:val="20"/>
        </w:rPr>
        <w:sectPr>
          <w:type w:val="continuous"/>
          <w:pgSz w:w="12240" w:h="15840"/>
          <w:pgMar w:top="1500" w:bottom="280" w:left="1600" w:right="1600"/>
        </w:sectPr>
      </w:pPr>
    </w:p>
    <w:p>
      <w:pPr>
        <w:pStyle w:val="BodyText"/>
        <w:rPr>
          <w:rFonts w:ascii="Arial"/>
          <w:sz w:val="10"/>
        </w:rPr>
      </w:pPr>
    </w:p>
    <w:p>
      <w:pPr>
        <w:pStyle w:val="BodyText"/>
        <w:rPr>
          <w:rFonts w:ascii="Arial"/>
          <w:sz w:val="10"/>
        </w:rPr>
      </w:pPr>
    </w:p>
    <w:p>
      <w:pPr>
        <w:pStyle w:val="BodyText"/>
        <w:rPr>
          <w:rFonts w:ascii="Arial"/>
          <w:sz w:val="10"/>
        </w:rPr>
      </w:pPr>
    </w:p>
    <w:p>
      <w:pPr>
        <w:spacing w:before="60"/>
        <w:ind w:left="0" w:right="0" w:firstLine="0"/>
        <w:jc w:val="right"/>
        <w:rPr>
          <w:rFonts w:ascii="Arial"/>
          <w:sz w:val="11"/>
        </w:rPr>
      </w:pPr>
      <w:r>
        <w:rPr>
          <w:rFonts w:ascii="Arial"/>
          <w:sz w:val="11"/>
        </w:rPr>
        <w:t>,19</w:t>
      </w:r>
    </w:p>
    <w:p>
      <w:pPr>
        <w:spacing w:before="85"/>
        <w:ind w:left="-13" w:right="-16" w:firstLine="0"/>
        <w:jc w:val="left"/>
        <w:rPr>
          <w:rFonts w:ascii="Arial"/>
          <w:sz w:val="11"/>
        </w:rPr>
      </w:pPr>
      <w:r>
        <w:rPr/>
        <w:br w:type="column"/>
      </w:r>
      <w:r>
        <w:rPr>
          <w:rFonts w:ascii="Arial"/>
          <w:sz w:val="11"/>
        </w:rPr>
        <w:t>,12</w:t>
      </w:r>
    </w:p>
    <w:p>
      <w:pPr>
        <w:spacing w:before="153"/>
        <w:ind w:left="2359" w:right="1644" w:firstLine="0"/>
        <w:jc w:val="center"/>
        <w:rPr>
          <w:rFonts w:ascii="Arial"/>
          <w:sz w:val="18"/>
        </w:rPr>
      </w:pPr>
      <w:r>
        <w:rPr/>
        <w:br w:type="column"/>
      </w:r>
      <w:r>
        <w:rPr>
          <w:rFonts w:ascii="Arial"/>
          <w:w w:val="105"/>
          <w:sz w:val="18"/>
        </w:rPr>
        <w:t>,44</w:t>
      </w:r>
    </w:p>
    <w:p>
      <w:pPr>
        <w:spacing w:after="0"/>
        <w:jc w:val="center"/>
        <w:rPr>
          <w:rFonts w:ascii="Arial"/>
          <w:sz w:val="18"/>
        </w:rPr>
        <w:sectPr>
          <w:type w:val="continuous"/>
          <w:pgSz w:w="12240" w:h="15840"/>
          <w:pgMar w:top="1500" w:bottom="280" w:left="1600" w:right="1600"/>
          <w:cols w:num="3" w:equalWidth="0">
            <w:col w:w="4509" w:space="40"/>
            <w:col w:w="144" w:space="40"/>
            <w:col w:w="4307"/>
          </w:cols>
        </w:sectPr>
      </w:pPr>
    </w:p>
    <w:p>
      <w:pPr>
        <w:pStyle w:val="BodyText"/>
        <w:spacing w:before="5"/>
        <w:rPr>
          <w:rFonts w:ascii="Arial"/>
          <w:sz w:val="22"/>
        </w:rPr>
      </w:pPr>
    </w:p>
    <w:p>
      <w:pPr>
        <w:spacing w:before="84" w:after="8"/>
        <w:ind w:left="0" w:right="1636" w:firstLine="0"/>
        <w:jc w:val="right"/>
        <w:rPr>
          <w:rFonts w:ascii="Arial"/>
          <w:sz w:val="18"/>
        </w:rPr>
      </w:pPr>
      <w:r>
        <w:rPr/>
        <w:pict>
          <v:group style="position:absolute;margin-left:423.68338pt;margin-top:-21.12232pt;width:16.05pt;height:16.2pt;mso-position-horizontal-relative:page;mso-position-vertical-relative:paragraph;z-index:1408" coordorigin="8474,-422" coordsize="321,324">
            <v:shape style="position:absolute;left:8474;top:-422;width:320;height:323" type="#_x0000_t75" stroked="false">
              <v:imagedata r:id="rId15" o:title=""/>
            </v:shape>
            <v:shape style="position:absolute;left:8474;top:-422;width:321;height:324" type="#_x0000_t202" filled="false" stroked="false">
              <v:textbox inset="0,0,0,0">
                <w:txbxContent>
                  <w:p>
                    <w:pPr>
                      <w:spacing w:line="240" w:lineRule="auto" w:before="6"/>
                      <w:rPr>
                        <w:sz w:val="9"/>
                      </w:rPr>
                    </w:pPr>
                  </w:p>
                  <w:p>
                    <w:pPr>
                      <w:spacing w:before="0"/>
                      <w:ind w:left="110" w:right="0" w:firstLine="0"/>
                      <w:jc w:val="left"/>
                      <w:rPr>
                        <w:rFonts w:ascii="Arial"/>
                        <w:sz w:val="11"/>
                      </w:rPr>
                    </w:pPr>
                    <w:r>
                      <w:rPr>
                        <w:rFonts w:ascii="Arial"/>
                        <w:sz w:val="11"/>
                      </w:rPr>
                      <w:t>e7</w:t>
                    </w:r>
                  </w:p>
                </w:txbxContent>
              </v:textbox>
              <w10:wrap type="none"/>
            </v:shape>
            <w10:wrap type="none"/>
          </v:group>
        </w:pict>
      </w:r>
      <w:r>
        <w:rPr/>
        <w:pict>
          <v:shape style="position:absolute;margin-left:345.056488pt;margin-top:-22.990305pt;width:79.05pt;height:19.95pt;mso-position-horizontal-relative:page;mso-position-vertical-relative:paragraph;z-index:1576" type="#_x0000_t202" filled="false" stroked="false">
            <v:textbox inset="0,0,0,0">
              <w:txbxContent>
                <w:tbl>
                  <w:tblPr>
                    <w:tblW w:w="0" w:type="auto"/>
                    <w:jc w:val="left"/>
                    <w:tblBorders>
                      <w:top w:val="single" w:sz="1" w:space="0" w:color="000000"/>
                      <w:left w:val="single" w:sz="1" w:space="0" w:color="000000"/>
                      <w:bottom w:val="single" w:sz="1" w:space="0" w:color="000000"/>
                      <w:right w:val="single" w:sz="1" w:space="0" w:color="000000"/>
                      <w:insideH w:val="single" w:sz="1" w:space="0" w:color="000000"/>
                      <w:insideV w:val="single" w:sz="1" w:space="0" w:color="000000"/>
                    </w:tblBorders>
                    <w:tblLayout w:type="fixed"/>
                    <w:tblCellMar>
                      <w:top w:w="0" w:type="dxa"/>
                      <w:left w:w="0" w:type="dxa"/>
                      <w:bottom w:w="0" w:type="dxa"/>
                      <w:right w:w="0" w:type="dxa"/>
                    </w:tblCellMar>
                    <w:tblLook w:val="01E0"/>
                  </w:tblPr>
                  <w:tblGrid>
                    <w:gridCol w:w="970"/>
                    <w:gridCol w:w="608"/>
                  </w:tblGrid>
                  <w:tr>
                    <w:trPr>
                      <w:trHeight w:val="210" w:hRule="exact"/>
                    </w:trPr>
                    <w:tc>
                      <w:tcPr>
                        <w:tcW w:w="970" w:type="dxa"/>
                        <w:vMerge w:val="restart"/>
                        <w:shd w:val="clear" w:color="auto" w:fill="C0C0C0"/>
                      </w:tcPr>
                      <w:p>
                        <w:pPr>
                          <w:pStyle w:val="TableParagraph"/>
                          <w:spacing w:line="240" w:lineRule="auto" w:before="2"/>
                          <w:rPr>
                            <w:sz w:val="9"/>
                          </w:rPr>
                        </w:pPr>
                      </w:p>
                      <w:p>
                        <w:pPr>
                          <w:pStyle w:val="TableParagraph"/>
                          <w:spacing w:line="108" w:lineRule="exact"/>
                          <w:ind w:left="263" w:right="198" w:firstLine="61"/>
                          <w:rPr>
                            <w:rFonts w:ascii="Arial"/>
                            <w:sz w:val="11"/>
                          </w:rPr>
                        </w:pPr>
                        <w:r>
                          <w:rPr>
                            <w:rFonts w:ascii="Arial"/>
                            <w:sz w:val="11"/>
                          </w:rPr>
                          <w:t>Sequia Temporal</w:t>
                        </w:r>
                      </w:p>
                    </w:tc>
                    <w:tc>
                      <w:tcPr>
                        <w:tcW w:w="608" w:type="dxa"/>
                        <w:tcBorders>
                          <w:top w:val="nil"/>
                          <w:right w:val="nil"/>
                        </w:tcBorders>
                      </w:tcPr>
                      <w:p>
                        <w:pPr>
                          <w:pStyle w:val="TableParagraph"/>
                          <w:spacing w:line="240" w:lineRule="auto" w:before="67"/>
                          <w:ind w:right="36"/>
                          <w:jc w:val="center"/>
                          <w:rPr>
                            <w:rFonts w:ascii="Arial"/>
                            <w:sz w:val="11"/>
                          </w:rPr>
                        </w:pPr>
                        <w:r>
                          <w:rPr>
                            <w:rFonts w:ascii="Arial"/>
                            <w:w w:val="99"/>
                            <w:sz w:val="11"/>
                          </w:rPr>
                          <w:t>1</w:t>
                        </w:r>
                      </w:p>
                    </w:tc>
                  </w:tr>
                  <w:tr>
                    <w:trPr>
                      <w:trHeight w:val="185" w:hRule="exact"/>
                    </w:trPr>
                    <w:tc>
                      <w:tcPr>
                        <w:tcW w:w="970" w:type="dxa"/>
                        <w:vMerge/>
                        <w:shd w:val="clear" w:color="auto" w:fill="C0C0C0"/>
                      </w:tcPr>
                      <w:p>
                        <w:pPr/>
                      </w:p>
                    </w:tc>
                    <w:tc>
                      <w:tcPr>
                        <w:tcW w:w="608" w:type="dxa"/>
                        <w:tcBorders>
                          <w:bottom w:val="nil"/>
                          <w:right w:val="nil"/>
                        </w:tcBorders>
                      </w:tcPr>
                      <w:p>
                        <w:pPr/>
                      </w:p>
                    </w:tc>
                  </w:tr>
                </w:tbl>
                <w:p>
                  <w:pPr>
                    <w:pStyle w:val="BodyText"/>
                  </w:pPr>
                </w:p>
              </w:txbxContent>
            </v:textbox>
            <w10:wrap type="none"/>
          </v:shape>
        </w:pict>
      </w:r>
      <w:r>
        <w:rPr/>
        <w:pict>
          <v:shape style="position:absolute;margin-left:346.415833pt;margin-top:13.065021pt;width:79.2pt;height:19.95pt;mso-position-horizontal-relative:page;mso-position-vertical-relative:paragraph;z-index:1600" type="#_x0000_t202" filled="false" stroked="false">
            <v:textbox inset="0,0,0,0">
              <w:txbxContent>
                <w:tbl>
                  <w:tblPr>
                    <w:tblW w:w="0" w:type="auto"/>
                    <w:jc w:val="left"/>
                    <w:tblBorders>
                      <w:top w:val="single" w:sz="1" w:space="0" w:color="000000"/>
                      <w:left w:val="single" w:sz="1" w:space="0" w:color="000000"/>
                      <w:bottom w:val="single" w:sz="1" w:space="0" w:color="000000"/>
                      <w:right w:val="single" w:sz="1" w:space="0" w:color="000000"/>
                      <w:insideH w:val="single" w:sz="1" w:space="0" w:color="000000"/>
                      <w:insideV w:val="single" w:sz="1" w:space="0" w:color="000000"/>
                    </w:tblBorders>
                    <w:tblLayout w:type="fixed"/>
                    <w:tblCellMar>
                      <w:top w:w="0" w:type="dxa"/>
                      <w:left w:w="0" w:type="dxa"/>
                      <w:bottom w:w="0" w:type="dxa"/>
                      <w:right w:w="0" w:type="dxa"/>
                    </w:tblCellMar>
                    <w:tblLook w:val="01E0"/>
                  </w:tblPr>
                  <w:tblGrid>
                    <w:gridCol w:w="973"/>
                    <w:gridCol w:w="609"/>
                  </w:tblGrid>
                  <w:tr>
                    <w:trPr>
                      <w:trHeight w:val="210" w:hRule="exact"/>
                    </w:trPr>
                    <w:tc>
                      <w:tcPr>
                        <w:tcW w:w="973" w:type="dxa"/>
                        <w:vMerge w:val="restart"/>
                        <w:shd w:val="clear" w:color="auto" w:fill="C0C0C0"/>
                      </w:tcPr>
                      <w:p>
                        <w:pPr>
                          <w:pStyle w:val="TableParagraph"/>
                          <w:spacing w:line="240" w:lineRule="auto" w:before="2"/>
                          <w:rPr>
                            <w:sz w:val="9"/>
                          </w:rPr>
                        </w:pPr>
                      </w:p>
                      <w:p>
                        <w:pPr>
                          <w:pStyle w:val="TableParagraph"/>
                          <w:spacing w:line="108" w:lineRule="exact"/>
                          <w:ind w:left="205" w:firstLine="23"/>
                          <w:rPr>
                            <w:rFonts w:ascii="Arial"/>
                            <w:sz w:val="11"/>
                          </w:rPr>
                        </w:pPr>
                        <w:r>
                          <w:rPr>
                            <w:rFonts w:ascii="Arial"/>
                            <w:sz w:val="11"/>
                          </w:rPr>
                          <w:t>Tormentas Temporales</w:t>
                        </w:r>
                      </w:p>
                    </w:tc>
                    <w:tc>
                      <w:tcPr>
                        <w:tcW w:w="609" w:type="dxa"/>
                        <w:tcBorders>
                          <w:top w:val="nil"/>
                          <w:right w:val="nil"/>
                        </w:tcBorders>
                      </w:tcPr>
                      <w:p>
                        <w:pPr>
                          <w:pStyle w:val="TableParagraph"/>
                          <w:spacing w:line="240" w:lineRule="auto" w:before="63"/>
                          <w:ind w:right="36"/>
                          <w:jc w:val="center"/>
                          <w:rPr>
                            <w:rFonts w:ascii="Arial"/>
                            <w:sz w:val="11"/>
                          </w:rPr>
                        </w:pPr>
                        <w:r>
                          <w:rPr>
                            <w:rFonts w:ascii="Arial"/>
                            <w:w w:val="99"/>
                            <w:sz w:val="11"/>
                          </w:rPr>
                          <w:t>1</w:t>
                        </w:r>
                      </w:p>
                    </w:tc>
                  </w:tr>
                  <w:tr>
                    <w:trPr>
                      <w:trHeight w:val="185" w:hRule="exact"/>
                    </w:trPr>
                    <w:tc>
                      <w:tcPr>
                        <w:tcW w:w="973" w:type="dxa"/>
                        <w:vMerge/>
                        <w:shd w:val="clear" w:color="auto" w:fill="C0C0C0"/>
                      </w:tcPr>
                      <w:p>
                        <w:pPr/>
                      </w:p>
                    </w:tc>
                    <w:tc>
                      <w:tcPr>
                        <w:tcW w:w="609" w:type="dxa"/>
                        <w:tcBorders>
                          <w:bottom w:val="nil"/>
                          <w:right w:val="nil"/>
                        </w:tcBorders>
                      </w:tcPr>
                      <w:p>
                        <w:pPr/>
                      </w:p>
                    </w:tc>
                  </w:tr>
                </w:tbl>
                <w:p>
                  <w:pPr>
                    <w:pStyle w:val="BodyText"/>
                  </w:pPr>
                </w:p>
              </w:txbxContent>
            </v:textbox>
            <w10:wrap type="none"/>
          </v:shape>
        </w:pict>
      </w:r>
      <w:r>
        <w:rPr>
          <w:rFonts w:ascii="Arial"/>
          <w:sz w:val="18"/>
        </w:rPr>
        <w:t>,55</w:t>
      </w:r>
    </w:p>
    <w:p>
      <w:pPr>
        <w:pStyle w:val="BodyText"/>
        <w:ind w:left="6904"/>
        <w:rPr>
          <w:rFonts w:ascii="Arial"/>
          <w:sz w:val="20"/>
        </w:rPr>
      </w:pPr>
      <w:r>
        <w:rPr>
          <w:rFonts w:ascii="Arial"/>
          <w:sz w:val="20"/>
        </w:rPr>
        <w:pict>
          <v:group style="width:16.05pt;height:16.2pt;mso-position-horizontal-relative:char;mso-position-vertical-relative:line" coordorigin="0,0" coordsize="321,324">
            <v:shape style="position:absolute;left:0;top:0;width:320;height:323" type="#_x0000_t75" stroked="false">
              <v:imagedata r:id="rId16" o:title=""/>
            </v:shape>
            <v:shape style="position:absolute;left:0;top:0;width:321;height:324" type="#_x0000_t202" filled="false" stroked="false">
              <v:textbox inset="0,0,0,0">
                <w:txbxContent>
                  <w:p>
                    <w:pPr>
                      <w:spacing w:line="240" w:lineRule="auto" w:before="5"/>
                      <w:rPr>
                        <w:rFonts w:ascii="Arial"/>
                        <w:sz w:val="9"/>
                      </w:rPr>
                    </w:pPr>
                  </w:p>
                  <w:p>
                    <w:pPr>
                      <w:spacing w:before="0"/>
                      <w:ind w:left="107" w:right="0" w:firstLine="0"/>
                      <w:jc w:val="left"/>
                      <w:rPr>
                        <w:rFonts w:ascii="Arial"/>
                        <w:sz w:val="11"/>
                      </w:rPr>
                    </w:pPr>
                    <w:r>
                      <w:rPr>
                        <w:rFonts w:ascii="Arial"/>
                        <w:sz w:val="11"/>
                      </w:rPr>
                      <w:t>e8</w:t>
                    </w:r>
                  </w:p>
                </w:txbxContent>
              </v:textbox>
              <w10:wrap type="none"/>
            </v:shape>
          </v:group>
        </w:pict>
      </w:r>
      <w:r>
        <w:rPr>
          <w:rFonts w:ascii="Arial"/>
          <w:sz w:val="20"/>
        </w:rPr>
      </w:r>
    </w:p>
    <w:p>
      <w:pPr>
        <w:pStyle w:val="BodyText"/>
        <w:rPr>
          <w:rFonts w:ascii="Arial"/>
          <w:sz w:val="20"/>
        </w:rPr>
      </w:pPr>
    </w:p>
    <w:p>
      <w:pPr>
        <w:pStyle w:val="BodyText"/>
        <w:spacing w:line="276" w:lineRule="auto" w:before="190"/>
        <w:ind w:left="102" w:right="101"/>
        <w:jc w:val="both"/>
      </w:pPr>
      <w:r>
        <w:rPr/>
        <w:t>Por último, los parámetros de ajuste muestran valores cercanos a la unidad y en el caso de los residuales cercanos al cero. Tales resultados respaldan el valor de chi cuadrada y su nivel de significancia que sugieren la aceptación de la hipótesis nula. Es decir, el factor perceptual de riesgos parece estar configurado por otros indicadores no incluidos en el modelo.</w:t>
      </w:r>
    </w:p>
    <w:p>
      <w:pPr>
        <w:pStyle w:val="BodyText"/>
        <w:spacing w:before="8"/>
      </w:pPr>
    </w:p>
    <w:p>
      <w:pPr>
        <w:pStyle w:val="BodyText"/>
        <w:spacing w:line="276" w:lineRule="auto"/>
        <w:ind w:left="102" w:right="102"/>
        <w:jc w:val="both"/>
      </w:pPr>
      <w:r>
        <w:rPr/>
        <w:t>Sin embargo, los errores de medición muestran que la incidencia de otros indicadores o factores sobre los indicadores y el factor perceptual de riesgo sería mínima ya que sus valores son cercanos al cero.</w:t>
      </w:r>
    </w:p>
    <w:p>
      <w:pPr>
        <w:pStyle w:val="BodyText"/>
        <w:spacing w:before="5"/>
      </w:pPr>
    </w:p>
    <w:p>
      <w:pPr>
        <w:pStyle w:val="BodyText"/>
        <w:ind w:left="102"/>
        <w:jc w:val="both"/>
      </w:pPr>
      <w:r>
        <w:rPr/>
        <w:t>Tabla 3. Índices de ajuste</w:t>
      </w:r>
    </w:p>
    <w:p>
      <w:pPr>
        <w:pStyle w:val="BodyText"/>
        <w:spacing w:before="5"/>
        <w:rPr>
          <w:sz w:val="28"/>
        </w:rPr>
      </w:pPr>
    </w:p>
    <w:tbl>
      <w:tblPr>
        <w:tblW w:w="0" w:type="auto"/>
        <w:jc w:val="left"/>
        <w:tblInd w:w="2651" w:type="dxa"/>
        <w:tblBorders>
          <w:top w:val="single" w:sz="8" w:space="0" w:color="1F1F29"/>
          <w:left w:val="single" w:sz="8" w:space="0" w:color="1F1F29"/>
          <w:bottom w:val="single" w:sz="8" w:space="0" w:color="1F1F29"/>
          <w:right w:val="single" w:sz="8" w:space="0" w:color="1F1F29"/>
          <w:insideH w:val="single" w:sz="8" w:space="0" w:color="1F1F29"/>
          <w:insideV w:val="single" w:sz="8" w:space="0" w:color="1F1F29"/>
        </w:tblBorders>
        <w:tblLayout w:type="fixed"/>
        <w:tblCellMar>
          <w:top w:w="0" w:type="dxa"/>
          <w:left w:w="0" w:type="dxa"/>
          <w:bottom w:w="0" w:type="dxa"/>
          <w:right w:w="0" w:type="dxa"/>
        </w:tblCellMar>
        <w:tblLook w:val="01E0"/>
      </w:tblPr>
      <w:tblGrid>
        <w:gridCol w:w="3065"/>
        <w:gridCol w:w="655"/>
      </w:tblGrid>
      <w:tr>
        <w:trPr>
          <w:trHeight w:val="233" w:hRule="exact"/>
        </w:trPr>
        <w:tc>
          <w:tcPr>
            <w:tcW w:w="3065" w:type="dxa"/>
          </w:tcPr>
          <w:p>
            <w:pPr>
              <w:pStyle w:val="TableParagraph"/>
              <w:spacing w:line="183" w:lineRule="exact"/>
              <w:ind w:left="98"/>
              <w:rPr>
                <w:sz w:val="16"/>
              </w:rPr>
            </w:pPr>
            <w:r>
              <w:rPr>
                <w:color w:val="17171E"/>
                <w:sz w:val="16"/>
              </w:rPr>
              <w:t>Parámetro</w:t>
            </w:r>
          </w:p>
        </w:tc>
        <w:tc>
          <w:tcPr>
            <w:tcW w:w="655" w:type="dxa"/>
          </w:tcPr>
          <w:p>
            <w:pPr>
              <w:pStyle w:val="TableParagraph"/>
              <w:spacing w:line="183" w:lineRule="exact"/>
              <w:ind w:left="98"/>
              <w:rPr>
                <w:sz w:val="16"/>
              </w:rPr>
            </w:pPr>
            <w:r>
              <w:rPr>
                <w:color w:val="17171E"/>
                <w:sz w:val="16"/>
              </w:rPr>
              <w:t>Valor</w:t>
            </w:r>
          </w:p>
        </w:tc>
      </w:tr>
      <w:tr>
        <w:trPr>
          <w:trHeight w:val="231" w:hRule="exact"/>
        </w:trPr>
        <w:tc>
          <w:tcPr>
            <w:tcW w:w="3065" w:type="dxa"/>
          </w:tcPr>
          <w:p>
            <w:pPr>
              <w:pStyle w:val="TableParagraph"/>
              <w:spacing w:line="182" w:lineRule="exact"/>
              <w:ind w:left="98"/>
              <w:rPr>
                <w:sz w:val="16"/>
              </w:rPr>
            </w:pPr>
            <w:r>
              <w:rPr>
                <w:color w:val="17171E"/>
                <w:sz w:val="16"/>
              </w:rPr>
              <w:t>Chi cuadrada</w:t>
            </w:r>
          </w:p>
        </w:tc>
        <w:tc>
          <w:tcPr>
            <w:tcW w:w="655" w:type="dxa"/>
          </w:tcPr>
          <w:p>
            <w:pPr>
              <w:pStyle w:val="TableParagraph"/>
              <w:spacing w:line="182" w:lineRule="exact"/>
              <w:ind w:left="98"/>
              <w:rPr>
                <w:sz w:val="16"/>
              </w:rPr>
            </w:pPr>
            <w:r>
              <w:rPr>
                <w:color w:val="17171E"/>
                <w:sz w:val="16"/>
              </w:rPr>
              <w:t>17.645</w:t>
            </w:r>
          </w:p>
        </w:tc>
      </w:tr>
      <w:tr>
        <w:trPr>
          <w:trHeight w:val="233" w:hRule="exact"/>
        </w:trPr>
        <w:tc>
          <w:tcPr>
            <w:tcW w:w="3065" w:type="dxa"/>
          </w:tcPr>
          <w:p>
            <w:pPr>
              <w:pStyle w:val="TableParagraph"/>
              <w:spacing w:line="183" w:lineRule="exact"/>
              <w:ind w:left="98"/>
              <w:rPr>
                <w:sz w:val="16"/>
              </w:rPr>
            </w:pPr>
            <w:r>
              <w:rPr>
                <w:color w:val="17171E"/>
                <w:sz w:val="16"/>
              </w:rPr>
              <w:t>Grados de libertad</w:t>
            </w:r>
          </w:p>
        </w:tc>
        <w:tc>
          <w:tcPr>
            <w:tcW w:w="655" w:type="dxa"/>
          </w:tcPr>
          <w:p>
            <w:pPr>
              <w:pStyle w:val="TableParagraph"/>
              <w:spacing w:line="183" w:lineRule="exact"/>
              <w:ind w:left="98"/>
              <w:rPr>
                <w:sz w:val="16"/>
              </w:rPr>
            </w:pPr>
            <w:r>
              <w:rPr>
                <w:color w:val="17171E"/>
                <w:sz w:val="16"/>
              </w:rPr>
              <w:t>23</w:t>
            </w:r>
          </w:p>
        </w:tc>
      </w:tr>
      <w:tr>
        <w:trPr>
          <w:trHeight w:val="230" w:hRule="exact"/>
        </w:trPr>
        <w:tc>
          <w:tcPr>
            <w:tcW w:w="3065" w:type="dxa"/>
          </w:tcPr>
          <w:p>
            <w:pPr>
              <w:pStyle w:val="TableParagraph"/>
              <w:ind w:left="98"/>
              <w:rPr>
                <w:sz w:val="16"/>
              </w:rPr>
            </w:pPr>
            <w:r>
              <w:rPr>
                <w:color w:val="17171E"/>
                <w:sz w:val="16"/>
              </w:rPr>
              <w:t>Nivel de significancia</w:t>
            </w:r>
          </w:p>
        </w:tc>
        <w:tc>
          <w:tcPr>
            <w:tcW w:w="655" w:type="dxa"/>
          </w:tcPr>
          <w:p>
            <w:pPr>
              <w:pStyle w:val="TableParagraph"/>
              <w:ind w:left="98"/>
              <w:rPr>
                <w:sz w:val="16"/>
              </w:rPr>
            </w:pPr>
            <w:r>
              <w:rPr>
                <w:color w:val="17171E"/>
                <w:sz w:val="16"/>
              </w:rPr>
              <w:t>.000</w:t>
            </w:r>
          </w:p>
        </w:tc>
      </w:tr>
      <w:tr>
        <w:trPr>
          <w:trHeight w:val="233" w:hRule="exact"/>
        </w:trPr>
        <w:tc>
          <w:tcPr>
            <w:tcW w:w="3065" w:type="dxa"/>
          </w:tcPr>
          <w:p>
            <w:pPr>
              <w:pStyle w:val="TableParagraph"/>
              <w:spacing w:line="183" w:lineRule="exact"/>
              <w:ind w:left="98"/>
              <w:rPr>
                <w:sz w:val="16"/>
              </w:rPr>
            </w:pPr>
            <w:r>
              <w:rPr>
                <w:color w:val="17171E"/>
                <w:sz w:val="16"/>
              </w:rPr>
              <w:t>Goodness of FitIndex</w:t>
            </w:r>
          </w:p>
        </w:tc>
        <w:tc>
          <w:tcPr>
            <w:tcW w:w="655" w:type="dxa"/>
          </w:tcPr>
          <w:p>
            <w:pPr>
              <w:pStyle w:val="TableParagraph"/>
              <w:spacing w:line="183" w:lineRule="exact"/>
              <w:ind w:left="98"/>
              <w:rPr>
                <w:sz w:val="16"/>
              </w:rPr>
            </w:pPr>
            <w:r>
              <w:rPr>
                <w:color w:val="17171E"/>
                <w:sz w:val="16"/>
              </w:rPr>
              <w:t>.902</w:t>
            </w:r>
          </w:p>
        </w:tc>
      </w:tr>
      <w:tr>
        <w:trPr>
          <w:trHeight w:val="230" w:hRule="exact"/>
        </w:trPr>
        <w:tc>
          <w:tcPr>
            <w:tcW w:w="3065" w:type="dxa"/>
          </w:tcPr>
          <w:p>
            <w:pPr>
              <w:pStyle w:val="TableParagraph"/>
              <w:ind w:left="98"/>
              <w:rPr>
                <w:sz w:val="16"/>
              </w:rPr>
            </w:pPr>
            <w:r>
              <w:rPr>
                <w:color w:val="17171E"/>
                <w:sz w:val="16"/>
              </w:rPr>
              <w:t>Adjusted Goodness of Fit Index</w:t>
            </w:r>
          </w:p>
        </w:tc>
        <w:tc>
          <w:tcPr>
            <w:tcW w:w="655" w:type="dxa"/>
          </w:tcPr>
          <w:p>
            <w:pPr>
              <w:pStyle w:val="TableParagraph"/>
              <w:ind w:left="98"/>
              <w:rPr>
                <w:sz w:val="16"/>
              </w:rPr>
            </w:pPr>
            <w:r>
              <w:rPr>
                <w:color w:val="17171E"/>
                <w:sz w:val="16"/>
              </w:rPr>
              <w:t>.900</w:t>
            </w:r>
          </w:p>
        </w:tc>
      </w:tr>
      <w:tr>
        <w:trPr>
          <w:trHeight w:val="233" w:hRule="exact"/>
        </w:trPr>
        <w:tc>
          <w:tcPr>
            <w:tcW w:w="3065" w:type="dxa"/>
          </w:tcPr>
          <w:p>
            <w:pPr>
              <w:pStyle w:val="TableParagraph"/>
              <w:spacing w:line="183" w:lineRule="exact"/>
              <w:ind w:left="98"/>
              <w:rPr>
                <w:sz w:val="16"/>
              </w:rPr>
            </w:pPr>
            <w:r>
              <w:rPr>
                <w:color w:val="17171E"/>
                <w:sz w:val="16"/>
              </w:rPr>
              <w:t>Partial Goodness of Fit Index</w:t>
            </w:r>
          </w:p>
        </w:tc>
        <w:tc>
          <w:tcPr>
            <w:tcW w:w="655" w:type="dxa"/>
          </w:tcPr>
          <w:p>
            <w:pPr>
              <w:pStyle w:val="TableParagraph"/>
              <w:spacing w:line="183" w:lineRule="exact"/>
              <w:ind w:left="98"/>
              <w:rPr>
                <w:sz w:val="16"/>
              </w:rPr>
            </w:pPr>
            <w:r>
              <w:rPr>
                <w:color w:val="17171E"/>
                <w:sz w:val="16"/>
              </w:rPr>
              <w:t>.904</w:t>
            </w:r>
          </w:p>
        </w:tc>
      </w:tr>
      <w:tr>
        <w:trPr>
          <w:trHeight w:val="230" w:hRule="exact"/>
        </w:trPr>
        <w:tc>
          <w:tcPr>
            <w:tcW w:w="3065" w:type="dxa"/>
          </w:tcPr>
          <w:p>
            <w:pPr>
              <w:pStyle w:val="TableParagraph"/>
              <w:ind w:left="98"/>
              <w:rPr>
                <w:sz w:val="16"/>
              </w:rPr>
            </w:pPr>
            <w:r>
              <w:rPr>
                <w:color w:val="17171E"/>
                <w:sz w:val="16"/>
              </w:rPr>
              <w:t>RelativeFitIndex</w:t>
            </w:r>
          </w:p>
        </w:tc>
        <w:tc>
          <w:tcPr>
            <w:tcW w:w="655" w:type="dxa"/>
          </w:tcPr>
          <w:p>
            <w:pPr>
              <w:pStyle w:val="TableParagraph"/>
              <w:ind w:left="98"/>
              <w:rPr>
                <w:sz w:val="16"/>
              </w:rPr>
            </w:pPr>
            <w:r>
              <w:rPr>
                <w:color w:val="17171E"/>
                <w:sz w:val="16"/>
              </w:rPr>
              <w:t>.904</w:t>
            </w:r>
          </w:p>
        </w:tc>
      </w:tr>
      <w:tr>
        <w:trPr>
          <w:trHeight w:val="233" w:hRule="exact"/>
        </w:trPr>
        <w:tc>
          <w:tcPr>
            <w:tcW w:w="3065" w:type="dxa"/>
          </w:tcPr>
          <w:p>
            <w:pPr>
              <w:pStyle w:val="TableParagraph"/>
              <w:spacing w:line="183" w:lineRule="exact"/>
              <w:ind w:left="98"/>
              <w:rPr>
                <w:sz w:val="16"/>
              </w:rPr>
            </w:pPr>
            <w:r>
              <w:rPr>
                <w:color w:val="17171E"/>
                <w:sz w:val="16"/>
              </w:rPr>
              <w:t>Interval Fit Index</w:t>
            </w:r>
          </w:p>
        </w:tc>
        <w:tc>
          <w:tcPr>
            <w:tcW w:w="655" w:type="dxa"/>
          </w:tcPr>
          <w:p>
            <w:pPr>
              <w:pStyle w:val="TableParagraph"/>
              <w:spacing w:line="183" w:lineRule="exact"/>
              <w:ind w:left="98"/>
              <w:rPr>
                <w:sz w:val="16"/>
              </w:rPr>
            </w:pPr>
            <w:r>
              <w:rPr>
                <w:color w:val="17171E"/>
                <w:sz w:val="16"/>
              </w:rPr>
              <w:t>.906</w:t>
            </w:r>
          </w:p>
        </w:tc>
      </w:tr>
      <w:tr>
        <w:trPr>
          <w:trHeight w:val="230" w:hRule="exact"/>
        </w:trPr>
        <w:tc>
          <w:tcPr>
            <w:tcW w:w="3065" w:type="dxa"/>
          </w:tcPr>
          <w:p>
            <w:pPr>
              <w:pStyle w:val="TableParagraph"/>
              <w:ind w:left="98"/>
              <w:rPr>
                <w:sz w:val="16"/>
              </w:rPr>
            </w:pPr>
            <w:r>
              <w:rPr>
                <w:color w:val="17171E"/>
                <w:sz w:val="16"/>
              </w:rPr>
              <w:t>Tucker Lewis Index</w:t>
            </w:r>
          </w:p>
        </w:tc>
        <w:tc>
          <w:tcPr>
            <w:tcW w:w="655" w:type="dxa"/>
          </w:tcPr>
          <w:p>
            <w:pPr>
              <w:pStyle w:val="TableParagraph"/>
              <w:ind w:left="98"/>
              <w:rPr>
                <w:sz w:val="16"/>
              </w:rPr>
            </w:pPr>
            <w:r>
              <w:rPr>
                <w:color w:val="17171E"/>
                <w:sz w:val="16"/>
              </w:rPr>
              <w:t>.902</w:t>
            </w:r>
          </w:p>
        </w:tc>
      </w:tr>
      <w:tr>
        <w:trPr>
          <w:trHeight w:val="233" w:hRule="exact"/>
        </w:trPr>
        <w:tc>
          <w:tcPr>
            <w:tcW w:w="3065" w:type="dxa"/>
          </w:tcPr>
          <w:p>
            <w:pPr>
              <w:pStyle w:val="TableParagraph"/>
              <w:spacing w:line="183" w:lineRule="exact"/>
              <w:ind w:left="98"/>
              <w:rPr>
                <w:sz w:val="16"/>
              </w:rPr>
            </w:pPr>
            <w:r>
              <w:rPr>
                <w:color w:val="17171E"/>
                <w:sz w:val="16"/>
              </w:rPr>
              <w:t>Comparative Fit Index</w:t>
            </w:r>
          </w:p>
        </w:tc>
        <w:tc>
          <w:tcPr>
            <w:tcW w:w="655" w:type="dxa"/>
          </w:tcPr>
          <w:p>
            <w:pPr>
              <w:pStyle w:val="TableParagraph"/>
              <w:spacing w:line="183" w:lineRule="exact"/>
              <w:ind w:left="98"/>
              <w:rPr>
                <w:sz w:val="16"/>
              </w:rPr>
            </w:pPr>
            <w:r>
              <w:rPr>
                <w:color w:val="17171E"/>
                <w:sz w:val="16"/>
              </w:rPr>
              <w:t>.900</w:t>
            </w:r>
          </w:p>
        </w:tc>
      </w:tr>
      <w:tr>
        <w:trPr>
          <w:trHeight w:val="233" w:hRule="exact"/>
        </w:trPr>
        <w:tc>
          <w:tcPr>
            <w:tcW w:w="3065" w:type="dxa"/>
          </w:tcPr>
          <w:p>
            <w:pPr>
              <w:pStyle w:val="TableParagraph"/>
              <w:ind w:left="98"/>
              <w:rPr>
                <w:sz w:val="16"/>
              </w:rPr>
            </w:pPr>
            <w:r>
              <w:rPr>
                <w:color w:val="17171E"/>
                <w:sz w:val="16"/>
              </w:rPr>
              <w:t>Root Mean Squared Error of Approximation</w:t>
            </w:r>
          </w:p>
        </w:tc>
        <w:tc>
          <w:tcPr>
            <w:tcW w:w="655" w:type="dxa"/>
          </w:tcPr>
          <w:p>
            <w:pPr>
              <w:pStyle w:val="TableParagraph"/>
              <w:ind w:left="98"/>
              <w:rPr>
                <w:sz w:val="16"/>
              </w:rPr>
            </w:pPr>
            <w:r>
              <w:rPr>
                <w:color w:val="17171E"/>
                <w:sz w:val="16"/>
              </w:rPr>
              <w:t>.003</w:t>
            </w:r>
          </w:p>
        </w:tc>
      </w:tr>
    </w:tbl>
    <w:p>
      <w:pPr>
        <w:spacing w:after="0"/>
        <w:rPr>
          <w:sz w:val="16"/>
        </w:rPr>
        <w:sectPr>
          <w:type w:val="continuous"/>
          <w:pgSz w:w="12240" w:h="15840"/>
          <w:pgMar w:top="1500" w:bottom="280" w:left="1600" w:right="1600"/>
        </w:sectPr>
      </w:pPr>
    </w:p>
    <w:tbl>
      <w:tblPr>
        <w:tblW w:w="0" w:type="auto"/>
        <w:jc w:val="left"/>
        <w:tblInd w:w="2651" w:type="dxa"/>
        <w:tblBorders>
          <w:top w:val="single" w:sz="8" w:space="0" w:color="1F1F29"/>
          <w:left w:val="single" w:sz="8" w:space="0" w:color="1F1F29"/>
          <w:bottom w:val="single" w:sz="8" w:space="0" w:color="1F1F29"/>
          <w:right w:val="single" w:sz="8" w:space="0" w:color="1F1F29"/>
          <w:insideH w:val="single" w:sz="8" w:space="0" w:color="1F1F29"/>
          <w:insideV w:val="single" w:sz="8" w:space="0" w:color="1F1F29"/>
        </w:tblBorders>
        <w:tblLayout w:type="fixed"/>
        <w:tblCellMar>
          <w:top w:w="0" w:type="dxa"/>
          <w:left w:w="0" w:type="dxa"/>
          <w:bottom w:w="0" w:type="dxa"/>
          <w:right w:w="0" w:type="dxa"/>
        </w:tblCellMar>
        <w:tblLook w:val="01E0"/>
      </w:tblPr>
      <w:tblGrid>
        <w:gridCol w:w="3065"/>
        <w:gridCol w:w="655"/>
      </w:tblGrid>
      <w:tr>
        <w:trPr>
          <w:trHeight w:val="233" w:hRule="exact"/>
        </w:trPr>
        <w:tc>
          <w:tcPr>
            <w:tcW w:w="3065" w:type="dxa"/>
          </w:tcPr>
          <w:p>
            <w:pPr>
              <w:pStyle w:val="TableParagraph"/>
              <w:spacing w:line="179" w:lineRule="exact"/>
              <w:ind w:left="98"/>
              <w:rPr>
                <w:sz w:val="16"/>
              </w:rPr>
            </w:pPr>
            <w:r>
              <w:rPr>
                <w:color w:val="17171E"/>
                <w:sz w:val="16"/>
              </w:rPr>
              <w:t>Root Mean Residual</w:t>
            </w:r>
          </w:p>
        </w:tc>
        <w:tc>
          <w:tcPr>
            <w:tcW w:w="655" w:type="dxa"/>
          </w:tcPr>
          <w:p>
            <w:pPr>
              <w:pStyle w:val="TableParagraph"/>
              <w:spacing w:line="179" w:lineRule="exact"/>
              <w:ind w:left="98"/>
              <w:rPr>
                <w:sz w:val="16"/>
              </w:rPr>
            </w:pPr>
            <w:r>
              <w:rPr>
                <w:color w:val="17171E"/>
                <w:sz w:val="16"/>
              </w:rPr>
              <w:t>.005</w:t>
            </w:r>
          </w:p>
        </w:tc>
      </w:tr>
    </w:tbl>
    <w:p>
      <w:pPr>
        <w:pStyle w:val="BodyText"/>
        <w:spacing w:before="4"/>
        <w:rPr>
          <w:sz w:val="17"/>
        </w:rPr>
      </w:pPr>
    </w:p>
    <w:p>
      <w:pPr>
        <w:pStyle w:val="BodyText"/>
        <w:spacing w:line="276" w:lineRule="auto" w:before="69"/>
        <w:ind w:left="102" w:right="119"/>
        <w:jc w:val="both"/>
      </w:pPr>
      <w:r>
        <w:rPr/>
        <w:t>Si bien es cierto que el factor perceptual de riesgo no se agota con la inclusión de ocho indicadores, también es importante destacar que la incidencia de otros indicadores y factores es</w:t>
      </w:r>
      <w:r>
        <w:rPr>
          <w:spacing w:val="-4"/>
        </w:rPr>
        <w:t> </w:t>
      </w:r>
      <w:r>
        <w:rPr/>
        <w:t>mínima.</w:t>
      </w:r>
    </w:p>
    <w:p>
      <w:pPr>
        <w:pStyle w:val="BodyText"/>
        <w:spacing w:before="8"/>
      </w:pPr>
    </w:p>
    <w:p>
      <w:pPr>
        <w:pStyle w:val="BodyText"/>
        <w:spacing w:line="276" w:lineRule="auto"/>
        <w:ind w:left="102" w:right="119"/>
        <w:jc w:val="both"/>
      </w:pPr>
      <w:r>
        <w:rPr/>
        <w:t>Sin embargo, lo más relevante de los hallazgos expuestos es que la percepción de riesgos</w:t>
      </w:r>
      <w:r>
        <w:rPr>
          <w:spacing w:val="-18"/>
        </w:rPr>
        <w:t> </w:t>
      </w:r>
      <w:r>
        <w:rPr/>
        <w:t>en la muestra encuestada no sólo refleja las expectativas negativas respecto al impacto de las situaciones de escasez o desabasto de agua sobre el consumo per cápita, sino además refleja expectativas de temporalidad de los eventos de riesgo. Incluso, a medida que la percepción de riesgos parece configurarse en una diversidad de expectativas, tanto su carácter global como local, permanente o temporal perecen indicar tanto una aversión como una  propensión al</w:t>
      </w:r>
      <w:r>
        <w:rPr>
          <w:spacing w:val="-3"/>
        </w:rPr>
        <w:t> </w:t>
      </w:r>
      <w:r>
        <w:rPr/>
        <w:t>futuro.</w:t>
      </w:r>
    </w:p>
    <w:p>
      <w:pPr>
        <w:pStyle w:val="BodyText"/>
        <w:spacing w:before="10"/>
      </w:pPr>
    </w:p>
    <w:p>
      <w:pPr>
        <w:pStyle w:val="Heading1"/>
        <w:ind w:left="3686"/>
      </w:pPr>
      <w:r>
        <w:rPr/>
        <w:t>CONCLUSIÓN</w:t>
      </w:r>
    </w:p>
    <w:p>
      <w:pPr>
        <w:pStyle w:val="BodyText"/>
        <w:spacing w:before="8"/>
        <w:rPr>
          <w:b/>
          <w:sz w:val="27"/>
        </w:rPr>
      </w:pPr>
    </w:p>
    <w:p>
      <w:pPr>
        <w:pStyle w:val="BodyText"/>
        <w:spacing w:line="276" w:lineRule="auto"/>
        <w:ind w:left="102" w:right="118"/>
        <w:jc w:val="both"/>
      </w:pPr>
      <w:r>
        <w:rPr/>
        <w:t>El presente estudio ha explicado la multidimensionalidad de la percepción de riesgos frente a situaciones hídricas de disponibilidad per cápita cercanas a la escasez y al desabasto de agua. Los hallazgos corroboran la diversidad de indicadores pertenecientes al factor perceptual reportados en las investigaciones de Aragonés, et. al, 2006; Álvares, et. al, 2007; Catalán, et. al, 2009 y Corrales, et. al, 2009.</w:t>
      </w:r>
    </w:p>
    <w:p>
      <w:pPr>
        <w:pStyle w:val="BodyText"/>
        <w:spacing w:before="8"/>
      </w:pPr>
    </w:p>
    <w:p>
      <w:pPr>
        <w:pStyle w:val="BodyText"/>
        <w:spacing w:line="276" w:lineRule="auto"/>
        <w:ind w:left="102" w:right="114"/>
        <w:jc w:val="both"/>
      </w:pPr>
      <w:r>
        <w:rPr/>
        <w:t>Sin embargo, otros estudios reportados por Van Gascloe y Metzger, 1997 y Pérez, et. al, 2007 coinciden en señalar una multidimensionalidad acotada por la incidencia de otros factores e indicadores cognitivos en referencia a conductas de riesgo. En tal sentido, el presente estudio ha discutido la relación causal entre las situaciones de escasez y el ahorro de agua a través de los factores cognitivos entre los cuales la percepción de riesgo estaría implicada. Tales hallazgos permitirán abrir la discusión relativa al modelamiento de conductas en situaciones de riesgo a partir de situaciones de escasez. Los estudios psicológicos de la sustentabilidad han establecido la predicción de un comportamiento favorable al medio ambiente a partir de la interrelación entre factores situacionales, sociodemográficos, económicos, educativos y cognitivos sobre acciones de dispendio o ahorro de los recursos. En el caso de la disponibilidad de agua, los estudios psicológicos han demostrado que en una situación de escasez y desabasto, subyace el ahorro de agua.  Sin embargo, la inclusión de la percepción de riesgo en la relación causal entre el abasto intermitente y el ahorro sistemático permitiría explicar por qué los huracanes, las sequías o las inundaciones parecen no incidir en el comportamiento deliberado, planificado y sistemático de optimización del uso de agua. A medida que el agua escasea, los usuarios tienden a percibir que el desabasto es temporal y por ende, sus acciones de abastecimiento no trascienden su zona residencial y mucho menos sus hábitos de</w:t>
      </w:r>
      <w:r>
        <w:rPr>
          <w:spacing w:val="-9"/>
        </w:rPr>
        <w:t> </w:t>
      </w:r>
      <w:r>
        <w:rPr/>
        <w:t>consumo.</w:t>
      </w:r>
    </w:p>
    <w:sectPr>
      <w:pgSz w:w="12240" w:h="15840"/>
      <w:pgMar w:top="142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3685" w:right="3703"/>
      <w:jc w:val="center"/>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spacing w:line="181" w:lineRule="exac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MTBAUTISTA</dc:creator>
  <dcterms:created xsi:type="dcterms:W3CDTF">2017-05-29T21:37:48Z</dcterms:created>
  <dcterms:modified xsi:type="dcterms:W3CDTF">2017-05-29T21:37:48Z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2016-02-17T00:00:00Z</vt:filetime>
  </property>
  <property fmtid="{D5CDD505-2E9C-101B-9397-08002B2CF9AE}" pid="3" name="Creator">
    <vt:lpwstr>Microsoft® Word 2010</vt:lpwstr>
  </property>
  <property fmtid="{D5CDD505-2E9C-101B-9397-08002B2CF9AE}" pid="4" name="LastSaved">
    <vt:filetime>2017-05-29T00:00:00Z</vt:filetime>
  </property>
</Properties>
</file>