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0"/>
        <w:rPr>
          <w:rFonts w:ascii="Times New Roman"/>
          <w:sz w:val="20"/>
        </w:rPr>
      </w:pPr>
      <w:r>
        <w:rPr>
          <w:rFonts w:ascii="Times New Roman"/>
          <w:sz w:val="20"/>
        </w:rPr>
        <w:drawing>
          <wp:inline distT="0" distB="0" distL="0" distR="0">
            <wp:extent cx="8295407" cy="1221219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295407" cy="12212193"/>
                    </a:xfrm>
                    <a:prstGeom prst="rect">
                      <a:avLst/>
                    </a:prstGeom>
                  </pic:spPr>
                </pic:pic>
              </a:graphicData>
            </a:graphic>
          </wp:inline>
        </w:drawing>
      </w:r>
      <w:r>
        <w:rPr>
          <w:rFonts w:ascii="Times New Roman"/>
          <w:sz w:val="20"/>
        </w:rPr>
      </w:r>
    </w:p>
    <w:p>
      <w:pPr>
        <w:spacing w:after="0"/>
        <w:rPr>
          <w:rFonts w:ascii="Times New Roman"/>
          <w:sz w:val="20"/>
        </w:rPr>
        <w:sectPr>
          <w:type w:val="continuous"/>
          <w:pgSz w:w="13100" w:h="19280"/>
          <w:pgMar w:top="0" w:bottom="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49" w:lineRule="auto" w:before="205"/>
        <w:ind w:left="1956" w:right="2538" w:firstLine="889"/>
        <w:jc w:val="left"/>
        <w:rPr>
          <w:rFonts w:ascii="Times New Roman" w:hAnsi="Times New Roman"/>
          <w:sz w:val="38"/>
        </w:rPr>
      </w:pPr>
      <w:r>
        <w:rPr>
          <w:rFonts w:ascii="Times New Roman" w:hAnsi="Times New Roman"/>
          <w:color w:val="BC6B60"/>
          <w:sz w:val="38"/>
        </w:rPr>
        <w:t>El Caudillo del Sur: forjador de la nación </w:t>
      </w:r>
      <w:r>
        <w:rPr>
          <w:rFonts w:ascii="Times New Roman" w:hAnsi="Times New Roman"/>
          <w:color w:val="BC6B60"/>
          <w:spacing w:val="65"/>
          <w:sz w:val="38"/>
        </w:rPr>
        <w:t> </w:t>
      </w:r>
      <w:r>
        <w:rPr>
          <w:rFonts w:ascii="Times New Roman" w:hAnsi="Times New Roman"/>
          <w:color w:val="BC6B60"/>
          <w:sz w:val="38"/>
        </w:rPr>
        <w:t>mexicana</w:t>
      </w:r>
    </w:p>
    <w:p>
      <w:pPr>
        <w:spacing w:after="0" w:line="249" w:lineRule="auto"/>
        <w:jc w:val="left"/>
        <w:rPr>
          <w:rFonts w:ascii="Times New Roman" w:hAnsi="Times New Roman"/>
          <w:sz w:val="38"/>
        </w:rPr>
        <w:sectPr>
          <w:pgSz w:w="13100" w:h="17920"/>
          <w:pgMar w:top="1700" w:bottom="280" w:left="1860" w:right="18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pStyle w:val="BodyText"/>
        <w:ind w:left="4480"/>
        <w:rPr>
          <w:rFonts w:ascii="Times New Roman"/>
          <w:sz w:val="20"/>
        </w:rPr>
      </w:pPr>
      <w:r>
        <w:rPr>
          <w:rFonts w:ascii="Times New Roman"/>
          <w:sz w:val="20"/>
        </w:rPr>
        <w:drawing>
          <wp:inline distT="0" distB="0" distL="0" distR="0">
            <wp:extent cx="540638" cy="540639"/>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40638" cy="540639"/>
                    </a:xfrm>
                    <a:prstGeom prst="rect">
                      <a:avLst/>
                    </a:prstGeom>
                  </pic:spPr>
                </pic:pic>
              </a:graphicData>
            </a:graphic>
          </wp:inline>
        </w:drawing>
      </w:r>
      <w:r>
        <w:rPr>
          <w:rFonts w:ascii="Times New Roman"/>
          <w:sz w:val="20"/>
        </w:rPr>
      </w:r>
    </w:p>
    <w:p>
      <w:pPr>
        <w:pStyle w:val="BodyText"/>
        <w:spacing w:before="10"/>
        <w:rPr>
          <w:rFonts w:ascii="Times New Roman"/>
          <w:sz w:val="15"/>
        </w:rPr>
      </w:pPr>
      <w:r>
        <w:rPr/>
        <w:pict>
          <v:group style="position:absolute;margin-left:285.776001pt;margin-top:14.0809pt;width:43pt;height:11.2pt;mso-position-horizontal-relative:page;mso-position-vertical-relative:paragraph;z-index:0;mso-wrap-distance-left:0;mso-wrap-distance-right:0" coordorigin="5716,282" coordsize="860,224">
            <v:shape style="position:absolute;left:5716;top:282;width:189;height:213" coordorigin="5716,282" coordsize="189,213" path="m5755,282l5716,282,5716,291,5725,291,5731,294,5736,306,5737,313,5737,400,5743,441,5758,470,5785,488,5821,494,5836,494,5849,492,5870,483,5875,480,5827,480,5816,479,5806,475,5798,469,5791,461,5785,451,5781,438,5779,425,5778,410,5778,400,5778,323,5778,313,5777,308,5776,298,5774,294,5770,287,5767,285,5760,282,5755,282xm5904,282l5888,282,5888,400,5887,419,5885,435,5880,449,5874,460,5865,469,5855,475,5842,478,5827,480,5875,480,5879,477,5892,461,5896,451,5899,439,5901,430,5903,421,5903,410,5904,400,5904,282xe" filled="true" fillcolor="#044931" stroked="false">
              <v:path arrowok="t"/>
              <v:fill type="solid"/>
            </v:shape>
            <v:shape style="position:absolute;left:5919;top:282;width:208;height:211" coordorigin="5919,282" coordsize="208,211" path="m6087,433l6043,433,6050,451,6054,460,6058,467,6068,478,6073,482,6084,488,6090,490,6101,492,6106,492,6116,492,6122,491,6125,491,6126,490,6126,483,6119,482,6113,479,6102,468,6098,460,6094,451,6087,433xm6024,282l6010,282,5919,491,5934,491,5960,433,6087,433,6081,419,5966,419,6003,336,6047,336,6024,282xm6047,336l6003,336,6037,419,6081,419,6047,336xe" filled="true" fillcolor="#044931" stroked="false">
              <v:path arrowok="t"/>
              <v:fill type="solid"/>
            </v:shape>
            <v:shape style="position:absolute;left:6129;top:282;width:176;height:210" coordorigin="6129,282" coordsize="176,210" path="m6272,282l6129,282,6129,291,6142,291,6148,294,6153,306,6154,313,6154,491,6278,491,6284,489,6291,481,6293,477,6195,477,6195,389,6275,389,6275,375,6195,375,6195,296,6291,296,6291,295,6290,292,6286,287,6283,285,6276,282,6272,282xm6297,440l6292,454,6285,464,6269,474,6259,477,6293,477,6294,475,6296,469,6305,444,6297,440xm6291,296l6257,296,6267,299,6280,311,6284,320,6284,334,6293,334,6293,304,6292,301,6291,296xe" filled="true" fillcolor="#044931" stroked="false">
              <v:path arrowok="t"/>
              <v:fill type="solid"/>
            </v:shape>
            <v:shape style="position:absolute;left:6334;top:282;width:241;height:224" coordorigin="6334,282" coordsize="241,224" path="m6552,325l6511,325,6511,437,6512,454,6515,468,6520,480,6526,489,6535,496,6546,501,6559,504,6575,505,6575,497,6566,495,6560,490,6557,480,6555,472,6553,462,6552,450,6552,437,6552,325xm6372,282l6334,282,6334,491,6350,491,6350,318,6390,318,6372,282xm6390,318l6350,318,6433,491,6443,491,6465,437,6447,437,6390,318xm6552,282l6511,282,6447,437,6465,437,6511,325,6552,325,6552,282xe" filled="true" fillcolor="#044931" stroked="false">
              <v:path arrowok="t"/>
              <v:fill type="solid"/>
            </v:shape>
            <w10:wrap type="topAndBottom"/>
          </v:group>
        </w:pict>
      </w:r>
      <w:r>
        <w:rPr/>
        <w:pict>
          <v:line style="position:absolute;mso-position-horizontal-relative:page;mso-position-vertical-relative:paragraph;z-index:1048;mso-wrap-distance-left:0;mso-wrap-distance-right:0" from="334.138pt,11.2589pt" to="334.138pt,28.0759pt" stroked="true" strokeweight=".31pt" strokecolor="#044931">
            <w10:wrap type="topAndBottom"/>
          </v:line>
        </w:pict>
      </w:r>
      <w:r>
        <w:rPr/>
        <w:drawing>
          <wp:anchor distT="0" distB="0" distL="0" distR="0" allowOverlap="1" layoutInCell="1" locked="0" behindDoc="0" simplePos="0" relativeHeight="1072">
            <wp:simplePos x="0" y="0"/>
            <wp:positionH relativeFrom="page">
              <wp:posOffset>4309960</wp:posOffset>
            </wp:positionH>
            <wp:positionV relativeFrom="paragraph">
              <wp:posOffset>182408</wp:posOffset>
            </wp:positionV>
            <wp:extent cx="649951" cy="126301"/>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649951" cy="126301"/>
                    </a:xfrm>
                    <a:prstGeom prst="rect">
                      <a:avLst/>
                    </a:prstGeom>
                  </pic:spPr>
                </pic:pic>
              </a:graphicData>
            </a:graphic>
          </wp:anchor>
        </w:drawing>
      </w:r>
    </w:p>
    <w:p>
      <w:pPr>
        <w:pStyle w:val="BodyText"/>
        <w:rPr>
          <w:rFonts w:ascii="Times New Roman"/>
          <w:sz w:val="20"/>
        </w:rPr>
      </w:pPr>
    </w:p>
    <w:p>
      <w:pPr>
        <w:pStyle w:val="BodyText"/>
        <w:spacing w:before="1"/>
        <w:rPr>
          <w:rFonts w:ascii="Times New Roman"/>
          <w:sz w:val="17"/>
        </w:rPr>
      </w:pPr>
    </w:p>
    <w:p>
      <w:pPr>
        <w:spacing w:line="182" w:lineRule="exact" w:before="0"/>
        <w:ind w:left="710" w:right="285" w:firstLine="0"/>
        <w:jc w:val="center"/>
        <w:rPr>
          <w:rFonts w:ascii="Arial" w:hAnsi="Arial"/>
          <w:sz w:val="16"/>
        </w:rPr>
      </w:pPr>
      <w:r>
        <w:rPr>
          <w:rFonts w:ascii="Arial" w:hAnsi="Arial"/>
          <w:color w:val="231F1F"/>
          <w:sz w:val="16"/>
        </w:rPr>
        <w:t>Dr. en D. Jorge Olvera García</w:t>
      </w:r>
    </w:p>
    <w:p>
      <w:pPr>
        <w:spacing w:line="182" w:lineRule="exact" w:before="0"/>
        <w:ind w:left="710" w:right="285" w:firstLine="0"/>
        <w:jc w:val="center"/>
        <w:rPr>
          <w:rFonts w:ascii="Arial"/>
          <w:i/>
          <w:sz w:val="16"/>
        </w:rPr>
      </w:pPr>
      <w:r>
        <w:rPr>
          <w:rFonts w:ascii="Arial"/>
          <w:i/>
          <w:color w:val="231F1F"/>
          <w:sz w:val="16"/>
        </w:rPr>
        <w:t>Rector</w:t>
      </w:r>
    </w:p>
    <w:p>
      <w:pPr>
        <w:pStyle w:val="BodyText"/>
        <w:spacing w:before="3"/>
        <w:rPr>
          <w:rFonts w:ascii="Arial"/>
          <w:i/>
          <w:sz w:val="15"/>
        </w:rPr>
      </w:pPr>
    </w:p>
    <w:p>
      <w:pPr>
        <w:spacing w:line="182" w:lineRule="exact" w:before="0"/>
        <w:ind w:left="710" w:right="285" w:firstLine="0"/>
        <w:jc w:val="center"/>
        <w:rPr>
          <w:rFonts w:ascii="Arial"/>
          <w:sz w:val="16"/>
        </w:rPr>
      </w:pPr>
      <w:r>
        <w:rPr>
          <w:rFonts w:ascii="Arial"/>
          <w:color w:val="231F1F"/>
          <w:sz w:val="16"/>
        </w:rPr>
        <w:t>Dr. en Educ. Alfredo Barrera Baca</w:t>
      </w:r>
    </w:p>
    <w:p>
      <w:pPr>
        <w:spacing w:line="182" w:lineRule="exact" w:before="0"/>
        <w:ind w:left="710" w:right="285" w:firstLine="0"/>
        <w:jc w:val="center"/>
        <w:rPr>
          <w:rFonts w:ascii="Arial"/>
          <w:i/>
          <w:sz w:val="16"/>
        </w:rPr>
      </w:pPr>
      <w:r>
        <w:rPr>
          <w:rFonts w:ascii="Arial"/>
          <w:i/>
          <w:color w:val="231F1F"/>
          <w:sz w:val="16"/>
        </w:rPr>
        <w:t>Secretario de Docencia</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Dra. en Est. Lat. Ángeles Ma. del Rosario Pérez Bernal</w:t>
      </w:r>
    </w:p>
    <w:p>
      <w:pPr>
        <w:spacing w:line="182" w:lineRule="exact" w:before="0"/>
        <w:ind w:left="710" w:right="285" w:firstLine="0"/>
        <w:jc w:val="center"/>
        <w:rPr>
          <w:rFonts w:ascii="Arial" w:hAnsi="Arial"/>
          <w:i/>
          <w:sz w:val="16"/>
        </w:rPr>
      </w:pPr>
      <w:r>
        <w:rPr>
          <w:rFonts w:ascii="Arial" w:hAnsi="Arial"/>
          <w:i/>
          <w:color w:val="231F1F"/>
          <w:sz w:val="16"/>
        </w:rPr>
        <w:t>Secretaria de Investigación y Estudios Avanzados</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Dr. en D. Hiram Piña Libien</w:t>
      </w:r>
    </w:p>
    <w:p>
      <w:pPr>
        <w:spacing w:line="182" w:lineRule="exact" w:before="0"/>
        <w:ind w:left="710" w:right="285" w:firstLine="0"/>
        <w:jc w:val="center"/>
        <w:rPr>
          <w:rFonts w:ascii="Arial" w:hAnsi="Arial"/>
          <w:i/>
          <w:sz w:val="16"/>
        </w:rPr>
      </w:pPr>
      <w:r>
        <w:rPr>
          <w:rFonts w:ascii="Arial" w:hAnsi="Arial"/>
          <w:i/>
          <w:color w:val="231F1F"/>
          <w:sz w:val="16"/>
        </w:rPr>
        <w:t>Secretario de Rectoría</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E. P. y D. Ivett Tinoco García</w:t>
      </w:r>
    </w:p>
    <w:p>
      <w:pPr>
        <w:spacing w:line="182" w:lineRule="exact" w:before="0"/>
        <w:ind w:left="710" w:right="285" w:firstLine="0"/>
        <w:jc w:val="center"/>
        <w:rPr>
          <w:rFonts w:ascii="Arial" w:hAnsi="Arial"/>
          <w:i/>
          <w:sz w:val="16"/>
        </w:rPr>
      </w:pPr>
      <w:r>
        <w:rPr>
          <w:rFonts w:ascii="Arial" w:hAnsi="Arial"/>
          <w:i/>
          <w:color w:val="231F1F"/>
          <w:sz w:val="16"/>
        </w:rPr>
        <w:t>Secretaria de Difusión Cultural</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E. F. María de los Ángeles Bernal García</w:t>
      </w:r>
    </w:p>
    <w:p>
      <w:pPr>
        <w:spacing w:line="182" w:lineRule="exact" w:before="0"/>
        <w:ind w:left="710" w:right="285" w:firstLine="0"/>
        <w:jc w:val="center"/>
        <w:rPr>
          <w:rFonts w:ascii="Arial" w:hAnsi="Arial"/>
          <w:i/>
          <w:sz w:val="16"/>
        </w:rPr>
      </w:pPr>
      <w:r>
        <w:rPr>
          <w:rFonts w:ascii="Arial" w:hAnsi="Arial"/>
          <w:i/>
          <w:color w:val="231F1F"/>
          <w:sz w:val="16"/>
        </w:rPr>
        <w:t>Secretaria de Extensión y Vinculación</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E. Javier González Martínez</w:t>
      </w:r>
    </w:p>
    <w:p>
      <w:pPr>
        <w:spacing w:line="182" w:lineRule="exact" w:before="0"/>
        <w:ind w:left="710" w:right="285" w:firstLine="0"/>
        <w:jc w:val="center"/>
        <w:rPr>
          <w:rFonts w:ascii="Arial" w:hAnsi="Arial"/>
          <w:i/>
          <w:sz w:val="16"/>
        </w:rPr>
      </w:pPr>
      <w:r>
        <w:rPr>
          <w:rFonts w:ascii="Arial" w:hAnsi="Arial"/>
          <w:i/>
          <w:color w:val="231F1F"/>
          <w:sz w:val="16"/>
        </w:rPr>
        <w:t>Secretario de Administración</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Dr. en C. Pol. Manuel Hernández Luna</w:t>
      </w:r>
    </w:p>
    <w:p>
      <w:pPr>
        <w:spacing w:line="182" w:lineRule="exact" w:before="0"/>
        <w:ind w:left="710" w:right="285" w:firstLine="0"/>
        <w:jc w:val="center"/>
        <w:rPr>
          <w:rFonts w:ascii="Arial" w:hAnsi="Arial"/>
          <w:i/>
          <w:sz w:val="16"/>
        </w:rPr>
      </w:pPr>
      <w:r>
        <w:rPr>
          <w:rFonts w:ascii="Arial" w:hAnsi="Arial"/>
          <w:i/>
          <w:color w:val="231F1F"/>
          <w:sz w:val="16"/>
        </w:rPr>
        <w:t>Secretario de Planeación y Desarrollo Institucional</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A. E. D. Yolanda E. Ballesteros Sentíes</w:t>
      </w:r>
    </w:p>
    <w:p>
      <w:pPr>
        <w:spacing w:line="182" w:lineRule="exact" w:before="0"/>
        <w:ind w:left="710" w:right="285" w:firstLine="0"/>
        <w:jc w:val="center"/>
        <w:rPr>
          <w:rFonts w:ascii="Arial" w:hAnsi="Arial"/>
          <w:i/>
          <w:sz w:val="16"/>
        </w:rPr>
      </w:pPr>
      <w:r>
        <w:rPr>
          <w:rFonts w:ascii="Arial" w:hAnsi="Arial"/>
          <w:i/>
          <w:color w:val="231F1F"/>
          <w:sz w:val="16"/>
        </w:rPr>
        <w:t>Secretaria de Cooperación Internacional</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Dr. en D. José Benjamín Bernal Suárez</w:t>
      </w:r>
    </w:p>
    <w:p>
      <w:pPr>
        <w:spacing w:line="182" w:lineRule="exact" w:before="0"/>
        <w:ind w:left="4273" w:right="2538" w:firstLine="0"/>
        <w:jc w:val="left"/>
        <w:rPr>
          <w:rFonts w:ascii="Arial"/>
          <w:i/>
          <w:sz w:val="16"/>
        </w:rPr>
      </w:pPr>
      <w:r>
        <w:rPr>
          <w:rFonts w:ascii="Arial"/>
          <w:i/>
          <w:color w:val="231F1F"/>
          <w:sz w:val="16"/>
        </w:rPr>
        <w:t>Abogado General</w:t>
      </w:r>
    </w:p>
    <w:p>
      <w:pPr>
        <w:pStyle w:val="BodyText"/>
        <w:spacing w:before="3"/>
        <w:rPr>
          <w:rFonts w:ascii="Arial"/>
          <w:i/>
          <w:sz w:val="15"/>
        </w:rPr>
      </w:pPr>
    </w:p>
    <w:p>
      <w:pPr>
        <w:spacing w:line="182" w:lineRule="exact" w:before="0"/>
        <w:ind w:left="710" w:right="285" w:firstLine="0"/>
        <w:jc w:val="center"/>
        <w:rPr>
          <w:rFonts w:ascii="Arial"/>
          <w:sz w:val="16"/>
        </w:rPr>
      </w:pPr>
      <w:r>
        <w:rPr>
          <w:rFonts w:ascii="Arial"/>
          <w:color w:val="231F1F"/>
          <w:sz w:val="16"/>
        </w:rPr>
        <w:t>Lic. Juan Portilla Estrada</w:t>
      </w:r>
    </w:p>
    <w:p>
      <w:pPr>
        <w:spacing w:line="182" w:lineRule="exact" w:before="0"/>
        <w:ind w:left="710" w:right="285" w:firstLine="0"/>
        <w:jc w:val="center"/>
        <w:rPr>
          <w:rFonts w:ascii="Arial" w:hAnsi="Arial"/>
          <w:i/>
          <w:sz w:val="16"/>
        </w:rPr>
      </w:pPr>
      <w:r>
        <w:rPr>
          <w:rFonts w:ascii="Arial" w:hAnsi="Arial"/>
          <w:i/>
          <w:color w:val="231F1F"/>
          <w:sz w:val="16"/>
        </w:rPr>
        <w:t>Director General de Comunicación Universitaria</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Lic. Jorge Bernáldez García</w:t>
      </w:r>
    </w:p>
    <w:p>
      <w:pPr>
        <w:spacing w:line="182" w:lineRule="exact" w:before="0"/>
        <w:ind w:left="710" w:right="285" w:firstLine="0"/>
        <w:jc w:val="center"/>
        <w:rPr>
          <w:rFonts w:ascii="Arial" w:hAnsi="Arial"/>
          <w:i/>
          <w:sz w:val="16"/>
        </w:rPr>
      </w:pPr>
      <w:r>
        <w:rPr>
          <w:rFonts w:ascii="Arial" w:hAnsi="Arial"/>
          <w:i/>
          <w:color w:val="231F1F"/>
          <w:sz w:val="16"/>
        </w:rPr>
        <w:t>Secretario Técnico de la Rectoría</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A. Ignacio Gutiérrez Padilla</w:t>
      </w:r>
    </w:p>
    <w:p>
      <w:pPr>
        <w:spacing w:line="182" w:lineRule="exact" w:before="0"/>
        <w:ind w:left="710" w:right="285" w:firstLine="0"/>
        <w:jc w:val="center"/>
        <w:rPr>
          <w:rFonts w:ascii="Arial"/>
          <w:i/>
          <w:sz w:val="16"/>
        </w:rPr>
      </w:pPr>
      <w:r>
        <w:rPr>
          <w:rFonts w:ascii="Arial"/>
          <w:i/>
          <w:color w:val="231F1F"/>
          <w:sz w:val="16"/>
        </w:rPr>
        <w:t>Contralor Universitario</w:t>
      </w:r>
    </w:p>
    <w:p>
      <w:pPr>
        <w:pStyle w:val="BodyText"/>
        <w:spacing w:before="3"/>
        <w:rPr>
          <w:rFonts w:ascii="Arial"/>
          <w:i/>
          <w:sz w:val="15"/>
        </w:rPr>
      </w:pPr>
    </w:p>
    <w:p>
      <w:pPr>
        <w:spacing w:line="182" w:lineRule="exact" w:before="0"/>
        <w:ind w:left="710" w:right="285" w:firstLine="0"/>
        <w:jc w:val="center"/>
        <w:rPr>
          <w:rFonts w:ascii="Arial" w:hAnsi="Arial"/>
          <w:sz w:val="16"/>
        </w:rPr>
      </w:pPr>
      <w:r>
        <w:rPr>
          <w:rFonts w:ascii="Arial" w:hAnsi="Arial"/>
          <w:color w:val="231F1F"/>
          <w:sz w:val="16"/>
        </w:rPr>
        <w:t>M. en A. Emilio Tovar Pérez</w:t>
      </w:r>
    </w:p>
    <w:p>
      <w:pPr>
        <w:spacing w:line="180" w:lineRule="exact" w:before="4"/>
        <w:ind w:left="3317" w:right="2890" w:firstLine="0"/>
        <w:jc w:val="center"/>
        <w:rPr>
          <w:rFonts w:ascii="Arial" w:hAnsi="Arial"/>
          <w:i/>
          <w:sz w:val="16"/>
        </w:rPr>
      </w:pPr>
      <w:r>
        <w:rPr>
          <w:rFonts w:ascii="Arial" w:hAnsi="Arial"/>
          <w:i/>
          <w:color w:val="231F1F"/>
          <w:sz w:val="16"/>
        </w:rPr>
        <w:t>Director General de Centros Universitarios y </w:t>
      </w:r>
      <w:r>
        <w:rPr>
          <w:rFonts w:ascii="Arial" w:hAnsi="Arial"/>
          <w:i/>
          <w:color w:val="231F1F"/>
          <w:sz w:val="16"/>
        </w:rPr>
        <w:t>Unidades Académicas Profesionales</w:t>
      </w:r>
    </w:p>
    <w:p>
      <w:pPr>
        <w:spacing w:after="0" w:line="180" w:lineRule="exact"/>
        <w:jc w:val="center"/>
        <w:rPr>
          <w:rFonts w:ascii="Arial" w:hAnsi="Arial"/>
          <w:sz w:val="16"/>
        </w:rPr>
        <w:sectPr>
          <w:pgSz w:w="13100" w:h="17920"/>
          <w:pgMar w:top="1700" w:bottom="280" w:left="1860" w:right="1860"/>
        </w:sectPr>
      </w:pPr>
    </w:p>
    <w:p>
      <w:pPr>
        <w:pStyle w:val="BodyText"/>
        <w:rPr>
          <w:rFonts w:ascii="Arial"/>
          <w:i/>
          <w:sz w:val="20"/>
        </w:rPr>
      </w:pPr>
      <w:r>
        <w:rPr/>
        <w:drawing>
          <wp:anchor distT="0" distB="0" distL="0" distR="0" allowOverlap="1" layoutInCell="1" locked="0" behindDoc="0" simplePos="0" relativeHeight="1312">
            <wp:simplePos x="0" y="0"/>
            <wp:positionH relativeFrom="page">
              <wp:posOffset>4783213</wp:posOffset>
            </wp:positionH>
            <wp:positionV relativeFrom="page">
              <wp:posOffset>9344634</wp:posOffset>
            </wp:positionV>
            <wp:extent cx="702338" cy="308038"/>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702338" cy="308038"/>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3266485</wp:posOffset>
            </wp:positionH>
            <wp:positionV relativeFrom="page">
              <wp:posOffset>9620745</wp:posOffset>
            </wp:positionV>
            <wp:extent cx="538304" cy="102679"/>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538304" cy="102679"/>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2717990</wp:posOffset>
            </wp:positionH>
            <wp:positionV relativeFrom="page">
              <wp:posOffset>9588500</wp:posOffset>
            </wp:positionV>
            <wp:extent cx="499374" cy="176212"/>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499374" cy="176212"/>
                    </a:xfrm>
                    <a:prstGeom prst="rect">
                      <a:avLst/>
                    </a:prstGeom>
                  </pic:spPr>
                </pic:pic>
              </a:graphicData>
            </a:graphic>
          </wp:anchor>
        </w:drawing>
      </w:r>
      <w:r>
        <w:rPr/>
        <w:pict>
          <v:group style="position:absolute;margin-left:243.804993pt;margin-top:728.583984pt;width:25.65pt;height:22.7pt;mso-position-horizontal-relative:page;mso-position-vertical-relative:page;z-index:1384" coordorigin="4876,14572" coordsize="513,454">
            <v:shape style="position:absolute;left:4911;top:14581;width:443;height:71" type="#_x0000_t75" stroked="false">
              <v:imagedata r:id="rId11" o:title=""/>
            </v:shape>
            <v:shape style="position:absolute;left:4997;top:14671;width:268;height:254" type="#_x0000_t75" stroked="false">
              <v:imagedata r:id="rId12" o:title=""/>
            </v:shape>
            <v:shape style="position:absolute;left:4876;top:14572;width:513;height:454" type="#_x0000_t75" stroked="false">
              <v:imagedata r:id="rId13" o:title=""/>
            </v:shape>
            <w10:wrap type="none"/>
          </v:group>
        </w:pict>
      </w:r>
      <w:r>
        <w:rPr/>
        <w:drawing>
          <wp:anchor distT="0" distB="0" distL="0" distR="0" allowOverlap="1" layoutInCell="1" locked="0" behindDoc="0" simplePos="0" relativeHeight="1408">
            <wp:simplePos x="0" y="0"/>
            <wp:positionH relativeFrom="page">
              <wp:posOffset>4118501</wp:posOffset>
            </wp:positionH>
            <wp:positionV relativeFrom="page">
              <wp:posOffset>9287674</wp:posOffset>
            </wp:positionV>
            <wp:extent cx="327422" cy="423862"/>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4" cstate="print"/>
                    <a:stretch>
                      <a:fillRect/>
                    </a:stretch>
                  </pic:blipFill>
                  <pic:spPr>
                    <a:xfrm>
                      <a:off x="0" y="0"/>
                      <a:ext cx="327422" cy="423862"/>
                    </a:xfrm>
                    <a:prstGeom prst="rect">
                      <a:avLst/>
                    </a:prstGeom>
                  </pic:spPr>
                </pic:pic>
              </a:graphicData>
            </a:graphic>
          </wp:anchor>
        </w:drawing>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8"/>
        <w:rPr>
          <w:rFonts w:ascii="Arial"/>
          <w:i/>
          <w:sz w:val="16"/>
        </w:rPr>
      </w:pPr>
    </w:p>
    <w:p>
      <w:pPr>
        <w:spacing w:line="249" w:lineRule="auto" w:before="8"/>
        <w:ind w:left="1316" w:right="1897" w:firstLine="1124"/>
        <w:jc w:val="left"/>
        <w:rPr>
          <w:rFonts w:ascii="Times New Roman" w:hAnsi="Times New Roman"/>
          <w:sz w:val="48"/>
        </w:rPr>
      </w:pPr>
      <w:r>
        <w:rPr/>
        <w:drawing>
          <wp:anchor distT="0" distB="0" distL="0" distR="0" allowOverlap="1" layoutInCell="1" locked="0" behindDoc="1" simplePos="0" relativeHeight="268359887">
            <wp:simplePos x="0" y="0"/>
            <wp:positionH relativeFrom="page">
              <wp:posOffset>2731135</wp:posOffset>
            </wp:positionH>
            <wp:positionV relativeFrom="paragraph">
              <wp:posOffset>72545</wp:posOffset>
            </wp:positionV>
            <wp:extent cx="241249" cy="218998"/>
            <wp:effectExtent l="0" t="0" r="0" b="0"/>
            <wp:wrapNone/>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15" cstate="print"/>
                    <a:stretch>
                      <a:fillRect/>
                    </a:stretch>
                  </pic:blipFill>
                  <pic:spPr>
                    <a:xfrm>
                      <a:off x="0" y="0"/>
                      <a:ext cx="241249" cy="218998"/>
                    </a:xfrm>
                    <a:prstGeom prst="rect">
                      <a:avLst/>
                    </a:prstGeom>
                  </pic:spPr>
                </pic:pic>
              </a:graphicData>
            </a:graphic>
          </wp:anchor>
        </w:drawing>
      </w:r>
      <w:r>
        <w:rPr/>
        <w:pict>
          <v:group style="position:absolute;margin-left:241.018005pt;margin-top:5.352225pt;width:82.9pt;height:18pt;mso-position-horizontal-relative:page;mso-position-vertical-relative:paragraph;z-index:-75544" coordorigin="4820,107" coordsize="1658,360">
            <v:shape style="position:absolute;left:4823;top:110;width:314;height:354" coordorigin="4823,110" coordsize="314,354" path="m5119,426l5103,432,5085,438,5065,442,5041,443,4966,427,4914,386,4884,330,4875,270,4886,208,4917,163,4958,135,5005,125,5039,130,5066,143,5085,158,5099,172,5086,191,5101,189,5137,154,5128,147,5114,137,5054,115,5008,110,4930,126,4873,167,4836,224,4823,290,4833,348,4864,404,4921,447,5006,463,5025,463,5087,448,5096,446,5119,426xe" filled="false" stroked="true" strokeweight=".3pt" strokecolor="#a8483d">
              <v:path arrowok="t"/>
            </v:shape>
            <v:shape style="position:absolute;left:-156;top:11096;width:212;height:226" coordorigin="-156,11096" coordsize="212,226" path="m5284,318l5276,292,5269,272,5261,257,5250,247,5237,241,5223,238,5208,237,5192,237,5157,252,5184,252,5203,257,5217,271,5229,297,5237,318,5206,330,5170,348,5140,375,5128,412,5131,431,5143,447,5161,458,5187,462,5208,460,5225,455,5237,450,5246,445,5269,423,5273,430,5278,438,5285,445,5296,453,5305,458,5315,461,5325,461,5330,461,5334,460,5339,460,5334,453,5328,445,5322,434,5316,419,5310,404,5305,388,5299,371,5294,352,5284,318xm5251,367l5255,383,5258,394,5261,404,5265,416,5259,421,5250,428,5237,433,5220,435,5204,433,5190,426,5179,414,5174,396,5182,369,5201,350,5222,337,5235,333,5241,333,5243,338,5246,351,5251,367xe" filled="false" stroked="true" strokeweight=".3pt" strokecolor="#a8483d">
              <v:path arrowok="t"/>
            </v:shape>
            <v:shape style="position:absolute;left:5327;top:239;width:292;height:225" coordorigin="5327,239" coordsize="292,225" path="m5618,445l5613,446,5606,446,5600,446,5562,391,5562,376,5562,360,5562,344,5563,275,5564,255,5564,252,5575,239,5511,239,5482,255,5518,255,5517,292,5517,331,5517,372,5516,414,5505,421,5493,427,5478,431,5460,433,5434,428,5410,354,5410,322,5411,280,5411,265,5413,256,5417,248,5423,239,5359,239,5327,255,5368,255,5366,284,5366,310,5365,333,5365,350,5365,384,5396,454,5436,463,5453,462,5513,432,5516,430,5519,439,5526,450,5540,459,5562,463,5580,463,5600,457,5601,456,5618,445xe" filled="false" stroked="true" strokeweight=".3pt" strokecolor="#a8483d">
              <v:path arrowok="t"/>
            </v:shape>
            <v:shape style="position:absolute;left:-249;top:10851;width:250;height:339" coordorigin="-249,10851" coordsize="250,339" path="m5865,444l5858,443,5851,442,5843,442,5828,441,5824,439,5823,431,5823,428,5822,427,5822,408,5822,387,5823,363,5823,335,5824,299,5826,171,5827,147,5829,134,5835,125,5846,117,5781,117,5744,134,5782,134,5782,156,5782,181,5781,209,5780,237,5762,237,5744,238,5726,240,5708,243,5675,256,5646,279,5624,311,5616,354,5617,373,5621,390,5628,404,5635,416,5658,438,5685,450,5712,455,5738,456,5843,456,5865,444xm5779,356l5779,371,5779,393,5778,414,5778,426,5777,433,5775,442,5750,442,5709,432,5681,406,5666,372,5660,336,5662,320,5666,303,5675,286,5690,271,5707,260,5725,254,5741,252,5755,251,5763,251,5771,252,5779,252,5779,356xe" filled="false" stroked="true" strokeweight=".3pt" strokecolor="#a8483d">
              <v:path arrowok="t"/>
            </v:shape>
            <v:shape style="position:absolute;left:-123;top:10874;width:123;height:316" coordorigin="-123,10874" coordsize="123,316" path="m5986,445l5962,443,5947,442,5943,441,5943,427,5943,423,5943,406,5943,402,5945,263,5946,250,5946,249,5953,239,5896,239,5864,255,5900,255,5900,425,5900,442,5898,444,5887,456,5968,456,5986,445xm5941,158l5940,157,5938,155,5937,154,5926,141,5914,152,5907,159,5900,166,5892,172,5898,180,5904,187,5911,194,5920,204,5932,194,5940,186,5947,180,5954,172,5941,158xe" filled="false" stroked="true" strokeweight=".3pt" strokecolor="#a8483d">
              <v:path arrowok="t"/>
            </v:shape>
            <v:shape style="position:absolute;left:5985;top:117;width:123;height:339" coordorigin="5985,117" coordsize="123,339" path="m6108,446l6100,445,6092,444,6083,443,6068,442,6064,439,6064,420,6064,309,6065,216,6068,146,6090,117,6021,117,5985,135,6023,135,6022,152,6019,250,6018,322,6018,352,6018,431,6018,440,6016,442,6005,456,6090,456,6108,446xe" filled="false" stroked="true" strokeweight=".3pt" strokecolor="#a8483d">
              <v:path arrowok="t"/>
            </v:shape>
            <v:shape style="position:absolute;left:6105;top:117;width:123;height:339" coordorigin="6105,117" coordsize="123,339" path="m6228,446l6220,445,6212,444,6203,443,6188,442,6184,439,6184,420,6184,309,6185,216,6188,146,6210,117,6141,117,6105,135,6143,135,6142,152,6139,250,6138,322,6138,352,6138,431,6138,440,6136,442,6125,456,6210,456,6228,446xe" filled="false" stroked="true" strokeweight=".3pt" strokecolor="#a8483d">
              <v:path arrowok="t"/>
            </v:shape>
            <v:shape style="position:absolute;left:-239;top:11065;width:240;height:230" coordorigin="-239,11065" coordsize="240,230" path="m6475,346l6467,304,6444,267,6408,242,6360,232,6310,242,6271,267,6245,304,6236,349,6244,389,6266,426,6303,452,6353,462,6405,452,6443,425,6467,388,6475,346xm6364,448l6327,435,6302,403,6287,362,6283,322,6283,307,6287,291,6293,277,6305,264,6314,257,6325,252,6336,248,6348,247,6385,261,6410,293,6423,333,6428,370,6427,384,6425,398,6420,411,6413,423,6403,434,6392,441,6378,446,6364,448xe" filled="false" stroked="true" strokeweight=".3pt" strokecolor="#a8483d">
              <v:path arrowok="t"/>
            </v:shape>
            <w10:wrap type="none"/>
          </v:group>
        </w:pict>
      </w:r>
      <w:r>
        <w:rPr/>
        <w:drawing>
          <wp:anchor distT="0" distB="0" distL="0" distR="0" allowOverlap="1" layoutInCell="1" locked="0" behindDoc="1" simplePos="0" relativeHeight="268359935">
            <wp:simplePos x="0" y="0"/>
            <wp:positionH relativeFrom="page">
              <wp:posOffset>4211853</wp:posOffset>
            </wp:positionH>
            <wp:positionV relativeFrom="paragraph">
              <wp:posOffset>72545</wp:posOffset>
            </wp:positionV>
            <wp:extent cx="373214" cy="223570"/>
            <wp:effectExtent l="0" t="0" r="0" b="0"/>
            <wp:wrapNone/>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16" cstate="print"/>
                    <a:stretch>
                      <a:fillRect/>
                    </a:stretch>
                  </pic:blipFill>
                  <pic:spPr>
                    <a:xfrm>
                      <a:off x="0" y="0"/>
                      <a:ext cx="373214" cy="223570"/>
                    </a:xfrm>
                    <a:prstGeom prst="rect">
                      <a:avLst/>
                    </a:prstGeom>
                  </pic:spPr>
                </pic:pic>
              </a:graphicData>
            </a:graphic>
          </wp:anchor>
        </w:drawing>
      </w:r>
      <w:r>
        <w:rPr/>
        <w:pict>
          <v:group style="position:absolute;margin-left:367.472992pt;margin-top:5.352225pt;width:41.4pt;height:18pt;mso-position-horizontal-relative:page;mso-position-vertical-relative:paragraph;z-index:-75496" coordorigin="7349,107" coordsize="828,360">
            <v:shape style="position:absolute;left:7349;top:107;width:719;height:359" type="#_x0000_t75" stroked="false">
              <v:imagedata r:id="rId17" o:title=""/>
            </v:shape>
            <v:shape style="position:absolute;left:-57;top:11155;width:68;height:227" coordorigin="-57,11155" coordsize="68,227" path="m8163,258l8154,248,8144,235,8108,268,8117,280,8124,288,8130,294,8138,301,8146,294,8154,288,8163,280,8174,268,8163,258xm8160,417l8153,409,8142,395,8107,428,8113,437,8119,444,8127,452,8136,461,8147,453,8155,446,8163,438,8172,428,8160,417xe" filled="false" stroked="true" strokeweight=".3pt" strokecolor="#a8483d">
              <v:path arrowok="t"/>
            </v:shape>
            <w10:wrap type="none"/>
          </v:group>
        </w:pict>
      </w:r>
      <w:r>
        <w:rPr/>
        <w:pict>
          <v:group style="position:absolute;margin-left:159.371002pt;margin-top:34.512226pt;width:80.9pt;height:23.6pt;mso-position-horizontal-relative:page;mso-position-vertical-relative:paragraph;z-index:-75472" coordorigin="3187,690" coordsize="1618,472">
            <v:shape style="position:absolute;left:3190;top:693;width:174;height:339" coordorigin="3190,693" coordsize="174,339" path="m3308,1021l3298,1020,3289,1020,3280,1019,3262,1017,3262,1015,3262,1003,3262,915,3263,831,3307,831,3333,815,3263,815,3265,787,3278,726,3310,712,3316,712,3321,713,3326,714,3364,693,3302,697,3242,737,3218,805,3217,815,3190,831,3217,831,3217,999,3217,1012,3217,1015,3213,1021,3211,1024,3206,1029,3204,1032,3288,1032,3308,1021xe" filled="false" stroked="true" strokeweight=".3pt" strokecolor="#a8483d">
              <v:path arrowok="t"/>
            </v:shape>
            <v:shape style="position:absolute;left:-239;top:11065;width:240;height:230" coordorigin="-239,11065" coordsize="240,230" path="m3571,922l3563,880,3540,843,3504,818,3456,808,3406,818,3367,843,3341,880,3332,925,3340,965,3362,1002,3399,1028,3449,1038,3501,1028,3539,1001,3563,964,3571,922xm3460,1024l3423,1011,3398,979,3383,938,3379,898,3379,883,3383,867,3389,853,3401,840,3410,833,3421,828,3432,824,3444,823,3481,837,3506,869,3519,909,3524,946,3523,960,3521,974,3516,987,3509,999,3499,1010,3488,1017,3474,1022,3460,1024xe" filled="false" stroked="true" strokeweight=".3pt" strokecolor="#a8483d">
              <v:path arrowok="t"/>
            </v:shape>
            <v:shape style="position:absolute;left:3593;top:811;width:180;height:221" coordorigin="3593,811" coordsize="180,221" path="m3718,1019l3693,1018,3679,1017,3674,1015,3674,997,3675,877,3726,844,3736,844,3739,846,3743,849,3739,872,3753,864,3772,815,3768,813,3764,811,3755,811,3729,816,3706,826,3688,839,3675,851,3675,836,3676,826,3677,823,3684,815,3626,815,3593,830,3630,830,3630,856,3629,907,3629,960,3629,993,3628,1005,3627,1014,3624,1022,3617,1032,3700,1032,3718,1019xe" filled="false" stroked="true" strokeweight=".3pt" strokecolor="#a8483d">
              <v:path arrowok="t"/>
            </v:shape>
            <v:shape style="position:absolute;left:-45;top:10761;width:90;height:441" coordorigin="-45,10761" coordsize="90,441" path="m3810,1135l3825,1103,3834,1074,3840,1044,3842,1007,3846,840,3847,824,3848,823,3854,815,3795,815,3765,831,3798,831,3798,880,3798,912,3798,939,3798,971,3795,1074,3794,1093,3793,1110,3792,1127,3789,1146,3789,1150,3789,1155,3788,1158,3810,1135xm3839,737l3837,734,3835,732,3832,729,3822,718,3812,728,3807,733,3804,734,3799,740,3789,748,3796,756,3802,763,3808,769,3817,779,3829,769,3837,762,3844,756,3850,748,3839,737xe" filled="false" stroked="true" strokeweight=".3pt" strokecolor="#a8483d">
              <v:path arrowok="t"/>
            </v:shape>
            <v:shape style="position:absolute;left:-156;top:11096;width:212;height:226" coordorigin="-156,11096" coordsize="212,226" path="m4040,894l4032,868,4024,848,4016,833,4005,823,3993,817,3979,814,3963,813,3947,813,3912,828,3940,828,3958,833,3972,847,3985,873,3992,894,3961,906,3925,924,3896,951,3883,988,3887,1007,3898,1023,3916,1034,3943,1038,3963,1036,3980,1031,3993,1026,4002,1021,4024,999,4028,1006,4033,1014,4041,1021,4051,1029,4061,1034,4070,1037,4081,1037,4085,1037,4089,1036,4095,1036,4089,1029,4084,1021,4078,1010,4071,995,4065,980,4060,964,4055,947,4049,928,4040,894xm4006,943l4010,959,4014,970,4017,980,4021,992,4015,997,4005,1004,3992,1009,3976,1011,3960,1009,3945,1002,3934,990,3930,972,3938,945,3956,926,3977,913,3991,909,3997,909,3998,914,4002,927,4006,943xe" filled="false" stroked="true" strokeweight=".3pt" strokecolor="#a8483d">
              <v:path arrowok="t"/>
            </v:shape>
            <v:shape style="position:absolute;left:-249;top:10851;width:250;height:339" coordorigin="-249,10851" coordsize="250,339" path="m4351,1020l4343,1019,4336,1018,4329,1018,4314,1017,4310,1015,4309,1007,4308,1004,4308,1003,4308,984,4308,963,4308,939,4309,911,4310,875,4312,747,4312,723,4315,710,4321,701,4332,693,4267,693,4230,710,4268,710,4268,732,4267,757,4267,785,4266,813,4248,813,4230,814,4211,816,4193,819,4161,832,4131,855,4110,887,4101,930,4103,949,4107,966,4113,980,4121,992,4144,1014,4170,1026,4198,1031,4223,1032,4329,1032,4351,1020xm4265,932l4265,947,4264,969,4264,990,4263,1002,4262,1009,4261,1018,4236,1018,4195,1008,4167,982,4151,948,4146,912,4147,896,4151,879,4160,862,4175,847,4193,836,4210,830,4227,828,4241,827,4249,827,4256,828,4265,828,4265,932xe" filled="false" stroked="true" strokeweight=".3pt" strokecolor="#a8483d">
              <v:path arrowok="t"/>
            </v:shape>
            <v:shape style="position:absolute;left:-239;top:11065;width:240;height:230" coordorigin="-239,11065" coordsize="240,230" path="m4601,922l4593,880,4570,843,4534,818,4486,808,4436,818,4396,843,4371,880,4362,925,4369,965,4392,1002,4428,1028,4479,1038,4531,1028,4569,1001,4593,964,4601,922xm4490,1024l4453,1011,4427,979,4413,938,4408,898,4409,883,4412,867,4419,853,4430,840,4440,833,4450,828,4462,824,4473,823,4511,837,4536,869,4549,909,4553,946,4552,960,4550,974,4546,987,4539,999,4529,1010,4517,1017,4504,1022,4490,1024xe" filled="false" stroked="true" strokeweight=".3pt" strokecolor="#a8483d">
              <v:path arrowok="t"/>
            </v:shape>
            <v:shape style="position:absolute;left:4623;top:811;width:180;height:221" coordorigin="4623,811" coordsize="180,221" path="m4748,1019l4722,1018,4709,1017,4703,1015,4703,997,4704,877,4756,844,4765,844,4768,846,4772,849,4769,872,4782,864,4802,815,4798,813,4794,811,4784,811,4758,816,4736,826,4718,839,4704,851,4704,836,4705,826,4706,823,4713,815,4655,815,4623,830,4660,830,4659,856,4659,907,4658,960,4658,993,4658,1005,4657,1014,4653,1022,4647,1032,4730,1032,4748,1019xe" filled="false" stroked="true" strokeweight=".3pt" strokecolor="#a8483d">
              <v:path arrowok="t"/>
            </v:shape>
            <w10:wrap type="none"/>
          </v:group>
        </w:pict>
      </w:r>
      <w:r>
        <w:rPr/>
        <w:drawing>
          <wp:anchor distT="0" distB="0" distL="0" distR="0" allowOverlap="1" layoutInCell="1" locked="0" behindDoc="1" simplePos="0" relativeHeight="268360007">
            <wp:simplePos x="0" y="0"/>
            <wp:positionH relativeFrom="page">
              <wp:posOffset>3135909</wp:posOffset>
            </wp:positionH>
            <wp:positionV relativeFrom="paragraph">
              <wp:posOffset>438305</wp:posOffset>
            </wp:positionV>
            <wp:extent cx="296417" cy="223570"/>
            <wp:effectExtent l="0" t="0" r="0" b="0"/>
            <wp:wrapNone/>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18" cstate="print"/>
                    <a:stretch>
                      <a:fillRect/>
                    </a:stretch>
                  </pic:blipFill>
                  <pic:spPr>
                    <a:xfrm>
                      <a:off x="0" y="0"/>
                      <a:ext cx="296417" cy="223570"/>
                    </a:xfrm>
                    <a:prstGeom prst="rect">
                      <a:avLst/>
                    </a:prstGeom>
                  </pic:spPr>
                </pic:pic>
              </a:graphicData>
            </a:graphic>
          </wp:anchor>
        </w:drawing>
      </w:r>
      <w:r>
        <w:rPr/>
        <w:drawing>
          <wp:anchor distT="0" distB="0" distL="0" distR="0" allowOverlap="1" layoutInCell="1" locked="0" behindDoc="1" simplePos="0" relativeHeight="268360031">
            <wp:simplePos x="0" y="0"/>
            <wp:positionH relativeFrom="page">
              <wp:posOffset>3510203</wp:posOffset>
            </wp:positionH>
            <wp:positionV relativeFrom="paragraph">
              <wp:posOffset>438305</wp:posOffset>
            </wp:positionV>
            <wp:extent cx="215645" cy="222656"/>
            <wp:effectExtent l="0" t="0" r="0" b="0"/>
            <wp:wrapNone/>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19" cstate="print"/>
                    <a:stretch>
                      <a:fillRect/>
                    </a:stretch>
                  </pic:blipFill>
                  <pic:spPr>
                    <a:xfrm>
                      <a:off x="0" y="0"/>
                      <a:ext cx="215645" cy="222656"/>
                    </a:xfrm>
                    <a:prstGeom prst="rect">
                      <a:avLst/>
                    </a:prstGeom>
                  </pic:spPr>
                </pic:pic>
              </a:graphicData>
            </a:graphic>
          </wp:anchor>
        </w:drawing>
      </w:r>
      <w:r>
        <w:rPr/>
        <w:pict>
          <v:group style="position:absolute;margin-left:299.338013pt;margin-top:35.688225pt;width:67.3pt;height:16.4pt;mso-position-horizontal-relative:page;mso-position-vertical-relative:paragraph;z-index:-75400" coordorigin="5987,714" coordsize="1346,328">
            <v:shape style="position:absolute;left:5990;top:807;width:271;height:226" coordorigin="5990,807" coordsize="271,226" path="m6260,1021l6230,1017,6218,1016,6217,1013,6217,996,6219,897,6219,882,6189,815,6154,807,6138,808,6081,840,6070,851,6070,827,6070,825,6080,814,6022,814,5990,829,6026,829,6025,871,6024,914,6024,956,6024,998,6024,1017,6022,1021,6010,1032,6091,1032,6111,1021,6083,1018,6067,1016,6067,1013,6067,992,6070,879,6076,871,6084,860,6088,856,6093,851,6102,843,6115,837,6131,834,6148,834,6173,892,6173,922,6171,1004,6171,1018,6168,1023,6160,1032,6240,1032,6260,1021xe" filled="false" stroked="true" strokeweight=".3pt" strokecolor="#a8483d">
              <v:path arrowok="t"/>
            </v:shape>
            <v:shape style="position:absolute;left:-156;top:11096;width:212;height:226" coordorigin="-156,11096" coordsize="212,226" path="m6419,894l6411,868,6404,848,6396,833,6385,823,6372,817,6358,814,6343,813,6327,813,6292,828,6319,828,6338,833,6352,847,6364,873,6371,894,6341,906,6305,924,6275,951,6262,988,6266,1007,6277,1023,6296,1034,6322,1038,6343,1036,6360,1031,6372,1026,6381,1021,6404,999,6407,1006,6413,1014,6420,1021,6430,1029,6440,1034,6450,1037,6460,1037,6464,1037,6469,1036,6474,1036,6468,1029,6463,1021,6457,1010,6451,995,6445,980,6439,964,6434,947,6428,928,6419,894xm6385,943l6390,959,6393,970,6396,980,6400,992,6394,997,6385,1004,6372,1009,6355,1011,6339,1009,6324,1002,6313,990,6309,972,6317,945,6336,926,6356,913,6370,909,6376,909,6378,914,6381,927,6385,943xe" filled="false" stroked="true" strokeweight=".3pt" strokecolor="#a8483d">
              <v:path arrowok="t"/>
            </v:shape>
            <v:shape style="position:absolute;left:6481;top:808;width:195;height:230" coordorigin="6481,808" coordsize="195,230" path="m6676,994l6663,1001,6650,1007,6634,1011,6616,1012,6573,1002,6544,976,6528,940,6522,902,6528,867,6543,844,6564,831,6586,827,6600,828,6611,831,6620,834,6626,837,6608,860,6629,853,6667,815,6657,812,6646,810,6633,809,6617,808,6553,820,6511,848,6488,887,6481,927,6486,963,6503,999,6535,1027,6584,1038,6599,1037,6614,1035,6626,1031,6635,1028,6640,1026,6645,1023,6650,1021,6676,994xe" filled="false" stroked="true" strokeweight=".3pt" strokecolor="#a8483d">
              <v:path arrowok="t"/>
            </v:shape>
            <v:shape style="position:absolute;left:-123;top:10874;width:123;height:316" coordorigin="-123,10874" coordsize="123,316" path="m6791,1021l6767,1019,6752,1018,6748,1017,6748,1003,6748,999,6748,982,6748,978,6750,839,6751,826,6751,825,6758,815,6701,815,6668,831,6704,831,6704,1001,6704,1018,6703,1020,6692,1032,6773,1032,6791,1021xm6746,734l6745,733,6743,731,6742,730,6731,717,6719,728,6712,735,6704,742,6697,748,6703,756,6709,763,6716,770,6725,780,6737,770,6745,762,6752,756,6759,748,6746,734xe" filled="false" stroked="true" strokeweight=".3pt" strokecolor="#a8483d">
              <v:path arrowok="t"/>
            </v:shape>
            <v:shape style="position:absolute;left:-229;top:11178;width:240;height:306" coordorigin="-229,11178" coordsize="240,306" path="m7030,733l6927,756,6895,780,6997,757,7030,733xm7040,922l7032,880,7009,843,6973,818,6925,808,6875,818,6836,843,6810,880,6801,925,6809,965,6831,1002,6868,1028,6918,1038,6970,1028,7008,1001,7032,964,7040,922xm6929,1024l6892,1011,6867,979,6852,938,6848,898,6848,883,6852,867,6858,853,6870,840,6879,833,6890,828,6901,824,6913,823,6950,837,6975,869,6988,909,6992,946,6992,960,6990,974,6985,987,6978,999,6968,1010,6956,1017,6943,1022,6929,1024xe" filled="false" stroked="true" strokeweight=".3pt" strokecolor="#a8483d">
              <v:path arrowok="t"/>
            </v:shape>
            <v:shape style="position:absolute;left:7059;top:807;width:271;height:226" coordorigin="7059,807" coordsize="271,226" path="m7329,1021l7300,1017,7287,1016,7286,1013,7286,996,7289,897,7288,882,7258,815,7223,807,7207,808,7150,840,7140,851,7140,827,7140,825,7149,814,7091,814,7059,829,7095,829,7094,871,7094,914,7093,956,7093,998,7093,1017,7092,1021,7080,1032,7160,1032,7180,1021,7152,1018,7136,1016,7136,1013,7136,992,7139,879,7145,871,7153,860,7157,856,7162,851,7172,843,7184,837,7201,834,7218,834,7242,892,7243,922,7241,1004,7240,1018,7238,1023,7229,1032,7309,1032,7329,1021xe" filled="false" stroked="true" strokeweight=".3pt" strokecolor="#a8483d">
              <v:path arrowok="t"/>
            </v:shape>
            <w10:wrap type="none"/>
          </v:group>
        </w:pict>
      </w:r>
      <w:r>
        <w:rPr/>
        <w:pict>
          <v:group style="position:absolute;margin-left:372.704987pt;margin-top:35.688225pt;width:94.1pt;height:16.45pt;mso-position-horizontal-relative:page;mso-position-vertical-relative:paragraph;z-index:-75376" coordorigin="7454,714" coordsize="1882,329">
            <v:shape style="position:absolute;left:7457;top:808;width:423;height:224" coordorigin="7457,808" coordsize="423,224" path="m7879,1021l7855,1018,7850,1017,7842,1016,7840,1014,7839,1012,7838,1011,7838,995,7838,946,7838,935,7838,918,7839,900,7839,890,7838,866,7830,839,7811,817,7775,808,7742,814,7717,826,7699,841,7688,853,7682,840,7672,826,7653,813,7625,808,7608,810,7538,851,7539,832,7539,828,7540,824,7542,820,7545,818,7548,815,7489,815,7457,830,7493,830,7493,986,7493,1002,7492,1018,7491,1021,7481,1032,7559,1032,7580,1021,7552,1018,7539,1017,7538,1013,7538,1000,7538,879,7550,862,7563,848,7579,839,7599,835,7612,836,7644,903,7644,923,7643,1003,7642,1019,7640,1023,7631,1032,7711,1032,7732,1021,7705,1018,7690,1016,7688,1015,7688,1006,7688,974,7688,960,7688,946,7689,932,7689,916,7689,876,7698,864,7711,850,7728,839,7750,834,7768,838,7794,904,7793,1003,7793,1018,7792,1021,7782,1032,7860,1032,7879,1021xe" filled="false" stroked="true" strokeweight=".3pt" strokecolor="#a8483d">
              <v:path arrowok="t"/>
            </v:shape>
            <v:shape style="position:absolute;left:-201;top:10989;width:201;height:231" coordorigin="-201,10989" coordsize="201,231" path="m8091,998l8079,1004,8065,1009,8050,1013,8033,1014,8000,1008,7971,989,7948,959,7934,918,7971,915,8083,869,8080,860,8074,847,8065,834,8050,822,8039,816,8026,812,8013,809,8000,808,7962,815,7927,836,7901,871,7891,919,7893,947,7902,974,7917,1000,7939,1021,7958,1031,7975,1037,7990,1039,8003,1039,8014,1039,8026,1037,8038,1035,8050,1030,8055,1028,8060,1024,8066,1022,8091,998xm7933,916l7933,908,7932,899,7932,891,7938,859,7952,838,7970,827,7987,824,8005,828,8020,838,8031,851,8035,866,8035,872,8030,875,8021,879,7933,916xe" filled="false" stroked="true" strokeweight=".3pt" strokecolor="#a8483d">
              <v:path arrowok="t"/>
            </v:shape>
            <v:shape style="position:absolute;left:8082;top:815;width:233;height:224" coordorigin="8082,815" coordsize="233,224" path="m8221,915l8263,864,8275,849,8284,839,8292,830,8300,822,8311,815,8252,815,8224,831,8226,831,8249,830,8250,830,8253,830,8263,830,8263,837,8263,840,8260,845,8253,853,8249,858,8244,864,8239,869,8212,901,8169,836,8167,833,8166,830,8166,827,8166,823,8167,821,8171,815,8112,815,8082,831,8112,831,8120,842,8128,853,8136,864,8145,878,8183,933,8152,968,8128,992,8113,1007,8100,1018,8084,1032,8158,1032,8178,1021,8168,1020,8158,1020,8147,1019,8144,1018,8139,1017,8139,1011,8139,1007,8141,1004,8150,994,8156,987,8162,980,8168,973,8192,947,8203,964,8217,984,8241,1012,8264,1029,8287,1036,8315,1038,8307,1029,8296,1016,8286,1003,8245,949,8221,915xe" filled="false" stroked="true" strokeweight=".3pt" strokecolor="#a8483d">
              <v:path arrowok="t"/>
            </v:shape>
            <v:shape style="position:absolute;left:-123;top:10874;width:123;height:316" coordorigin="-123,10874" coordsize="123,316" path="m8441,1021l8416,1019,8401,1018,8397,1017,8397,1003,8397,999,8397,982,8397,978,8399,839,8400,826,8400,825,8407,815,8350,815,8318,831,8354,831,8354,1001,8354,1018,8352,1020,8341,1032,8422,1032,8441,1021xm8395,734l8394,733,8392,731,8391,730,8381,717,8369,728,8361,735,8354,742,8347,748,8353,756,8358,763,8365,770,8374,780,8386,770,8395,762,8401,756,8408,748,8395,734xe" filled="false" stroked="true" strokeweight=".3pt" strokecolor="#a8483d">
              <v:path arrowok="t"/>
            </v:shape>
            <v:shape style="position:absolute;left:8450;top:808;width:195;height:230" coordorigin="8450,808" coordsize="195,230" path="m8645,994l8633,1001,8619,1007,8603,1011,8585,1012,8543,1002,8514,976,8497,940,8491,902,8497,867,8513,844,8534,831,8556,827,8570,828,8581,831,8589,834,8595,837,8578,860,8598,853,8636,815,8626,812,8615,810,8602,809,8587,808,8523,820,8480,848,8457,887,8450,927,8455,963,8473,999,8504,1027,8553,1038,8569,1037,8583,1035,8595,1031,8604,1028,8610,1026,8614,1023,8620,1021,8645,994xe" filled="false" stroked="true" strokeweight=".3pt" strokecolor="#a8483d">
              <v:path arrowok="t"/>
            </v:shape>
            <v:shape style="position:absolute;left:-156;top:11096;width:212;height:226" coordorigin="-156,11096" coordsize="212,226" path="m8798,894l8790,868,8783,848,8775,833,8764,823,8752,817,8737,814,8722,813,8706,813,8671,828,8698,828,8717,833,8731,847,8743,873,8751,894,8720,906,8684,924,8654,951,8642,988,8645,1007,8657,1023,8675,1034,8701,1038,8722,1036,8739,1031,8752,1026,8760,1021,8783,999,8787,1006,8792,1014,8799,1021,8810,1029,8819,1034,8829,1037,8839,1037,8844,1037,8848,1036,8853,1036,8848,1029,8842,1021,8836,1010,8830,995,8824,980,8819,964,8813,947,8808,928,8798,894xm8765,943l8769,959,8772,970,8775,980,8779,992,8773,997,8764,1004,8751,1009,8734,1011,8718,1009,8704,1002,8693,990,8688,972,8696,945,8715,926,8736,913,8749,909,8755,909,8757,914,8760,927,8765,943xe" filled="false" stroked="true" strokeweight=".3pt" strokecolor="#a8483d">
              <v:path arrowok="t"/>
            </v:shape>
            <v:shape style="position:absolute;left:8849;top:807;width:271;height:226" coordorigin="8849,807" coordsize="271,226" path="m9119,1021l9089,1017,9077,1016,9076,1013,9076,996,9078,897,9078,882,9048,815,9013,807,8997,808,8940,840,8929,851,8929,827,8929,825,8938,814,8881,814,8849,829,8885,829,8884,871,8883,914,8883,956,8883,998,8883,1017,8881,1021,8869,1032,8950,1032,8970,1021,8942,1018,8926,1016,8926,1013,8926,992,8929,879,8935,871,8943,860,8947,856,8952,851,8961,843,8974,837,8990,834,9007,834,9032,892,9032,922,9030,1004,9030,1018,9027,1023,9019,1032,9099,1032,9119,1021xe" filled="false" stroked="true" strokeweight=".3pt" strokecolor="#a8483d">
              <v:path arrowok="t"/>
            </v:shape>
            <v:shape style="position:absolute;left:-156;top:11096;width:212;height:226" coordorigin="-156,11096" coordsize="212,226" path="m9278,894l9270,868,9263,848,9254,833,9244,823,9231,817,9217,814,9201,813,9186,813,9151,828,9178,828,9197,833,9211,847,9223,873,9230,894,9200,906,9164,924,9134,951,9121,988,9125,1007,9136,1023,9155,1034,9181,1038,9202,1036,9218,1031,9231,1026,9240,1021,9262,999,9266,1006,9271,1014,9279,1021,9289,1029,9299,1034,9308,1037,9319,1037,9323,1037,9328,1036,9333,1036,9327,1029,9322,1021,9316,1010,9309,995,9304,980,9298,964,9293,947,9287,928,9278,894xm9244,943l9249,959,9252,970,9255,980,9259,992,9253,997,9243,1004,9231,1009,9214,1011,9198,1009,9183,1002,9172,990,9168,972,9176,945,9195,926,9215,913,9229,909,9235,909,9236,914,9240,927,9244,943xe" filled="false" stroked="true" strokeweight=".3pt" strokecolor="#a8483d">
              <v:path arrowok="t"/>
            </v:shape>
            <w10:wrap type="none"/>
          </v:group>
        </w:pict>
      </w:r>
      <w:r>
        <w:rPr>
          <w:rFonts w:ascii="Times New Roman" w:hAnsi="Times New Roman"/>
          <w:color w:val="A8483D"/>
          <w:sz w:val="48"/>
        </w:rPr>
        <w:t>El Caudillo del Sur: forjador de la nación </w:t>
      </w:r>
      <w:r>
        <w:rPr>
          <w:rFonts w:ascii="Times New Roman" w:hAnsi="Times New Roman"/>
          <w:color w:val="A8483D"/>
          <w:spacing w:val="83"/>
          <w:sz w:val="48"/>
        </w:rPr>
        <w:t> </w:t>
      </w:r>
      <w:r>
        <w:rPr>
          <w:rFonts w:ascii="Times New Roman" w:hAnsi="Times New Roman"/>
          <w:color w:val="A8483D"/>
          <w:sz w:val="48"/>
        </w:rPr>
        <w:t>mexicana</w:t>
      </w:r>
    </w:p>
    <w:p>
      <w:pPr>
        <w:pStyle w:val="BodyText"/>
        <w:rPr>
          <w:rFonts w:ascii="Times New Roman"/>
          <w:sz w:val="48"/>
        </w:rPr>
      </w:pPr>
    </w:p>
    <w:p>
      <w:pPr>
        <w:pStyle w:val="BodyText"/>
        <w:rPr>
          <w:rFonts w:ascii="Times New Roman"/>
          <w:sz w:val="48"/>
        </w:rPr>
      </w:pPr>
    </w:p>
    <w:p>
      <w:pPr>
        <w:pStyle w:val="BodyText"/>
        <w:rPr>
          <w:rFonts w:ascii="Times New Roman"/>
          <w:sz w:val="48"/>
        </w:rPr>
      </w:pPr>
    </w:p>
    <w:p>
      <w:pPr>
        <w:pStyle w:val="BodyText"/>
        <w:spacing w:before="1"/>
        <w:rPr>
          <w:rFonts w:ascii="Times New Roman"/>
          <w:sz w:val="46"/>
        </w:rPr>
      </w:pPr>
    </w:p>
    <w:p>
      <w:pPr>
        <w:spacing w:before="0"/>
        <w:ind w:left="527" w:right="1108" w:firstLine="0"/>
        <w:jc w:val="center"/>
        <w:rPr>
          <w:rFonts w:ascii="Arial"/>
          <w:i/>
          <w:sz w:val="24"/>
        </w:rPr>
      </w:pPr>
      <w:r>
        <w:rPr>
          <w:rFonts w:ascii="Arial"/>
          <w:i/>
          <w:color w:val="4D4B4B"/>
          <w:sz w:val="24"/>
        </w:rPr>
        <w:t>Coordinadores</w:t>
      </w:r>
    </w:p>
    <w:p>
      <w:pPr>
        <w:pStyle w:val="BodyText"/>
        <w:rPr>
          <w:rFonts w:ascii="Arial"/>
          <w:i/>
          <w:sz w:val="20"/>
        </w:rPr>
      </w:pPr>
    </w:p>
    <w:p>
      <w:pPr>
        <w:pStyle w:val="Heading5"/>
        <w:spacing w:before="0"/>
        <w:ind w:left="515" w:right="1108"/>
        <w:jc w:val="center"/>
      </w:pPr>
      <w:r>
        <w:rPr>
          <w:color w:val="4F3628"/>
          <w:w w:val="110"/>
        </w:rPr>
        <w:t>Jorge Olvera García   </w:t>
      </w:r>
      <w:r>
        <w:rPr>
          <w:rFonts w:ascii="Arial" w:hAnsi="Arial"/>
          <w:color w:val="4F3628"/>
          <w:w w:val="110"/>
        </w:rPr>
        <w:t>▪  </w:t>
      </w:r>
      <w:r>
        <w:rPr>
          <w:color w:val="4F3628"/>
          <w:w w:val="110"/>
        </w:rPr>
        <w:t>René García Castro   </w:t>
      </w:r>
      <w:r>
        <w:rPr>
          <w:rFonts w:ascii="Arial" w:hAnsi="Arial"/>
          <w:color w:val="4F3628"/>
          <w:w w:val="110"/>
        </w:rPr>
        <w:t>▪  </w:t>
      </w:r>
      <w:r>
        <w:rPr>
          <w:color w:val="4F3628"/>
          <w:w w:val="110"/>
        </w:rPr>
        <w:t>Ana Lidia García  Peña</w:t>
      </w:r>
    </w:p>
    <w:p>
      <w:pPr>
        <w:spacing w:after="0"/>
        <w:jc w:val="center"/>
        <w:sectPr>
          <w:pgSz w:w="13100" w:h="17920"/>
          <w:pgMar w:top="1700" w:bottom="280" w:left="1860" w:right="1860"/>
        </w:sectPr>
      </w:pPr>
    </w:p>
    <w:p>
      <w:pPr>
        <w:pStyle w:val="BodyText"/>
        <w:rPr>
          <w:sz w:val="20"/>
        </w:rPr>
      </w:pPr>
      <w:r>
        <w:rPr/>
        <w:drawing>
          <wp:anchor distT="0" distB="0" distL="0" distR="0" allowOverlap="1" layoutInCell="1" locked="0" behindDoc="0" simplePos="0" relativeHeight="1432">
            <wp:simplePos x="0" y="0"/>
            <wp:positionH relativeFrom="page">
              <wp:posOffset>8217306</wp:posOffset>
            </wp:positionH>
            <wp:positionV relativeFrom="page">
              <wp:posOffset>12</wp:posOffset>
            </wp:positionV>
            <wp:extent cx="98691" cy="11375986"/>
            <wp:effectExtent l="0" t="0" r="0" b="0"/>
            <wp:wrapNone/>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20" cstate="print"/>
                    <a:stretch>
                      <a:fillRect/>
                    </a:stretch>
                  </pic:blipFill>
                  <pic:spPr>
                    <a:xfrm>
                      <a:off x="0" y="0"/>
                      <a:ext cx="98691" cy="11375986"/>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before="80"/>
        <w:ind w:left="2734" w:right="3996" w:firstLine="0"/>
        <w:jc w:val="center"/>
        <w:rPr>
          <w:rFonts w:ascii="Arial" w:hAnsi="Arial"/>
          <w:i/>
          <w:sz w:val="16"/>
        </w:rPr>
      </w:pPr>
      <w:r>
        <w:rPr>
          <w:rFonts w:ascii="Arial" w:hAnsi="Arial"/>
          <w:i/>
          <w:color w:val="A8483D"/>
          <w:sz w:val="16"/>
        </w:rPr>
        <w:t>El Caudillo del Sur: forjador de la nación mexicana</w:t>
      </w:r>
    </w:p>
    <w:p>
      <w:pPr>
        <w:pStyle w:val="BodyText"/>
        <w:spacing w:before="7"/>
        <w:rPr>
          <w:rFonts w:ascii="Arial"/>
          <w:i/>
          <w:sz w:val="17"/>
        </w:rPr>
      </w:pPr>
    </w:p>
    <w:p>
      <w:pPr>
        <w:spacing w:before="0"/>
        <w:ind w:left="2734" w:right="3996" w:firstLine="0"/>
        <w:jc w:val="center"/>
        <w:rPr>
          <w:rFonts w:ascii="Microsoft Sans Serif" w:hAnsi="Microsoft Sans Serif"/>
          <w:sz w:val="16"/>
        </w:rPr>
      </w:pPr>
      <w:r>
        <w:rPr>
          <w:rFonts w:ascii="Microsoft Sans Serif" w:hAnsi="Microsoft Sans Serif"/>
          <w:color w:val="231F1F"/>
          <w:sz w:val="16"/>
        </w:rPr>
        <w:t>Libro de investigación e interés académico y sin fines de lucro.</w:t>
      </w:r>
    </w:p>
    <w:p>
      <w:pPr>
        <w:pStyle w:val="BodyText"/>
        <w:spacing w:before="10"/>
        <w:rPr>
          <w:rFonts w:ascii="Microsoft Sans Serif"/>
          <w:sz w:val="17"/>
        </w:rPr>
      </w:pPr>
    </w:p>
    <w:p>
      <w:pPr>
        <w:spacing w:line="252" w:lineRule="auto" w:before="0"/>
        <w:ind w:left="2734" w:right="3997" w:firstLine="0"/>
        <w:jc w:val="center"/>
        <w:rPr>
          <w:rFonts w:ascii="Microsoft Sans Serif" w:hAnsi="Microsoft Sans Serif"/>
          <w:sz w:val="16"/>
        </w:rPr>
      </w:pPr>
      <w:r>
        <w:rPr>
          <w:rFonts w:ascii="Microsoft Sans Serif" w:hAnsi="Microsoft Sans Serif"/>
          <w:color w:val="231F1F"/>
          <w:sz w:val="16"/>
        </w:rPr>
        <w:t>Imagen</w:t>
      </w:r>
      <w:r>
        <w:rPr>
          <w:rFonts w:ascii="Microsoft Sans Serif" w:hAnsi="Microsoft Sans Serif"/>
          <w:color w:val="231F1F"/>
          <w:spacing w:val="-17"/>
          <w:sz w:val="16"/>
        </w:rPr>
        <w:t> </w:t>
      </w:r>
      <w:r>
        <w:rPr>
          <w:rFonts w:ascii="Microsoft Sans Serif" w:hAnsi="Microsoft Sans Serif"/>
          <w:color w:val="231F1F"/>
          <w:sz w:val="16"/>
        </w:rPr>
        <w:t>de</w:t>
      </w:r>
      <w:r>
        <w:rPr>
          <w:rFonts w:ascii="Microsoft Sans Serif" w:hAnsi="Microsoft Sans Serif"/>
          <w:color w:val="231F1F"/>
          <w:spacing w:val="-17"/>
          <w:sz w:val="16"/>
        </w:rPr>
        <w:t> </w:t>
      </w:r>
      <w:r>
        <w:rPr>
          <w:rFonts w:ascii="Microsoft Sans Serif" w:hAnsi="Microsoft Sans Serif"/>
          <w:color w:val="231F1F"/>
          <w:sz w:val="16"/>
        </w:rPr>
        <w:t>portada</w:t>
      </w:r>
      <w:r>
        <w:rPr>
          <w:rFonts w:ascii="Microsoft Sans Serif" w:hAnsi="Microsoft Sans Serif"/>
          <w:color w:val="231F1F"/>
          <w:spacing w:val="-17"/>
          <w:sz w:val="16"/>
        </w:rPr>
        <w:t> </w:t>
      </w:r>
      <w:r>
        <w:rPr>
          <w:rFonts w:ascii="Microsoft Sans Serif" w:hAnsi="Microsoft Sans Serif"/>
          <w:color w:val="231F1F"/>
          <w:sz w:val="16"/>
        </w:rPr>
        <w:t>y</w:t>
      </w:r>
      <w:r>
        <w:rPr>
          <w:rFonts w:ascii="Microsoft Sans Serif" w:hAnsi="Microsoft Sans Serif"/>
          <w:color w:val="231F1F"/>
          <w:spacing w:val="-17"/>
          <w:sz w:val="16"/>
        </w:rPr>
        <w:t> </w:t>
      </w:r>
      <w:r>
        <w:rPr>
          <w:rFonts w:ascii="Microsoft Sans Serif" w:hAnsi="Microsoft Sans Serif"/>
          <w:color w:val="231F1F"/>
          <w:sz w:val="16"/>
        </w:rPr>
        <w:t>preliminar</w:t>
      </w:r>
      <w:r>
        <w:rPr>
          <w:rFonts w:ascii="Microsoft Sans Serif" w:hAnsi="Microsoft Sans Serif"/>
          <w:color w:val="231F1F"/>
          <w:spacing w:val="-17"/>
          <w:sz w:val="16"/>
        </w:rPr>
        <w:t> </w:t>
      </w:r>
      <w:r>
        <w:rPr>
          <w:rFonts w:ascii="Microsoft Sans Serif" w:hAnsi="Microsoft Sans Serif"/>
          <w:color w:val="231F1F"/>
          <w:sz w:val="16"/>
        </w:rPr>
        <w:t>VII,</w:t>
      </w:r>
      <w:r>
        <w:rPr>
          <w:rFonts w:ascii="Microsoft Sans Serif" w:hAnsi="Microsoft Sans Serif"/>
          <w:color w:val="231F1F"/>
          <w:spacing w:val="-17"/>
          <w:sz w:val="16"/>
        </w:rPr>
        <w:t> </w:t>
      </w:r>
      <w:r>
        <w:rPr>
          <w:rFonts w:ascii="Microsoft Sans Serif" w:hAnsi="Microsoft Sans Serif"/>
          <w:color w:val="231F1F"/>
          <w:sz w:val="16"/>
        </w:rPr>
        <w:t>“José</w:t>
      </w:r>
      <w:r>
        <w:rPr>
          <w:rFonts w:ascii="Microsoft Sans Serif" w:hAnsi="Microsoft Sans Serif"/>
          <w:color w:val="231F1F"/>
          <w:spacing w:val="-17"/>
          <w:sz w:val="16"/>
        </w:rPr>
        <w:t> </w:t>
      </w:r>
      <w:r>
        <w:rPr>
          <w:rFonts w:ascii="Microsoft Sans Serif" w:hAnsi="Microsoft Sans Serif"/>
          <w:color w:val="231F1F"/>
          <w:sz w:val="16"/>
        </w:rPr>
        <w:t>María</w:t>
      </w:r>
      <w:r>
        <w:rPr>
          <w:rFonts w:ascii="Microsoft Sans Serif" w:hAnsi="Microsoft Sans Serif"/>
          <w:color w:val="231F1F"/>
          <w:spacing w:val="-17"/>
          <w:sz w:val="16"/>
        </w:rPr>
        <w:t> </w:t>
      </w:r>
      <w:r>
        <w:rPr>
          <w:rFonts w:ascii="Microsoft Sans Serif" w:hAnsi="Microsoft Sans Serif"/>
          <w:color w:val="231F1F"/>
          <w:sz w:val="16"/>
        </w:rPr>
        <w:t>Morelos</w:t>
      </w:r>
      <w:r>
        <w:rPr>
          <w:rFonts w:ascii="Microsoft Sans Serif" w:hAnsi="Microsoft Sans Serif"/>
          <w:color w:val="231F1F"/>
          <w:spacing w:val="-17"/>
          <w:sz w:val="16"/>
        </w:rPr>
        <w:t> </w:t>
      </w:r>
      <w:r>
        <w:rPr>
          <w:rFonts w:ascii="Microsoft Sans Serif" w:hAnsi="Microsoft Sans Serif"/>
          <w:color w:val="231F1F"/>
          <w:sz w:val="16"/>
        </w:rPr>
        <w:t>y</w:t>
      </w:r>
      <w:r>
        <w:rPr>
          <w:rFonts w:ascii="Microsoft Sans Serif" w:hAnsi="Microsoft Sans Serif"/>
          <w:color w:val="231F1F"/>
          <w:spacing w:val="-17"/>
          <w:sz w:val="16"/>
        </w:rPr>
        <w:t> </w:t>
      </w:r>
      <w:r>
        <w:rPr>
          <w:rFonts w:ascii="Microsoft Sans Serif" w:hAnsi="Microsoft Sans Serif"/>
          <w:color w:val="231F1F"/>
          <w:sz w:val="16"/>
        </w:rPr>
        <w:t>Pavón, 1853”,</w:t>
      </w:r>
      <w:r>
        <w:rPr>
          <w:rFonts w:ascii="Microsoft Sans Serif" w:hAnsi="Microsoft Sans Serif"/>
          <w:color w:val="231F1F"/>
          <w:spacing w:val="-11"/>
          <w:sz w:val="16"/>
        </w:rPr>
        <w:t> </w:t>
      </w:r>
      <w:r>
        <w:rPr>
          <w:rFonts w:ascii="Microsoft Sans Serif" w:hAnsi="Microsoft Sans Serif"/>
          <w:color w:val="231F1F"/>
          <w:sz w:val="16"/>
        </w:rPr>
        <w:t>de</w:t>
      </w:r>
      <w:r>
        <w:rPr>
          <w:rFonts w:ascii="Microsoft Sans Serif" w:hAnsi="Microsoft Sans Serif"/>
          <w:color w:val="231F1F"/>
          <w:spacing w:val="-11"/>
          <w:sz w:val="16"/>
        </w:rPr>
        <w:t> </w:t>
      </w:r>
      <w:r>
        <w:rPr>
          <w:rFonts w:ascii="Microsoft Sans Serif" w:hAnsi="Microsoft Sans Serif"/>
          <w:color w:val="231F1F"/>
          <w:sz w:val="16"/>
        </w:rPr>
        <w:t>A.</w:t>
      </w:r>
      <w:r>
        <w:rPr>
          <w:rFonts w:ascii="Microsoft Sans Serif" w:hAnsi="Microsoft Sans Serif"/>
          <w:color w:val="231F1F"/>
          <w:spacing w:val="-11"/>
          <w:sz w:val="16"/>
        </w:rPr>
        <w:t> </w:t>
      </w:r>
      <w:r>
        <w:rPr>
          <w:rFonts w:ascii="Microsoft Sans Serif" w:hAnsi="Microsoft Sans Serif"/>
          <w:color w:val="231F1F"/>
          <w:spacing w:val="-3"/>
          <w:sz w:val="16"/>
        </w:rPr>
        <w:t>Tapia.</w:t>
      </w:r>
      <w:r>
        <w:rPr>
          <w:rFonts w:ascii="Microsoft Sans Serif" w:hAnsi="Microsoft Sans Serif"/>
          <w:color w:val="231F1F"/>
          <w:spacing w:val="-11"/>
          <w:sz w:val="16"/>
        </w:rPr>
        <w:t> </w:t>
      </w:r>
      <w:r>
        <w:rPr>
          <w:rFonts w:ascii="Microsoft Sans Serif" w:hAnsi="Microsoft Sans Serif"/>
          <w:color w:val="231F1F"/>
          <w:sz w:val="16"/>
        </w:rPr>
        <w:t>Litografía</w:t>
      </w:r>
      <w:r>
        <w:rPr>
          <w:rFonts w:ascii="Microsoft Sans Serif" w:hAnsi="Microsoft Sans Serif"/>
          <w:color w:val="231F1F"/>
          <w:spacing w:val="-11"/>
          <w:sz w:val="16"/>
        </w:rPr>
        <w:t> </w:t>
      </w:r>
      <w:r>
        <w:rPr>
          <w:rFonts w:ascii="Microsoft Sans Serif" w:hAnsi="Microsoft Sans Serif"/>
          <w:color w:val="231F1F"/>
          <w:sz w:val="16"/>
        </w:rPr>
        <w:t>del</w:t>
      </w:r>
      <w:r>
        <w:rPr>
          <w:rFonts w:ascii="Microsoft Sans Serif" w:hAnsi="Microsoft Sans Serif"/>
          <w:color w:val="231F1F"/>
          <w:spacing w:val="-11"/>
          <w:sz w:val="16"/>
        </w:rPr>
        <w:t> </w:t>
      </w:r>
      <w:r>
        <w:rPr>
          <w:rFonts w:ascii="Microsoft Sans Serif" w:hAnsi="Microsoft Sans Serif"/>
          <w:color w:val="231F1F"/>
          <w:sz w:val="16"/>
        </w:rPr>
        <w:t>Instituto</w:t>
      </w:r>
      <w:r>
        <w:rPr>
          <w:rFonts w:ascii="Microsoft Sans Serif" w:hAnsi="Microsoft Sans Serif"/>
          <w:color w:val="231F1F"/>
          <w:spacing w:val="-11"/>
          <w:sz w:val="16"/>
        </w:rPr>
        <w:t> </w:t>
      </w:r>
      <w:r>
        <w:rPr>
          <w:rFonts w:ascii="Microsoft Sans Serif" w:hAnsi="Microsoft Sans Serif"/>
          <w:color w:val="231F1F"/>
          <w:sz w:val="16"/>
        </w:rPr>
        <w:t>Literario</w:t>
      </w:r>
      <w:r>
        <w:rPr>
          <w:rFonts w:ascii="Microsoft Sans Serif" w:hAnsi="Microsoft Sans Serif"/>
          <w:color w:val="231F1F"/>
          <w:spacing w:val="-11"/>
          <w:sz w:val="16"/>
        </w:rPr>
        <w:t> </w:t>
      </w:r>
      <w:r>
        <w:rPr>
          <w:rFonts w:ascii="Microsoft Sans Serif" w:hAnsi="Microsoft Sans Serif"/>
          <w:color w:val="231F1F"/>
          <w:sz w:val="16"/>
        </w:rPr>
        <w:t>de</w:t>
      </w:r>
      <w:r>
        <w:rPr>
          <w:rFonts w:ascii="Microsoft Sans Serif" w:hAnsi="Microsoft Sans Serif"/>
          <w:color w:val="231F1F"/>
          <w:spacing w:val="-11"/>
          <w:sz w:val="16"/>
        </w:rPr>
        <w:t> </w:t>
      </w:r>
      <w:r>
        <w:rPr>
          <w:rFonts w:ascii="Microsoft Sans Serif" w:hAnsi="Microsoft Sans Serif"/>
          <w:color w:val="231F1F"/>
          <w:spacing w:val="-3"/>
          <w:sz w:val="16"/>
        </w:rPr>
        <w:t>Toluca,</w:t>
      </w:r>
      <w:r>
        <w:rPr>
          <w:rFonts w:ascii="Microsoft Sans Serif" w:hAnsi="Microsoft Sans Serif"/>
          <w:color w:val="231F1F"/>
          <w:spacing w:val="-11"/>
          <w:sz w:val="16"/>
        </w:rPr>
        <w:t> </w:t>
      </w:r>
      <w:r>
        <w:rPr>
          <w:rFonts w:ascii="Microsoft Sans Serif" w:hAnsi="Microsoft Sans Serif"/>
          <w:color w:val="231F1F"/>
          <w:sz w:val="16"/>
        </w:rPr>
        <w:t>en </w:t>
      </w:r>
      <w:r>
        <w:rPr>
          <w:rFonts w:ascii="Arial" w:hAnsi="Arial"/>
          <w:i/>
          <w:color w:val="231F1F"/>
          <w:sz w:val="16"/>
        </w:rPr>
        <w:t>Relación</w:t>
      </w:r>
      <w:r>
        <w:rPr>
          <w:rFonts w:ascii="Arial" w:hAnsi="Arial"/>
          <w:i/>
          <w:color w:val="231F1F"/>
          <w:spacing w:val="-19"/>
          <w:sz w:val="16"/>
        </w:rPr>
        <w:t> </w:t>
      </w:r>
      <w:r>
        <w:rPr>
          <w:rFonts w:ascii="Arial" w:hAnsi="Arial"/>
          <w:i/>
          <w:color w:val="231F1F"/>
          <w:sz w:val="16"/>
        </w:rPr>
        <w:t>de</w:t>
      </w:r>
      <w:r>
        <w:rPr>
          <w:rFonts w:ascii="Arial" w:hAnsi="Arial"/>
          <w:i/>
          <w:color w:val="231F1F"/>
          <w:spacing w:val="-19"/>
          <w:sz w:val="16"/>
        </w:rPr>
        <w:t> </w:t>
      </w:r>
      <w:r>
        <w:rPr>
          <w:rFonts w:ascii="Arial" w:hAnsi="Arial"/>
          <w:i/>
          <w:color w:val="231F1F"/>
          <w:sz w:val="16"/>
        </w:rPr>
        <w:t>la</w:t>
      </w:r>
      <w:r>
        <w:rPr>
          <w:rFonts w:ascii="Arial" w:hAnsi="Arial"/>
          <w:i/>
          <w:color w:val="231F1F"/>
          <w:spacing w:val="-19"/>
          <w:sz w:val="16"/>
        </w:rPr>
        <w:t> </w:t>
      </w:r>
      <w:r>
        <w:rPr>
          <w:rFonts w:ascii="Arial" w:hAnsi="Arial"/>
          <w:i/>
          <w:color w:val="231F1F"/>
          <w:sz w:val="16"/>
        </w:rPr>
        <w:t>Función</w:t>
      </w:r>
      <w:r>
        <w:rPr>
          <w:rFonts w:ascii="Arial" w:hAnsi="Arial"/>
          <w:i/>
          <w:color w:val="231F1F"/>
          <w:spacing w:val="-19"/>
          <w:sz w:val="16"/>
        </w:rPr>
        <w:t> </w:t>
      </w:r>
      <w:r>
        <w:rPr>
          <w:rFonts w:ascii="Arial" w:hAnsi="Arial"/>
          <w:i/>
          <w:color w:val="231F1F"/>
          <w:sz w:val="16"/>
        </w:rPr>
        <w:t>Cívica</w:t>
      </w:r>
      <w:r>
        <w:rPr>
          <w:rFonts w:ascii="Arial" w:hAnsi="Arial"/>
          <w:i/>
          <w:color w:val="231F1F"/>
          <w:spacing w:val="-19"/>
          <w:sz w:val="16"/>
        </w:rPr>
        <w:t> </w:t>
      </w:r>
      <w:r>
        <w:rPr>
          <w:rFonts w:ascii="Arial" w:hAnsi="Arial"/>
          <w:i/>
          <w:color w:val="231F1F"/>
          <w:sz w:val="16"/>
        </w:rPr>
        <w:t>que</w:t>
      </w:r>
      <w:r>
        <w:rPr>
          <w:rFonts w:ascii="Arial" w:hAnsi="Arial"/>
          <w:i/>
          <w:color w:val="231F1F"/>
          <w:spacing w:val="-19"/>
          <w:sz w:val="16"/>
        </w:rPr>
        <w:t> </w:t>
      </w:r>
      <w:r>
        <w:rPr>
          <w:rFonts w:ascii="Arial" w:hAnsi="Arial"/>
          <w:i/>
          <w:color w:val="231F1F"/>
          <w:sz w:val="16"/>
        </w:rPr>
        <w:t>tuvo</w:t>
      </w:r>
      <w:r>
        <w:rPr>
          <w:rFonts w:ascii="Arial" w:hAnsi="Arial"/>
          <w:i/>
          <w:color w:val="231F1F"/>
          <w:spacing w:val="-19"/>
          <w:sz w:val="16"/>
        </w:rPr>
        <w:t> </w:t>
      </w:r>
      <w:r>
        <w:rPr>
          <w:rFonts w:ascii="Arial" w:hAnsi="Arial"/>
          <w:i/>
          <w:color w:val="231F1F"/>
          <w:sz w:val="16"/>
        </w:rPr>
        <w:t>lugar</w:t>
      </w:r>
      <w:r>
        <w:rPr>
          <w:rFonts w:ascii="Arial" w:hAnsi="Arial"/>
          <w:i/>
          <w:color w:val="231F1F"/>
          <w:spacing w:val="-19"/>
          <w:sz w:val="16"/>
        </w:rPr>
        <w:t> </w:t>
      </w:r>
      <w:r>
        <w:rPr>
          <w:rFonts w:ascii="Arial" w:hAnsi="Arial"/>
          <w:i/>
          <w:color w:val="231F1F"/>
          <w:sz w:val="16"/>
        </w:rPr>
        <w:t>en</w:t>
      </w:r>
      <w:r>
        <w:rPr>
          <w:rFonts w:ascii="Arial" w:hAnsi="Arial"/>
          <w:i/>
          <w:color w:val="231F1F"/>
          <w:spacing w:val="-19"/>
          <w:sz w:val="16"/>
        </w:rPr>
        <w:t> </w:t>
      </w:r>
      <w:r>
        <w:rPr>
          <w:rFonts w:ascii="Arial" w:hAnsi="Arial"/>
          <w:i/>
          <w:color w:val="231F1F"/>
          <w:sz w:val="16"/>
        </w:rPr>
        <w:t>el</w:t>
      </w:r>
      <w:r>
        <w:rPr>
          <w:rFonts w:ascii="Arial" w:hAnsi="Arial"/>
          <w:i/>
          <w:color w:val="231F1F"/>
          <w:spacing w:val="-19"/>
          <w:sz w:val="16"/>
        </w:rPr>
        <w:t> </w:t>
      </w:r>
      <w:r>
        <w:rPr>
          <w:rFonts w:ascii="Arial" w:hAnsi="Arial"/>
          <w:i/>
          <w:color w:val="231F1F"/>
          <w:spacing w:val="-4"/>
          <w:sz w:val="16"/>
        </w:rPr>
        <w:t>Teatro</w:t>
      </w:r>
      <w:r>
        <w:rPr>
          <w:rFonts w:ascii="Arial" w:hAnsi="Arial"/>
          <w:i/>
          <w:color w:val="231F1F"/>
          <w:spacing w:val="-19"/>
          <w:sz w:val="16"/>
        </w:rPr>
        <w:t> </w:t>
      </w:r>
      <w:r>
        <w:rPr>
          <w:rFonts w:ascii="Arial" w:hAnsi="Arial"/>
          <w:i/>
          <w:color w:val="231F1F"/>
          <w:sz w:val="16"/>
        </w:rPr>
        <w:t>Principal </w:t>
      </w:r>
      <w:r>
        <w:rPr>
          <w:rFonts w:ascii="Arial" w:hAnsi="Arial"/>
          <w:i/>
          <w:color w:val="231F1F"/>
          <w:sz w:val="16"/>
        </w:rPr>
        <w:t>de</w:t>
      </w:r>
      <w:r>
        <w:rPr>
          <w:rFonts w:ascii="Arial" w:hAnsi="Arial"/>
          <w:i/>
          <w:color w:val="231F1F"/>
          <w:spacing w:val="-7"/>
          <w:sz w:val="16"/>
        </w:rPr>
        <w:t> </w:t>
      </w:r>
      <w:r>
        <w:rPr>
          <w:rFonts w:ascii="Arial" w:hAnsi="Arial"/>
          <w:i/>
          <w:color w:val="231F1F"/>
          <w:sz w:val="16"/>
        </w:rPr>
        <w:t>la</w:t>
      </w:r>
      <w:r>
        <w:rPr>
          <w:rFonts w:ascii="Arial" w:hAnsi="Arial"/>
          <w:i/>
          <w:color w:val="231F1F"/>
          <w:spacing w:val="-7"/>
          <w:sz w:val="16"/>
        </w:rPr>
        <w:t> </w:t>
      </w:r>
      <w:r>
        <w:rPr>
          <w:rFonts w:ascii="Arial" w:hAnsi="Arial"/>
          <w:i/>
          <w:color w:val="231F1F"/>
          <w:sz w:val="16"/>
        </w:rPr>
        <w:t>ciudad</w:t>
      </w:r>
      <w:r>
        <w:rPr>
          <w:rFonts w:ascii="Arial" w:hAnsi="Arial"/>
          <w:i/>
          <w:color w:val="231F1F"/>
          <w:spacing w:val="-7"/>
          <w:sz w:val="16"/>
        </w:rPr>
        <w:t> </w:t>
      </w:r>
      <w:r>
        <w:rPr>
          <w:rFonts w:ascii="Arial" w:hAnsi="Arial"/>
          <w:i/>
          <w:color w:val="231F1F"/>
          <w:sz w:val="16"/>
        </w:rPr>
        <w:t>de</w:t>
      </w:r>
      <w:r>
        <w:rPr>
          <w:rFonts w:ascii="Arial" w:hAnsi="Arial"/>
          <w:i/>
          <w:color w:val="231F1F"/>
          <w:spacing w:val="-7"/>
          <w:sz w:val="16"/>
        </w:rPr>
        <w:t> </w:t>
      </w:r>
      <w:r>
        <w:rPr>
          <w:rFonts w:ascii="Arial" w:hAnsi="Arial"/>
          <w:i/>
          <w:color w:val="231F1F"/>
          <w:spacing w:val="-3"/>
          <w:sz w:val="16"/>
        </w:rPr>
        <w:t>Toluca</w:t>
      </w:r>
      <w:r>
        <w:rPr>
          <w:rFonts w:ascii="Arial" w:hAnsi="Arial"/>
          <w:i/>
          <w:color w:val="231F1F"/>
          <w:spacing w:val="-7"/>
          <w:sz w:val="16"/>
        </w:rPr>
        <w:t> </w:t>
      </w:r>
      <w:r>
        <w:rPr>
          <w:rFonts w:ascii="Arial" w:hAnsi="Arial"/>
          <w:i/>
          <w:color w:val="231F1F"/>
          <w:sz w:val="16"/>
        </w:rPr>
        <w:t>la</w:t>
      </w:r>
      <w:r>
        <w:rPr>
          <w:rFonts w:ascii="Arial" w:hAnsi="Arial"/>
          <w:i/>
          <w:color w:val="231F1F"/>
          <w:spacing w:val="-7"/>
          <w:sz w:val="16"/>
        </w:rPr>
        <w:t> </w:t>
      </w:r>
      <w:r>
        <w:rPr>
          <w:rFonts w:ascii="Arial" w:hAnsi="Arial"/>
          <w:i/>
          <w:color w:val="231F1F"/>
          <w:sz w:val="16"/>
        </w:rPr>
        <w:t>noche</w:t>
      </w:r>
      <w:r>
        <w:rPr>
          <w:rFonts w:ascii="Arial" w:hAnsi="Arial"/>
          <w:i/>
          <w:color w:val="231F1F"/>
          <w:spacing w:val="-7"/>
          <w:sz w:val="16"/>
        </w:rPr>
        <w:t> </w:t>
      </w:r>
      <w:r>
        <w:rPr>
          <w:rFonts w:ascii="Arial" w:hAnsi="Arial"/>
          <w:i/>
          <w:color w:val="231F1F"/>
          <w:sz w:val="16"/>
        </w:rPr>
        <w:t>de</w:t>
      </w:r>
      <w:r>
        <w:rPr>
          <w:rFonts w:ascii="Arial" w:hAnsi="Arial"/>
          <w:i/>
          <w:color w:val="231F1F"/>
          <w:spacing w:val="-7"/>
          <w:sz w:val="16"/>
        </w:rPr>
        <w:t> </w:t>
      </w:r>
      <w:r>
        <w:rPr>
          <w:rFonts w:ascii="Arial" w:hAnsi="Arial"/>
          <w:i/>
          <w:color w:val="231F1F"/>
          <w:sz w:val="16"/>
        </w:rPr>
        <w:t>15</w:t>
      </w:r>
      <w:r>
        <w:rPr>
          <w:rFonts w:ascii="Arial" w:hAnsi="Arial"/>
          <w:i/>
          <w:color w:val="231F1F"/>
          <w:spacing w:val="-7"/>
          <w:sz w:val="16"/>
        </w:rPr>
        <w:t> </w:t>
      </w:r>
      <w:r>
        <w:rPr>
          <w:rFonts w:ascii="Arial" w:hAnsi="Arial"/>
          <w:i/>
          <w:color w:val="231F1F"/>
          <w:sz w:val="16"/>
        </w:rPr>
        <w:t>de</w:t>
      </w:r>
      <w:r>
        <w:rPr>
          <w:rFonts w:ascii="Arial" w:hAnsi="Arial"/>
          <w:i/>
          <w:color w:val="231F1F"/>
          <w:spacing w:val="-7"/>
          <w:sz w:val="16"/>
        </w:rPr>
        <w:t> </w:t>
      </w:r>
      <w:r>
        <w:rPr>
          <w:rFonts w:ascii="Arial" w:hAnsi="Arial"/>
          <w:i/>
          <w:color w:val="231F1F"/>
          <w:sz w:val="16"/>
        </w:rPr>
        <w:t>septiembre</w:t>
      </w:r>
      <w:r>
        <w:rPr>
          <w:rFonts w:ascii="Arial" w:hAnsi="Arial"/>
          <w:i/>
          <w:color w:val="231F1F"/>
          <w:spacing w:val="-7"/>
          <w:sz w:val="16"/>
        </w:rPr>
        <w:t> </w:t>
      </w:r>
      <w:r>
        <w:rPr>
          <w:rFonts w:ascii="Arial" w:hAnsi="Arial"/>
          <w:i/>
          <w:color w:val="231F1F"/>
          <w:sz w:val="16"/>
        </w:rPr>
        <w:t>de</w:t>
      </w:r>
      <w:r>
        <w:rPr>
          <w:rFonts w:ascii="Arial" w:hAnsi="Arial"/>
          <w:i/>
          <w:color w:val="231F1F"/>
          <w:spacing w:val="-7"/>
          <w:sz w:val="16"/>
        </w:rPr>
        <w:t> </w:t>
      </w:r>
      <w:r>
        <w:rPr>
          <w:rFonts w:ascii="Arial" w:hAnsi="Arial"/>
          <w:i/>
          <w:color w:val="231F1F"/>
          <w:sz w:val="16"/>
        </w:rPr>
        <w:t>1853</w:t>
      </w:r>
      <w:r>
        <w:rPr>
          <w:rFonts w:ascii="Microsoft Sans Serif" w:hAnsi="Microsoft Sans Serif"/>
          <w:color w:val="231F1F"/>
          <w:sz w:val="16"/>
        </w:rPr>
        <w:t>, </w:t>
      </w:r>
      <w:r>
        <w:rPr>
          <w:rFonts w:ascii="Microsoft Sans Serif" w:hAnsi="Microsoft Sans Serif"/>
          <w:color w:val="231F1F"/>
          <w:spacing w:val="-3"/>
          <w:sz w:val="16"/>
        </w:rPr>
        <w:t>Toluca,</w:t>
      </w:r>
      <w:r>
        <w:rPr>
          <w:rFonts w:ascii="Microsoft Sans Serif" w:hAnsi="Microsoft Sans Serif"/>
          <w:color w:val="231F1F"/>
          <w:spacing w:val="-21"/>
          <w:sz w:val="16"/>
        </w:rPr>
        <w:t> </w:t>
      </w:r>
      <w:r>
        <w:rPr>
          <w:rFonts w:ascii="Microsoft Sans Serif" w:hAnsi="Microsoft Sans Serif"/>
          <w:color w:val="231F1F"/>
          <w:sz w:val="16"/>
        </w:rPr>
        <w:t>Tipografía</w:t>
      </w:r>
      <w:r>
        <w:rPr>
          <w:rFonts w:ascii="Microsoft Sans Serif" w:hAnsi="Microsoft Sans Serif"/>
          <w:color w:val="231F1F"/>
          <w:spacing w:val="-21"/>
          <w:sz w:val="16"/>
        </w:rPr>
        <w:t> </w:t>
      </w:r>
      <w:r>
        <w:rPr>
          <w:rFonts w:ascii="Microsoft Sans Serif" w:hAnsi="Microsoft Sans Serif"/>
          <w:color w:val="231F1F"/>
          <w:sz w:val="16"/>
        </w:rPr>
        <w:t>del</w:t>
      </w:r>
      <w:r>
        <w:rPr>
          <w:rFonts w:ascii="Microsoft Sans Serif" w:hAnsi="Microsoft Sans Serif"/>
          <w:color w:val="231F1F"/>
          <w:spacing w:val="-21"/>
          <w:sz w:val="16"/>
        </w:rPr>
        <w:t> </w:t>
      </w:r>
      <w:r>
        <w:rPr>
          <w:rFonts w:ascii="Microsoft Sans Serif" w:hAnsi="Microsoft Sans Serif"/>
          <w:color w:val="231F1F"/>
          <w:sz w:val="16"/>
        </w:rPr>
        <w:t>Instituto</w:t>
      </w:r>
      <w:r>
        <w:rPr>
          <w:rFonts w:ascii="Microsoft Sans Serif" w:hAnsi="Microsoft Sans Serif"/>
          <w:color w:val="231F1F"/>
          <w:spacing w:val="-21"/>
          <w:sz w:val="16"/>
        </w:rPr>
        <w:t> </w:t>
      </w:r>
      <w:r>
        <w:rPr>
          <w:rFonts w:ascii="Microsoft Sans Serif" w:hAnsi="Microsoft Sans Serif"/>
          <w:color w:val="231F1F"/>
          <w:sz w:val="16"/>
        </w:rPr>
        <w:t>Literario,</w:t>
      </w:r>
      <w:r>
        <w:rPr>
          <w:rFonts w:ascii="Microsoft Sans Serif" w:hAnsi="Microsoft Sans Serif"/>
          <w:color w:val="231F1F"/>
          <w:spacing w:val="-21"/>
          <w:sz w:val="16"/>
        </w:rPr>
        <w:t> </w:t>
      </w:r>
      <w:r>
        <w:rPr>
          <w:rFonts w:ascii="Microsoft Sans Serif" w:hAnsi="Microsoft Sans Serif"/>
          <w:color w:val="231F1F"/>
          <w:sz w:val="16"/>
        </w:rPr>
        <w:t>1853.</w:t>
      </w:r>
    </w:p>
    <w:p>
      <w:pPr>
        <w:pStyle w:val="BodyText"/>
        <w:spacing w:before="1"/>
        <w:rPr>
          <w:rFonts w:ascii="Microsoft Sans Serif"/>
          <w:sz w:val="17"/>
        </w:rPr>
      </w:pPr>
    </w:p>
    <w:p>
      <w:pPr>
        <w:spacing w:before="0"/>
        <w:ind w:left="2734" w:right="3996" w:firstLine="0"/>
        <w:jc w:val="center"/>
        <w:rPr>
          <w:rFonts w:ascii="Microsoft Sans Serif" w:hAnsi="Microsoft Sans Serif"/>
          <w:sz w:val="16"/>
        </w:rPr>
      </w:pPr>
      <w:r>
        <w:rPr>
          <w:rFonts w:ascii="Microsoft Sans Serif" w:hAnsi="Microsoft Sans Serif"/>
          <w:color w:val="231F1F"/>
          <w:sz w:val="16"/>
        </w:rPr>
        <w:t>1a edición, octubre 2015</w:t>
      </w:r>
    </w:p>
    <w:p>
      <w:pPr>
        <w:pStyle w:val="BodyText"/>
        <w:spacing w:before="7"/>
        <w:rPr>
          <w:rFonts w:ascii="Microsoft Sans Serif"/>
          <w:sz w:val="17"/>
        </w:rPr>
      </w:pPr>
    </w:p>
    <w:p>
      <w:pPr>
        <w:spacing w:before="1"/>
        <w:ind w:left="2734" w:right="3996" w:firstLine="0"/>
        <w:jc w:val="center"/>
        <w:rPr>
          <w:rFonts w:ascii="Arial"/>
          <w:sz w:val="16"/>
        </w:rPr>
      </w:pPr>
      <w:r>
        <w:rPr>
          <w:rFonts w:ascii="Arial"/>
          <w:color w:val="231F1F"/>
          <w:sz w:val="16"/>
        </w:rPr>
        <w:t>ISBN: 978-607-422-637-9</w:t>
      </w:r>
    </w:p>
    <w:p>
      <w:pPr>
        <w:spacing w:line="254" w:lineRule="auto" w:before="124"/>
        <w:ind w:left="3167" w:right="4417" w:firstLine="45"/>
        <w:jc w:val="left"/>
        <w:rPr>
          <w:rFonts w:ascii="Microsoft Sans Serif" w:hAnsi="Microsoft Sans Serif"/>
          <w:sz w:val="16"/>
        </w:rPr>
      </w:pPr>
      <w:r>
        <w:rPr>
          <w:rFonts w:ascii="Microsoft Sans Serif" w:hAnsi="Microsoft Sans Serif"/>
          <w:color w:val="231F1F"/>
          <w:sz w:val="16"/>
        </w:rPr>
        <w:t>D.R.</w:t>
      </w:r>
      <w:r>
        <w:rPr>
          <w:rFonts w:ascii="Microsoft Sans Serif" w:hAnsi="Microsoft Sans Serif"/>
          <w:color w:val="231F1F"/>
          <w:spacing w:val="-21"/>
          <w:sz w:val="16"/>
        </w:rPr>
        <w:t> </w:t>
      </w:r>
      <w:r>
        <w:rPr>
          <w:rFonts w:ascii="Microsoft Sans Serif" w:hAnsi="Microsoft Sans Serif"/>
          <w:color w:val="231F1F"/>
          <w:sz w:val="16"/>
        </w:rPr>
        <w:t>©</w:t>
      </w:r>
      <w:r>
        <w:rPr>
          <w:rFonts w:ascii="Microsoft Sans Serif" w:hAnsi="Microsoft Sans Serif"/>
          <w:color w:val="231F1F"/>
          <w:spacing w:val="-21"/>
          <w:sz w:val="16"/>
        </w:rPr>
        <w:t> </w:t>
      </w:r>
      <w:r>
        <w:rPr>
          <w:rFonts w:ascii="Microsoft Sans Serif" w:hAnsi="Microsoft Sans Serif"/>
          <w:color w:val="231F1F"/>
          <w:sz w:val="16"/>
        </w:rPr>
        <w:t>Universidad</w:t>
      </w:r>
      <w:r>
        <w:rPr>
          <w:rFonts w:ascii="Microsoft Sans Serif" w:hAnsi="Microsoft Sans Serif"/>
          <w:color w:val="231F1F"/>
          <w:spacing w:val="-21"/>
          <w:sz w:val="16"/>
        </w:rPr>
        <w:t> </w:t>
      </w:r>
      <w:r>
        <w:rPr>
          <w:rFonts w:ascii="Microsoft Sans Serif" w:hAnsi="Microsoft Sans Serif"/>
          <w:color w:val="231F1F"/>
          <w:sz w:val="16"/>
        </w:rPr>
        <w:t>Autónoma</w:t>
      </w:r>
      <w:r>
        <w:rPr>
          <w:rFonts w:ascii="Microsoft Sans Serif" w:hAnsi="Microsoft Sans Serif"/>
          <w:color w:val="231F1F"/>
          <w:spacing w:val="-21"/>
          <w:sz w:val="16"/>
        </w:rPr>
        <w:t> </w:t>
      </w:r>
      <w:r>
        <w:rPr>
          <w:rFonts w:ascii="Microsoft Sans Serif" w:hAnsi="Microsoft Sans Serif"/>
          <w:color w:val="231F1F"/>
          <w:sz w:val="16"/>
        </w:rPr>
        <w:t>del</w:t>
      </w:r>
      <w:r>
        <w:rPr>
          <w:rFonts w:ascii="Microsoft Sans Serif" w:hAnsi="Microsoft Sans Serif"/>
          <w:color w:val="231F1F"/>
          <w:spacing w:val="-21"/>
          <w:sz w:val="16"/>
        </w:rPr>
        <w:t> </w:t>
      </w:r>
      <w:r>
        <w:rPr>
          <w:rFonts w:ascii="Microsoft Sans Serif" w:hAnsi="Microsoft Sans Serif"/>
          <w:color w:val="231F1F"/>
          <w:sz w:val="16"/>
        </w:rPr>
        <w:t>Estado</w:t>
      </w:r>
      <w:r>
        <w:rPr>
          <w:rFonts w:ascii="Microsoft Sans Serif" w:hAnsi="Microsoft Sans Serif"/>
          <w:color w:val="231F1F"/>
          <w:spacing w:val="-21"/>
          <w:sz w:val="16"/>
        </w:rPr>
        <w:t> </w:t>
      </w:r>
      <w:r>
        <w:rPr>
          <w:rFonts w:ascii="Microsoft Sans Serif" w:hAnsi="Microsoft Sans Serif"/>
          <w:color w:val="231F1F"/>
          <w:sz w:val="16"/>
        </w:rPr>
        <w:t>de</w:t>
      </w:r>
      <w:r>
        <w:rPr>
          <w:rFonts w:ascii="Microsoft Sans Serif" w:hAnsi="Microsoft Sans Serif"/>
          <w:color w:val="231F1F"/>
          <w:spacing w:val="-21"/>
          <w:sz w:val="16"/>
        </w:rPr>
        <w:t> </w:t>
      </w:r>
      <w:r>
        <w:rPr>
          <w:rFonts w:ascii="Microsoft Sans Serif" w:hAnsi="Microsoft Sans Serif"/>
          <w:color w:val="231F1F"/>
          <w:spacing w:val="-2"/>
          <w:sz w:val="16"/>
        </w:rPr>
        <w:t>México </w:t>
      </w:r>
      <w:r>
        <w:rPr>
          <w:rFonts w:ascii="Microsoft Sans Serif" w:hAnsi="Microsoft Sans Serif"/>
          <w:color w:val="231F1F"/>
          <w:sz w:val="16"/>
        </w:rPr>
        <w:t>Instituto</w:t>
      </w:r>
      <w:r>
        <w:rPr>
          <w:rFonts w:ascii="Microsoft Sans Serif" w:hAnsi="Microsoft Sans Serif"/>
          <w:color w:val="231F1F"/>
          <w:spacing w:val="-10"/>
          <w:sz w:val="16"/>
        </w:rPr>
        <w:t> </w:t>
      </w:r>
      <w:r>
        <w:rPr>
          <w:rFonts w:ascii="Microsoft Sans Serif" w:hAnsi="Microsoft Sans Serif"/>
          <w:color w:val="231F1F"/>
          <w:sz w:val="16"/>
        </w:rPr>
        <w:t>Literario</w:t>
      </w:r>
      <w:r>
        <w:rPr>
          <w:rFonts w:ascii="Microsoft Sans Serif" w:hAnsi="Microsoft Sans Serif"/>
          <w:color w:val="231F1F"/>
          <w:spacing w:val="-10"/>
          <w:sz w:val="16"/>
        </w:rPr>
        <w:t> </w:t>
      </w:r>
      <w:r>
        <w:rPr>
          <w:rFonts w:ascii="Microsoft Sans Serif" w:hAnsi="Microsoft Sans Serif"/>
          <w:color w:val="231F1F"/>
          <w:sz w:val="16"/>
        </w:rPr>
        <w:t>núm.</w:t>
      </w:r>
      <w:r>
        <w:rPr>
          <w:rFonts w:ascii="Microsoft Sans Serif" w:hAnsi="Microsoft Sans Serif"/>
          <w:color w:val="231F1F"/>
          <w:spacing w:val="-10"/>
          <w:sz w:val="16"/>
        </w:rPr>
        <w:t> </w:t>
      </w:r>
      <w:r>
        <w:rPr>
          <w:rFonts w:ascii="Microsoft Sans Serif" w:hAnsi="Microsoft Sans Serif"/>
          <w:color w:val="231F1F"/>
          <w:sz w:val="16"/>
        </w:rPr>
        <w:t>100</w:t>
      </w:r>
      <w:r>
        <w:rPr>
          <w:rFonts w:ascii="Microsoft Sans Serif" w:hAnsi="Microsoft Sans Serif"/>
          <w:color w:val="231F1F"/>
          <w:spacing w:val="-10"/>
          <w:sz w:val="16"/>
        </w:rPr>
        <w:t> </w:t>
      </w:r>
      <w:r>
        <w:rPr>
          <w:rFonts w:ascii="Microsoft Sans Serif" w:hAnsi="Microsoft Sans Serif"/>
          <w:color w:val="231F1F"/>
          <w:sz w:val="16"/>
        </w:rPr>
        <w:t>Ote.,</w:t>
      </w:r>
      <w:r>
        <w:rPr>
          <w:rFonts w:ascii="Microsoft Sans Serif" w:hAnsi="Microsoft Sans Serif"/>
          <w:color w:val="231F1F"/>
          <w:spacing w:val="-10"/>
          <w:sz w:val="16"/>
        </w:rPr>
        <w:t> </w:t>
      </w:r>
      <w:r>
        <w:rPr>
          <w:rFonts w:ascii="Microsoft Sans Serif" w:hAnsi="Microsoft Sans Serif"/>
          <w:color w:val="231F1F"/>
          <w:sz w:val="16"/>
        </w:rPr>
        <w:t>Centro,</w:t>
      </w:r>
      <w:r>
        <w:rPr>
          <w:rFonts w:ascii="Microsoft Sans Serif" w:hAnsi="Microsoft Sans Serif"/>
          <w:color w:val="231F1F"/>
          <w:spacing w:val="-10"/>
          <w:sz w:val="16"/>
        </w:rPr>
        <w:t> </w:t>
      </w:r>
      <w:r>
        <w:rPr>
          <w:rFonts w:ascii="Microsoft Sans Serif" w:hAnsi="Microsoft Sans Serif"/>
          <w:color w:val="231F1F"/>
          <w:spacing w:val="-7"/>
          <w:sz w:val="16"/>
        </w:rPr>
        <w:t>C.P.</w:t>
      </w:r>
      <w:r>
        <w:rPr>
          <w:rFonts w:ascii="Microsoft Sans Serif" w:hAnsi="Microsoft Sans Serif"/>
          <w:color w:val="231F1F"/>
          <w:spacing w:val="-10"/>
          <w:sz w:val="16"/>
        </w:rPr>
        <w:t> </w:t>
      </w:r>
      <w:r>
        <w:rPr>
          <w:rFonts w:ascii="Microsoft Sans Serif" w:hAnsi="Microsoft Sans Serif"/>
          <w:color w:val="231F1F"/>
          <w:sz w:val="16"/>
        </w:rPr>
        <w:t>50000,</w:t>
      </w:r>
    </w:p>
    <w:p>
      <w:pPr>
        <w:spacing w:line="254" w:lineRule="auto" w:before="0"/>
        <w:ind w:left="3989" w:right="5252" w:firstLine="0"/>
        <w:jc w:val="center"/>
        <w:rPr>
          <w:rFonts w:ascii="Microsoft Sans Serif" w:hAnsi="Microsoft Sans Serif"/>
          <w:sz w:val="16"/>
        </w:rPr>
      </w:pPr>
      <w:r>
        <w:rPr>
          <w:rFonts w:ascii="Microsoft Sans Serif" w:hAnsi="Microsoft Sans Serif"/>
          <w:color w:val="231F1F"/>
          <w:sz w:val="16"/>
        </w:rPr>
        <w:t>Toluca, México </w:t>
      </w:r>
      <w:hyperlink r:id="rId21">
        <w:r>
          <w:rPr>
            <w:rFonts w:ascii="Microsoft Sans Serif" w:hAnsi="Microsoft Sans Serif"/>
            <w:color w:val="231F1F"/>
            <w:sz w:val="16"/>
          </w:rPr>
          <w:t>http://www.uaemex.mx</w:t>
        </w:r>
      </w:hyperlink>
    </w:p>
    <w:p>
      <w:pPr>
        <w:pStyle w:val="BodyText"/>
        <w:spacing w:before="10"/>
        <w:rPr>
          <w:rFonts w:ascii="Microsoft Sans Serif"/>
          <w:sz w:val="16"/>
        </w:rPr>
      </w:pPr>
    </w:p>
    <w:p>
      <w:pPr>
        <w:spacing w:line="254" w:lineRule="auto" w:before="1"/>
        <w:ind w:left="3990" w:right="5252" w:firstLine="0"/>
        <w:jc w:val="center"/>
        <w:rPr>
          <w:rFonts w:ascii="Microsoft Sans Serif" w:hAnsi="Microsoft Sans Serif"/>
          <w:sz w:val="16"/>
        </w:rPr>
      </w:pPr>
      <w:r>
        <w:rPr>
          <w:rFonts w:ascii="Microsoft Sans Serif" w:hAnsi="Microsoft Sans Serif"/>
          <w:color w:val="231F1F"/>
          <w:sz w:val="16"/>
        </w:rPr>
        <w:t>Impreso y hecho en México Printed and made in Mexico</w:t>
      </w:r>
    </w:p>
    <w:p>
      <w:pPr>
        <w:pStyle w:val="BodyText"/>
        <w:spacing w:before="10"/>
        <w:rPr>
          <w:rFonts w:ascii="Microsoft Sans Serif"/>
          <w:sz w:val="16"/>
        </w:rPr>
      </w:pPr>
    </w:p>
    <w:p>
      <w:pPr>
        <w:spacing w:line="254" w:lineRule="auto" w:before="1"/>
        <w:ind w:left="3203" w:right="4465" w:firstLine="0"/>
        <w:jc w:val="center"/>
        <w:rPr>
          <w:rFonts w:ascii="Microsoft Sans Serif" w:hAnsi="Microsoft Sans Serif"/>
          <w:sz w:val="16"/>
        </w:rPr>
      </w:pPr>
      <w:r>
        <w:rPr>
          <w:rFonts w:ascii="Microsoft Sans Serif" w:hAnsi="Microsoft Sans Serif"/>
          <w:color w:val="231F1F"/>
          <w:sz w:val="16"/>
        </w:rPr>
        <w:t>El</w:t>
      </w:r>
      <w:r>
        <w:rPr>
          <w:rFonts w:ascii="Microsoft Sans Serif" w:hAnsi="Microsoft Sans Serif"/>
          <w:color w:val="231F1F"/>
          <w:spacing w:val="-18"/>
          <w:sz w:val="16"/>
        </w:rPr>
        <w:t> </w:t>
      </w:r>
      <w:r>
        <w:rPr>
          <w:rFonts w:ascii="Microsoft Sans Serif" w:hAnsi="Microsoft Sans Serif"/>
          <w:color w:val="231F1F"/>
          <w:sz w:val="16"/>
        </w:rPr>
        <w:t>contenido</w:t>
      </w:r>
      <w:r>
        <w:rPr>
          <w:rFonts w:ascii="Microsoft Sans Serif" w:hAnsi="Microsoft Sans Serif"/>
          <w:color w:val="231F1F"/>
          <w:spacing w:val="-18"/>
          <w:sz w:val="16"/>
        </w:rPr>
        <w:t> </w:t>
      </w:r>
      <w:r>
        <w:rPr>
          <w:rFonts w:ascii="Microsoft Sans Serif" w:hAnsi="Microsoft Sans Serif"/>
          <w:color w:val="231F1F"/>
          <w:sz w:val="16"/>
        </w:rPr>
        <w:t>de</w:t>
      </w:r>
      <w:r>
        <w:rPr>
          <w:rFonts w:ascii="Microsoft Sans Serif" w:hAnsi="Microsoft Sans Serif"/>
          <w:color w:val="231F1F"/>
          <w:spacing w:val="-18"/>
          <w:sz w:val="16"/>
        </w:rPr>
        <w:t> </w:t>
      </w:r>
      <w:r>
        <w:rPr>
          <w:rFonts w:ascii="Microsoft Sans Serif" w:hAnsi="Microsoft Sans Serif"/>
          <w:color w:val="231F1F"/>
          <w:sz w:val="16"/>
        </w:rPr>
        <w:t>esta</w:t>
      </w:r>
      <w:r>
        <w:rPr>
          <w:rFonts w:ascii="Microsoft Sans Serif" w:hAnsi="Microsoft Sans Serif"/>
          <w:color w:val="231F1F"/>
          <w:spacing w:val="-18"/>
          <w:sz w:val="16"/>
        </w:rPr>
        <w:t> </w:t>
      </w:r>
      <w:r>
        <w:rPr>
          <w:rFonts w:ascii="Microsoft Sans Serif" w:hAnsi="Microsoft Sans Serif"/>
          <w:color w:val="231F1F"/>
          <w:sz w:val="16"/>
        </w:rPr>
        <w:t>publicación</w:t>
      </w:r>
      <w:r>
        <w:rPr>
          <w:rFonts w:ascii="Microsoft Sans Serif" w:hAnsi="Microsoft Sans Serif"/>
          <w:color w:val="231F1F"/>
          <w:spacing w:val="-18"/>
          <w:sz w:val="16"/>
        </w:rPr>
        <w:t> </w:t>
      </w:r>
      <w:r>
        <w:rPr>
          <w:rFonts w:ascii="Microsoft Sans Serif" w:hAnsi="Microsoft Sans Serif"/>
          <w:color w:val="231F1F"/>
          <w:sz w:val="16"/>
        </w:rPr>
        <w:t>es</w:t>
      </w:r>
      <w:r>
        <w:rPr>
          <w:rFonts w:ascii="Microsoft Sans Serif" w:hAnsi="Microsoft Sans Serif"/>
          <w:color w:val="231F1F"/>
          <w:spacing w:val="-18"/>
          <w:sz w:val="16"/>
        </w:rPr>
        <w:t> </w:t>
      </w:r>
      <w:r>
        <w:rPr>
          <w:rFonts w:ascii="Microsoft Sans Serif" w:hAnsi="Microsoft Sans Serif"/>
          <w:color w:val="231F1F"/>
          <w:sz w:val="16"/>
        </w:rPr>
        <w:t>responsabilidad</w:t>
      </w:r>
      <w:r>
        <w:rPr>
          <w:rFonts w:ascii="Microsoft Sans Serif" w:hAnsi="Microsoft Sans Serif"/>
          <w:color w:val="231F1F"/>
          <w:w w:val="96"/>
          <w:sz w:val="16"/>
        </w:rPr>
        <w:t> </w:t>
      </w:r>
      <w:r>
        <w:rPr>
          <w:rFonts w:ascii="Microsoft Sans Serif" w:hAnsi="Microsoft Sans Serif"/>
          <w:color w:val="231F1F"/>
          <w:sz w:val="16"/>
        </w:rPr>
        <w:t>de los</w:t>
      </w:r>
      <w:r>
        <w:rPr>
          <w:rFonts w:ascii="Microsoft Sans Serif" w:hAnsi="Microsoft Sans Serif"/>
          <w:color w:val="231F1F"/>
          <w:spacing w:val="-30"/>
          <w:sz w:val="16"/>
        </w:rPr>
        <w:t> </w:t>
      </w:r>
      <w:r>
        <w:rPr>
          <w:rFonts w:ascii="Microsoft Sans Serif" w:hAnsi="Microsoft Sans Serif"/>
          <w:color w:val="231F1F"/>
          <w:sz w:val="16"/>
        </w:rPr>
        <w:t>autores.</w:t>
      </w:r>
    </w:p>
    <w:p>
      <w:pPr>
        <w:pStyle w:val="BodyText"/>
        <w:spacing w:before="10"/>
        <w:rPr>
          <w:rFonts w:ascii="Microsoft Sans Serif"/>
          <w:sz w:val="16"/>
        </w:rPr>
      </w:pPr>
    </w:p>
    <w:p>
      <w:pPr>
        <w:spacing w:line="254" w:lineRule="auto" w:before="1"/>
        <w:ind w:left="2826" w:right="4089" w:firstLine="0"/>
        <w:jc w:val="center"/>
        <w:rPr>
          <w:rFonts w:ascii="Microsoft Sans Serif" w:hAnsi="Microsoft Sans Serif"/>
          <w:sz w:val="16"/>
        </w:rPr>
      </w:pPr>
      <w:r>
        <w:rPr>
          <w:rFonts w:ascii="Microsoft Sans Serif" w:hAnsi="Microsoft Sans Serif"/>
          <w:color w:val="231F1F"/>
          <w:sz w:val="16"/>
        </w:rPr>
        <w:t>Queda</w:t>
      </w:r>
      <w:r>
        <w:rPr>
          <w:rFonts w:ascii="Microsoft Sans Serif" w:hAnsi="Microsoft Sans Serif"/>
          <w:color w:val="231F1F"/>
          <w:spacing w:val="-12"/>
          <w:sz w:val="16"/>
        </w:rPr>
        <w:t> </w:t>
      </w:r>
      <w:r>
        <w:rPr>
          <w:rFonts w:ascii="Microsoft Sans Serif" w:hAnsi="Microsoft Sans Serif"/>
          <w:color w:val="231F1F"/>
          <w:sz w:val="16"/>
        </w:rPr>
        <w:t>prohibida</w:t>
      </w:r>
      <w:r>
        <w:rPr>
          <w:rFonts w:ascii="Microsoft Sans Serif" w:hAnsi="Microsoft Sans Serif"/>
          <w:color w:val="231F1F"/>
          <w:spacing w:val="-12"/>
          <w:sz w:val="16"/>
        </w:rPr>
        <w:t> </w:t>
      </w:r>
      <w:r>
        <w:rPr>
          <w:rFonts w:ascii="Microsoft Sans Serif" w:hAnsi="Microsoft Sans Serif"/>
          <w:color w:val="231F1F"/>
          <w:sz w:val="16"/>
        </w:rPr>
        <w:t>la</w:t>
      </w:r>
      <w:r>
        <w:rPr>
          <w:rFonts w:ascii="Microsoft Sans Serif" w:hAnsi="Microsoft Sans Serif"/>
          <w:color w:val="231F1F"/>
          <w:spacing w:val="-12"/>
          <w:sz w:val="16"/>
        </w:rPr>
        <w:t> </w:t>
      </w:r>
      <w:r>
        <w:rPr>
          <w:rFonts w:ascii="Microsoft Sans Serif" w:hAnsi="Microsoft Sans Serif"/>
          <w:color w:val="231F1F"/>
          <w:sz w:val="16"/>
        </w:rPr>
        <w:t>reproducción</w:t>
      </w:r>
      <w:r>
        <w:rPr>
          <w:rFonts w:ascii="Microsoft Sans Serif" w:hAnsi="Microsoft Sans Serif"/>
          <w:color w:val="231F1F"/>
          <w:spacing w:val="-12"/>
          <w:sz w:val="16"/>
        </w:rPr>
        <w:t> </w:t>
      </w:r>
      <w:r>
        <w:rPr>
          <w:rFonts w:ascii="Microsoft Sans Serif" w:hAnsi="Microsoft Sans Serif"/>
          <w:color w:val="231F1F"/>
          <w:sz w:val="16"/>
        </w:rPr>
        <w:t>parcial</w:t>
      </w:r>
      <w:r>
        <w:rPr>
          <w:rFonts w:ascii="Microsoft Sans Serif" w:hAnsi="Microsoft Sans Serif"/>
          <w:color w:val="231F1F"/>
          <w:spacing w:val="-12"/>
          <w:sz w:val="16"/>
        </w:rPr>
        <w:t> </w:t>
      </w:r>
      <w:r>
        <w:rPr>
          <w:rFonts w:ascii="Microsoft Sans Serif" w:hAnsi="Microsoft Sans Serif"/>
          <w:color w:val="231F1F"/>
          <w:sz w:val="16"/>
        </w:rPr>
        <w:t>o</w:t>
      </w:r>
      <w:r>
        <w:rPr>
          <w:rFonts w:ascii="Microsoft Sans Serif" w:hAnsi="Microsoft Sans Serif"/>
          <w:color w:val="231F1F"/>
          <w:spacing w:val="-12"/>
          <w:sz w:val="16"/>
        </w:rPr>
        <w:t> </w:t>
      </w:r>
      <w:r>
        <w:rPr>
          <w:rFonts w:ascii="Microsoft Sans Serif" w:hAnsi="Microsoft Sans Serif"/>
          <w:color w:val="231F1F"/>
          <w:sz w:val="16"/>
        </w:rPr>
        <w:t>total</w:t>
      </w:r>
      <w:r>
        <w:rPr>
          <w:rFonts w:ascii="Microsoft Sans Serif" w:hAnsi="Microsoft Sans Serif"/>
          <w:color w:val="231F1F"/>
          <w:spacing w:val="-12"/>
          <w:sz w:val="16"/>
        </w:rPr>
        <w:t> </w:t>
      </w:r>
      <w:r>
        <w:rPr>
          <w:rFonts w:ascii="Microsoft Sans Serif" w:hAnsi="Microsoft Sans Serif"/>
          <w:color w:val="231F1F"/>
          <w:sz w:val="16"/>
        </w:rPr>
        <w:t>del</w:t>
      </w:r>
      <w:r>
        <w:rPr>
          <w:rFonts w:ascii="Microsoft Sans Serif" w:hAnsi="Microsoft Sans Serif"/>
          <w:color w:val="231F1F"/>
          <w:spacing w:val="-12"/>
          <w:sz w:val="16"/>
        </w:rPr>
        <w:t> </w:t>
      </w:r>
      <w:r>
        <w:rPr>
          <w:rFonts w:ascii="Microsoft Sans Serif" w:hAnsi="Microsoft Sans Serif"/>
          <w:color w:val="231F1F"/>
          <w:sz w:val="16"/>
        </w:rPr>
        <w:t>contenido de</w:t>
      </w:r>
      <w:r>
        <w:rPr>
          <w:rFonts w:ascii="Microsoft Sans Serif" w:hAnsi="Microsoft Sans Serif"/>
          <w:color w:val="231F1F"/>
          <w:spacing w:val="-15"/>
          <w:sz w:val="16"/>
        </w:rPr>
        <w:t> </w:t>
      </w:r>
      <w:r>
        <w:rPr>
          <w:rFonts w:ascii="Microsoft Sans Serif" w:hAnsi="Microsoft Sans Serif"/>
          <w:color w:val="231F1F"/>
          <w:sz w:val="16"/>
        </w:rPr>
        <w:t>la</w:t>
      </w:r>
      <w:r>
        <w:rPr>
          <w:rFonts w:ascii="Microsoft Sans Serif" w:hAnsi="Microsoft Sans Serif"/>
          <w:color w:val="231F1F"/>
          <w:spacing w:val="-15"/>
          <w:sz w:val="16"/>
        </w:rPr>
        <w:t> </w:t>
      </w:r>
      <w:r>
        <w:rPr>
          <w:rFonts w:ascii="Microsoft Sans Serif" w:hAnsi="Microsoft Sans Serif"/>
          <w:color w:val="231F1F"/>
          <w:sz w:val="16"/>
        </w:rPr>
        <w:t>presente</w:t>
      </w:r>
      <w:r>
        <w:rPr>
          <w:rFonts w:ascii="Microsoft Sans Serif" w:hAnsi="Microsoft Sans Serif"/>
          <w:color w:val="231F1F"/>
          <w:spacing w:val="-15"/>
          <w:sz w:val="16"/>
        </w:rPr>
        <w:t> </w:t>
      </w:r>
      <w:r>
        <w:rPr>
          <w:rFonts w:ascii="Microsoft Sans Serif" w:hAnsi="Microsoft Sans Serif"/>
          <w:color w:val="231F1F"/>
          <w:sz w:val="16"/>
        </w:rPr>
        <w:t>obra,</w:t>
      </w:r>
      <w:r>
        <w:rPr>
          <w:rFonts w:ascii="Microsoft Sans Serif" w:hAnsi="Microsoft Sans Serif"/>
          <w:color w:val="231F1F"/>
          <w:spacing w:val="-15"/>
          <w:sz w:val="16"/>
        </w:rPr>
        <w:t> </w:t>
      </w:r>
      <w:r>
        <w:rPr>
          <w:rFonts w:ascii="Microsoft Sans Serif" w:hAnsi="Microsoft Sans Serif"/>
          <w:color w:val="231F1F"/>
          <w:sz w:val="16"/>
        </w:rPr>
        <w:t>sin</w:t>
      </w:r>
      <w:r>
        <w:rPr>
          <w:rFonts w:ascii="Microsoft Sans Serif" w:hAnsi="Microsoft Sans Serif"/>
          <w:color w:val="231F1F"/>
          <w:spacing w:val="-15"/>
          <w:sz w:val="16"/>
        </w:rPr>
        <w:t> </w:t>
      </w:r>
      <w:r>
        <w:rPr>
          <w:rFonts w:ascii="Microsoft Sans Serif" w:hAnsi="Microsoft Sans Serif"/>
          <w:color w:val="231F1F"/>
          <w:sz w:val="16"/>
        </w:rPr>
        <w:t>contar</w:t>
      </w:r>
      <w:r>
        <w:rPr>
          <w:rFonts w:ascii="Microsoft Sans Serif" w:hAnsi="Microsoft Sans Serif"/>
          <w:color w:val="231F1F"/>
          <w:spacing w:val="-15"/>
          <w:sz w:val="16"/>
        </w:rPr>
        <w:t> </w:t>
      </w:r>
      <w:r>
        <w:rPr>
          <w:rFonts w:ascii="Microsoft Sans Serif" w:hAnsi="Microsoft Sans Serif"/>
          <w:color w:val="231F1F"/>
          <w:sz w:val="16"/>
        </w:rPr>
        <w:t>previamente</w:t>
      </w:r>
      <w:r>
        <w:rPr>
          <w:rFonts w:ascii="Microsoft Sans Serif" w:hAnsi="Microsoft Sans Serif"/>
          <w:color w:val="231F1F"/>
          <w:spacing w:val="-15"/>
          <w:sz w:val="16"/>
        </w:rPr>
        <w:t> </w:t>
      </w:r>
      <w:r>
        <w:rPr>
          <w:rFonts w:ascii="Microsoft Sans Serif" w:hAnsi="Microsoft Sans Serif"/>
          <w:color w:val="231F1F"/>
          <w:sz w:val="16"/>
        </w:rPr>
        <w:t>con</w:t>
      </w:r>
      <w:r>
        <w:rPr>
          <w:rFonts w:ascii="Microsoft Sans Serif" w:hAnsi="Microsoft Sans Serif"/>
          <w:color w:val="231F1F"/>
          <w:spacing w:val="-15"/>
          <w:sz w:val="16"/>
        </w:rPr>
        <w:t> </w:t>
      </w:r>
      <w:r>
        <w:rPr>
          <w:rFonts w:ascii="Microsoft Sans Serif" w:hAnsi="Microsoft Sans Serif"/>
          <w:color w:val="231F1F"/>
          <w:sz w:val="16"/>
        </w:rPr>
        <w:t>la</w:t>
      </w:r>
      <w:r>
        <w:rPr>
          <w:rFonts w:ascii="Microsoft Sans Serif" w:hAnsi="Microsoft Sans Serif"/>
          <w:color w:val="231F1F"/>
          <w:spacing w:val="-15"/>
          <w:sz w:val="16"/>
        </w:rPr>
        <w:t> </w:t>
      </w:r>
      <w:r>
        <w:rPr>
          <w:rFonts w:ascii="Microsoft Sans Serif" w:hAnsi="Microsoft Sans Serif"/>
          <w:color w:val="231F1F"/>
          <w:sz w:val="16"/>
        </w:rPr>
        <w:t>autorización</w:t>
      </w:r>
      <w:r>
        <w:rPr>
          <w:rFonts w:ascii="Microsoft Sans Serif" w:hAnsi="Microsoft Sans Serif"/>
          <w:color w:val="231F1F"/>
          <w:w w:val="95"/>
          <w:sz w:val="16"/>
        </w:rPr>
        <w:t> </w:t>
      </w:r>
      <w:r>
        <w:rPr>
          <w:rFonts w:ascii="Microsoft Sans Serif" w:hAnsi="Microsoft Sans Serif"/>
          <w:color w:val="231F1F"/>
          <w:sz w:val="16"/>
        </w:rPr>
        <w:t>por escrito del titular de los derechos en términos de la Ley Federal del Derecho de Autor y en su caso de los tratados </w:t>
      </w:r>
      <w:r>
        <w:rPr>
          <w:rFonts w:ascii="Microsoft Sans Serif" w:hAnsi="Microsoft Sans Serif"/>
          <w:color w:val="231F1F"/>
          <w:w w:val="95"/>
          <w:sz w:val="16"/>
        </w:rPr>
        <w:t>internacionales</w:t>
      </w:r>
      <w:r>
        <w:rPr>
          <w:rFonts w:ascii="Microsoft Sans Serif" w:hAnsi="Microsoft Sans Serif"/>
          <w:color w:val="231F1F"/>
          <w:spacing w:val="11"/>
          <w:w w:val="95"/>
          <w:sz w:val="16"/>
        </w:rPr>
        <w:t> </w:t>
      </w:r>
      <w:r>
        <w:rPr>
          <w:rFonts w:ascii="Microsoft Sans Serif" w:hAnsi="Microsoft Sans Serif"/>
          <w:color w:val="231F1F"/>
          <w:w w:val="95"/>
          <w:sz w:val="16"/>
        </w:rPr>
        <w:t>aplicables.</w:t>
      </w:r>
    </w:p>
    <w:p>
      <w:pPr>
        <w:spacing w:after="0" w:line="254" w:lineRule="auto"/>
        <w:jc w:val="center"/>
        <w:rPr>
          <w:rFonts w:ascii="Microsoft Sans Serif" w:hAnsi="Microsoft Sans Serif"/>
          <w:sz w:val="16"/>
        </w:rPr>
        <w:sectPr>
          <w:pgSz w:w="13100" w:h="17920"/>
          <w:pgMar w:top="0" w:bottom="0" w:left="1860" w:right="0"/>
        </w:sectPr>
      </w:pPr>
    </w:p>
    <w:p>
      <w:pPr>
        <w:pStyle w:val="BodyText"/>
        <w:spacing w:before="4"/>
        <w:rPr>
          <w:rFonts w:ascii="Times New Roman"/>
          <w:sz w:val="17"/>
        </w:rPr>
      </w:pPr>
      <w:r>
        <w:rPr/>
        <w:drawing>
          <wp:anchor distT="0" distB="0" distL="0" distR="0" allowOverlap="1" layoutInCell="1" locked="0" behindDoc="1" simplePos="0" relativeHeight="268360247">
            <wp:simplePos x="0" y="0"/>
            <wp:positionH relativeFrom="page">
              <wp:posOffset>117322</wp:posOffset>
            </wp:positionH>
            <wp:positionV relativeFrom="page">
              <wp:posOffset>12</wp:posOffset>
            </wp:positionV>
            <wp:extent cx="8198675" cy="11375986"/>
            <wp:effectExtent l="0" t="0" r="0" b="0"/>
            <wp:wrapNone/>
            <wp:docPr id="25" name="image17.jpeg" descr=""/>
            <wp:cNvGraphicFramePr>
              <a:graphicFrameLocks noChangeAspect="1"/>
            </wp:cNvGraphicFramePr>
            <a:graphic>
              <a:graphicData uri="http://schemas.openxmlformats.org/drawingml/2006/picture">
                <pic:pic>
                  <pic:nvPicPr>
                    <pic:cNvPr id="26" name="image17.jpeg"/>
                    <pic:cNvPicPr/>
                  </pic:nvPicPr>
                  <pic:blipFill>
                    <a:blip r:embed="rId22" cstate="print"/>
                    <a:stretch>
                      <a:fillRect/>
                    </a:stretch>
                  </pic:blipFill>
                  <pic:spPr>
                    <a:xfrm>
                      <a:off x="0" y="0"/>
                      <a:ext cx="8198675" cy="11375986"/>
                    </a:xfrm>
                    <a:prstGeom prst="rect">
                      <a:avLst/>
                    </a:prstGeom>
                  </pic:spPr>
                </pic:pic>
              </a:graphicData>
            </a:graphic>
          </wp:anchor>
        </w:drawing>
      </w:r>
    </w:p>
    <w:p>
      <w:pPr>
        <w:spacing w:after="0"/>
        <w:rPr>
          <w:rFonts w:ascii="Times New Roman"/>
          <w:sz w:val="17"/>
        </w:rPr>
        <w:sectPr>
          <w:pgSz w:w="13100" w:h="17920"/>
          <w:pgMar w:top="1700" w:bottom="280" w:left="1860" w:right="1860"/>
        </w:sectPr>
      </w:pPr>
    </w:p>
    <w:p>
      <w:pPr>
        <w:pStyle w:val="BodyText"/>
        <w:spacing w:before="4"/>
        <w:rPr>
          <w:rFonts w:ascii="Times New Roman"/>
          <w:sz w:val="17"/>
        </w:rPr>
      </w:pPr>
      <w:r>
        <w:rPr/>
        <w:pict>
          <v:group style="position:absolute;margin-left:0pt;margin-top:0pt;width:654.85pt;height:895.75pt;mso-position-horizontal-relative:page;mso-position-vertical-relative:page;z-index:-75184" coordorigin="0,0" coordsize="13097,17915">
            <v:shape style="position:absolute;left:0;top:0;width:12940;height:17915" type="#_x0000_t75" stroked="false">
              <v:imagedata r:id="rId23" o:title=""/>
            </v:shape>
            <v:rect style="position:absolute;left:12926;top:6;width:170;height:17909" filled="true" fillcolor="#ffffef" stroked="false">
              <v:fill type="solid"/>
            </v:rect>
            <w10:wrap type="none"/>
          </v:group>
        </w:pict>
      </w:r>
    </w:p>
    <w:p>
      <w:pPr>
        <w:spacing w:after="0"/>
        <w:rPr>
          <w:rFonts w:ascii="Times New Roman"/>
          <w:sz w:val="17"/>
        </w:rPr>
        <w:sectPr>
          <w:pgSz w:w="13100" w:h="17920"/>
          <w:pgMar w:top="1700" w:bottom="280" w:left="1860" w:right="1860"/>
        </w:sectPr>
      </w:pPr>
    </w:p>
    <w:p>
      <w:pPr>
        <w:spacing w:line="417" w:lineRule="exact" w:before="0"/>
        <w:ind w:left="2030" w:right="2538" w:firstLine="0"/>
        <w:jc w:val="left"/>
        <w:rPr>
          <w:rFonts w:ascii="Palatino Linotype" w:hAnsi="Palatino Linotype"/>
          <w:b/>
          <w:sz w:val="22"/>
        </w:rPr>
      </w:pPr>
      <w:r>
        <w:rPr>
          <w:rFonts w:ascii="Palatino Linotype" w:hAnsi="Palatino Linotype"/>
          <w:b/>
          <w:color w:val="231F1F"/>
          <w:w w:val="140"/>
          <w:sz w:val="32"/>
        </w:rPr>
        <w:t>Í</w:t>
      </w:r>
      <w:r>
        <w:rPr>
          <w:rFonts w:ascii="Palatino Linotype" w:hAnsi="Palatino Linotype"/>
          <w:b/>
          <w:color w:val="231F1F"/>
          <w:w w:val="140"/>
          <w:sz w:val="22"/>
        </w:rPr>
        <w:t>ndice</w:t>
      </w:r>
    </w:p>
    <w:p>
      <w:pPr>
        <w:pStyle w:val="BodyText"/>
        <w:rPr>
          <w:rFonts w:ascii="Palatino Linotype"/>
          <w:b/>
          <w:sz w:val="20"/>
        </w:rPr>
      </w:pPr>
    </w:p>
    <w:p>
      <w:pPr>
        <w:pStyle w:val="BodyText"/>
        <w:spacing w:before="13"/>
        <w:rPr>
          <w:rFonts w:ascii="Palatino Linotype"/>
          <w:b/>
        </w:rPr>
      </w:pPr>
    </w:p>
    <w:p>
      <w:pPr>
        <w:pStyle w:val="Heading5"/>
        <w:tabs>
          <w:tab w:pos="8726" w:val="left" w:leader="none"/>
        </w:tabs>
        <w:spacing w:before="57"/>
        <w:ind w:left="3243"/>
        <w:rPr>
          <w:sz w:val="20"/>
        </w:rPr>
      </w:pPr>
      <w:r>
        <w:rPr>
          <w:color w:val="231F1F"/>
          <w:w w:val="105"/>
        </w:rPr>
        <w:t>Presentación</w:t>
      </w:r>
      <w:r>
        <w:rPr>
          <w:color w:val="231F1F"/>
          <w:w w:val="105"/>
          <w:sz w:val="20"/>
        </w:rPr>
        <w:tab/>
        <w:t>XI</w:t>
      </w:r>
    </w:p>
    <w:p>
      <w:pPr>
        <w:tabs>
          <w:tab w:pos="8653" w:val="left" w:leader="none"/>
        </w:tabs>
        <w:spacing w:before="165"/>
        <w:ind w:left="3243" w:right="0" w:firstLine="0"/>
        <w:jc w:val="left"/>
        <w:rPr>
          <w:sz w:val="20"/>
        </w:rPr>
      </w:pPr>
      <w:r>
        <w:rPr>
          <w:color w:val="231F1F"/>
          <w:sz w:val="24"/>
        </w:rPr>
        <w:t>Introducción</w:t>
      </w:r>
      <w:r>
        <w:rPr>
          <w:color w:val="231F1F"/>
          <w:sz w:val="20"/>
        </w:rPr>
        <w:tab/>
        <w:t>XIII</w:t>
      </w:r>
    </w:p>
    <w:p>
      <w:pPr>
        <w:spacing w:after="0"/>
        <w:jc w:val="left"/>
        <w:rPr>
          <w:sz w:val="20"/>
        </w:rPr>
        <w:sectPr>
          <w:pgSz w:w="13100" w:h="17920"/>
          <w:pgMar w:top="1680" w:bottom="280" w:left="1860" w:right="1860"/>
        </w:sectPr>
      </w:pPr>
    </w:p>
    <w:p>
      <w:pPr>
        <w:spacing w:before="446"/>
        <w:ind w:left="0" w:right="0" w:firstLine="0"/>
        <w:jc w:val="right"/>
        <w:rPr>
          <w:sz w:val="20"/>
        </w:rPr>
      </w:pPr>
      <w:r>
        <w:rPr/>
        <w:pict>
          <v:group style="position:absolute;margin-left:0pt;margin-top:0pt;width:654.85pt;height:895.75pt;mso-position-horizontal-relative:page;mso-position-vertical-relative:page;z-index:-75160" coordorigin="0,0" coordsize="13097,17915">
            <v:shape style="position:absolute;left:0;top:0;width:184;height:17915" type="#_x0000_t75" stroked="false">
              <v:imagedata r:id="rId24" o:title=""/>
            </v:shape>
            <v:rect style="position:absolute;left:170;top:6;width:12926;height:17909" filled="true" fillcolor="#ffffef" stroked="false">
              <v:fill type="solid"/>
            </v:rect>
            <w10:wrap type="none"/>
          </v:group>
        </w:pict>
      </w:r>
      <w:r>
        <w:rPr>
          <w:color w:val="4F3628"/>
          <w:w w:val="105"/>
          <w:sz w:val="20"/>
        </w:rPr>
        <w:t>Primera parte:</w:t>
      </w:r>
    </w:p>
    <w:p>
      <w:pPr>
        <w:spacing w:line="312" w:lineRule="auto" w:before="162"/>
        <w:ind w:left="1435" w:right="8" w:hanging="299"/>
        <w:jc w:val="right"/>
        <w:rPr>
          <w:rFonts w:ascii="Times New Roman" w:hAnsi="Times New Roman"/>
          <w:sz w:val="19"/>
        </w:rPr>
      </w:pPr>
      <w:r>
        <w:rPr>
          <w:rFonts w:ascii="Times New Roman" w:hAnsi="Times New Roman"/>
          <w:color w:val="4F3628"/>
          <w:w w:val="145"/>
          <w:sz w:val="28"/>
        </w:rPr>
        <w:t>L</w:t>
      </w:r>
      <w:r>
        <w:rPr>
          <w:rFonts w:ascii="Times New Roman" w:hAnsi="Times New Roman"/>
          <w:color w:val="4F3628"/>
          <w:w w:val="145"/>
          <w:sz w:val="19"/>
        </w:rPr>
        <w:t>a insurgencia</w:t>
      </w:r>
      <w:r>
        <w:rPr>
          <w:rFonts w:ascii="Times New Roman" w:hAnsi="Times New Roman"/>
          <w:color w:val="4F3628"/>
          <w:w w:val="174"/>
          <w:sz w:val="19"/>
        </w:rPr>
        <w:t> </w:t>
      </w:r>
      <w:r>
        <w:rPr>
          <w:rFonts w:ascii="Times New Roman" w:hAnsi="Times New Roman"/>
          <w:color w:val="4F3628"/>
          <w:w w:val="145"/>
          <w:sz w:val="19"/>
        </w:rPr>
        <w:t>de  La nación</w:t>
      </w:r>
    </w:p>
    <w:p>
      <w:pPr>
        <w:pStyle w:val="BodyText"/>
        <w:rPr>
          <w:rFonts w:ascii="Times New Roman"/>
          <w:sz w:val="40"/>
        </w:rPr>
      </w:pPr>
      <w:r>
        <w:rPr/>
        <w:br w:type="column"/>
      </w:r>
      <w:r>
        <w:rPr>
          <w:rFonts w:ascii="Times New Roman"/>
          <w:sz w:val="40"/>
        </w:rPr>
      </w:r>
    </w:p>
    <w:p>
      <w:pPr>
        <w:pStyle w:val="Heading1"/>
        <w:spacing w:before="339"/>
        <w:ind w:left="190"/>
      </w:pPr>
      <w:r>
        <w:rPr>
          <w:color w:val="A8483D"/>
          <w:w w:val="99"/>
        </w:rPr>
        <w:t>2</w:t>
      </w:r>
    </w:p>
    <w:p>
      <w:pPr>
        <w:pStyle w:val="Heading5"/>
        <w:spacing w:line="288" w:lineRule="exact" w:before="171"/>
        <w:ind w:left="190" w:right="542"/>
      </w:pPr>
      <w:r>
        <w:rPr>
          <w:color w:val="231F1F"/>
          <w:w w:val="105"/>
        </w:rPr>
        <w:t>Una nación independiente, una nación inalienable: Morelos frente al rey español</w:t>
      </w:r>
    </w:p>
    <w:p>
      <w:pPr>
        <w:pStyle w:val="BodyText"/>
        <w:spacing w:before="167"/>
        <w:ind w:left="190" w:right="542"/>
      </w:pPr>
      <w:r>
        <w:rPr>
          <w:color w:val="231F1F"/>
        </w:rPr>
        <w:t>Alfredo  Ávila (</w:t>
      </w:r>
      <w:r>
        <w:rPr>
          <w:color w:val="231F1F"/>
          <w:sz w:val="16"/>
        </w:rPr>
        <w:t>UNAM</w:t>
      </w:r>
      <w:r>
        <w:rPr>
          <w:color w:val="231F1F"/>
        </w:rPr>
        <w:t>)</w:t>
      </w:r>
    </w:p>
    <w:p>
      <w:pPr>
        <w:pStyle w:val="BodyText"/>
        <w:spacing w:before="9"/>
        <w:rPr>
          <w:sz w:val="28"/>
        </w:rPr>
      </w:pPr>
    </w:p>
    <w:p>
      <w:pPr>
        <w:pStyle w:val="Heading1"/>
        <w:ind w:left="190" w:right="542"/>
      </w:pPr>
      <w:r>
        <w:rPr>
          <w:color w:val="A8483D"/>
        </w:rPr>
        <w:t>30</w:t>
      </w:r>
    </w:p>
    <w:p>
      <w:pPr>
        <w:pStyle w:val="Heading5"/>
        <w:ind w:left="190" w:right="542"/>
      </w:pPr>
      <w:r>
        <w:rPr>
          <w:color w:val="231F1F"/>
          <w:w w:val="105"/>
        </w:rPr>
        <w:t>Morelos y la Suprema</w:t>
      </w:r>
      <w:r>
        <w:rPr>
          <w:color w:val="231F1F"/>
          <w:spacing w:val="52"/>
          <w:w w:val="105"/>
        </w:rPr>
        <w:t> </w:t>
      </w:r>
      <w:r>
        <w:rPr>
          <w:color w:val="231F1F"/>
          <w:w w:val="105"/>
        </w:rPr>
        <w:t>Junta</w:t>
      </w:r>
    </w:p>
    <w:p>
      <w:pPr>
        <w:pStyle w:val="BodyText"/>
        <w:spacing w:before="160"/>
        <w:ind w:left="190" w:right="542"/>
      </w:pPr>
      <w:r>
        <w:rPr>
          <w:color w:val="231F1F"/>
          <w:w w:val="105"/>
        </w:rPr>
        <w:t>Moisés Guzmán Pérez (</w:t>
      </w:r>
      <w:r>
        <w:rPr>
          <w:color w:val="231F1F"/>
          <w:w w:val="105"/>
          <w:sz w:val="16"/>
        </w:rPr>
        <w:t>UMSNH</w:t>
      </w:r>
      <w:r>
        <w:rPr>
          <w:color w:val="231F1F"/>
          <w:w w:val="105"/>
        </w:rPr>
        <w:t>)</w:t>
      </w:r>
    </w:p>
    <w:p>
      <w:pPr>
        <w:pStyle w:val="BodyText"/>
        <w:spacing w:before="9"/>
        <w:rPr>
          <w:sz w:val="28"/>
        </w:rPr>
      </w:pPr>
    </w:p>
    <w:p>
      <w:pPr>
        <w:pStyle w:val="Heading1"/>
        <w:ind w:left="190" w:right="542"/>
      </w:pPr>
      <w:r>
        <w:rPr>
          <w:color w:val="A8483D"/>
        </w:rPr>
        <w:t>64</w:t>
      </w:r>
    </w:p>
    <w:p>
      <w:pPr>
        <w:pStyle w:val="Heading5"/>
        <w:spacing w:line="288" w:lineRule="exact" w:before="171"/>
        <w:ind w:left="190" w:right="542"/>
      </w:pPr>
      <w:r>
        <w:rPr>
          <w:color w:val="231F1F"/>
          <w:w w:val="105"/>
        </w:rPr>
        <w:t>La moneda emitida por el Generalísimo José María Morelos y Pavón</w:t>
      </w:r>
    </w:p>
    <w:p>
      <w:pPr>
        <w:pStyle w:val="BodyText"/>
        <w:spacing w:before="106"/>
        <w:ind w:left="190" w:right="542"/>
        <w:rPr>
          <w:sz w:val="18"/>
        </w:rPr>
      </w:pPr>
      <w:r>
        <w:rPr>
          <w:color w:val="231F1F"/>
          <w:w w:val="105"/>
        </w:rPr>
        <w:t>Los vientos de Guerra del  </w:t>
      </w:r>
      <w:r>
        <w:rPr>
          <w:color w:val="231F1F"/>
          <w:w w:val="105"/>
          <w:sz w:val="18"/>
        </w:rPr>
        <w:t>SUD</w:t>
      </w:r>
    </w:p>
    <w:p>
      <w:pPr>
        <w:pStyle w:val="BodyText"/>
        <w:spacing w:before="165"/>
        <w:ind w:left="190" w:right="542"/>
      </w:pPr>
      <w:r>
        <w:rPr>
          <w:color w:val="231F1F"/>
        </w:rPr>
        <w:t>Luis  Gómez  Wulschner (</w:t>
      </w:r>
      <w:r>
        <w:rPr>
          <w:color w:val="231F1F"/>
          <w:sz w:val="16"/>
        </w:rPr>
        <w:t>SNM</w:t>
      </w:r>
      <w:r>
        <w:rPr>
          <w:color w:val="231F1F"/>
        </w:rPr>
        <w:t>)</w:t>
      </w:r>
    </w:p>
    <w:p>
      <w:pPr>
        <w:pStyle w:val="BodyText"/>
        <w:spacing w:before="9"/>
        <w:rPr>
          <w:sz w:val="28"/>
        </w:rPr>
      </w:pPr>
    </w:p>
    <w:p>
      <w:pPr>
        <w:pStyle w:val="Heading1"/>
        <w:ind w:left="190" w:right="542"/>
      </w:pPr>
      <w:r>
        <w:rPr>
          <w:color w:val="A8483D"/>
        </w:rPr>
        <w:t>96</w:t>
      </w:r>
    </w:p>
    <w:p>
      <w:pPr>
        <w:pStyle w:val="Heading5"/>
        <w:ind w:left="190" w:right="542"/>
      </w:pPr>
      <w:r>
        <w:rPr>
          <w:color w:val="231F1F"/>
          <w:w w:val="105"/>
        </w:rPr>
        <w:t>Los pueblos de indios en el pensamiento de  Morelos</w:t>
      </w:r>
    </w:p>
    <w:p>
      <w:pPr>
        <w:pStyle w:val="BodyText"/>
        <w:spacing w:before="160"/>
        <w:ind w:left="190" w:right="542"/>
      </w:pPr>
      <w:r>
        <w:rPr>
          <w:color w:val="231F1F"/>
          <w:w w:val="105"/>
        </w:rPr>
        <w:t>René García Castro (</w:t>
      </w:r>
      <w:r>
        <w:rPr>
          <w:color w:val="231F1F"/>
          <w:w w:val="105"/>
          <w:sz w:val="16"/>
        </w:rPr>
        <w:t>UAEM</w:t>
      </w:r>
      <w:r>
        <w:rPr>
          <w:color w:val="231F1F"/>
          <w:w w:val="105"/>
        </w:rPr>
        <w:t>)</w:t>
      </w:r>
    </w:p>
    <w:p>
      <w:pPr>
        <w:pStyle w:val="BodyText"/>
        <w:spacing w:before="9"/>
        <w:rPr>
          <w:sz w:val="28"/>
        </w:rPr>
      </w:pPr>
    </w:p>
    <w:p>
      <w:pPr>
        <w:pStyle w:val="Heading1"/>
        <w:ind w:left="190" w:right="542"/>
      </w:pPr>
      <w:r>
        <w:rPr>
          <w:color w:val="A8483D"/>
        </w:rPr>
        <w:t>136</w:t>
      </w:r>
    </w:p>
    <w:p>
      <w:pPr>
        <w:pStyle w:val="Heading5"/>
        <w:spacing w:line="288" w:lineRule="exact" w:before="171"/>
        <w:ind w:left="190" w:right="542"/>
      </w:pPr>
      <w:r>
        <w:rPr>
          <w:color w:val="231F1F"/>
          <w:w w:val="105"/>
        </w:rPr>
        <w:t>Relación de Fray José María Salazar sobre la prisión y   el suplicio de</w:t>
      </w:r>
      <w:r>
        <w:rPr>
          <w:color w:val="231F1F"/>
          <w:spacing w:val="49"/>
          <w:w w:val="105"/>
        </w:rPr>
        <w:t> </w:t>
      </w:r>
      <w:r>
        <w:rPr>
          <w:color w:val="231F1F"/>
          <w:w w:val="105"/>
        </w:rPr>
        <w:t>Morelos</w:t>
      </w:r>
    </w:p>
    <w:p>
      <w:pPr>
        <w:spacing w:before="167"/>
        <w:ind w:left="190" w:right="542" w:firstLine="0"/>
        <w:jc w:val="left"/>
        <w:rPr>
          <w:sz w:val="22"/>
        </w:rPr>
      </w:pPr>
      <w:r>
        <w:rPr>
          <w:color w:val="231F1F"/>
          <w:w w:val="105"/>
          <w:sz w:val="22"/>
        </w:rPr>
        <w:t>Carlos Herrejón Peredo (</w:t>
      </w:r>
      <w:r>
        <w:rPr>
          <w:color w:val="231F1F"/>
          <w:w w:val="105"/>
          <w:sz w:val="16"/>
        </w:rPr>
        <w:t>COLMICH</w:t>
      </w:r>
      <w:r>
        <w:rPr>
          <w:color w:val="231F1F"/>
          <w:w w:val="105"/>
          <w:sz w:val="22"/>
        </w:rPr>
        <w:t>)</w:t>
      </w:r>
    </w:p>
    <w:p>
      <w:pPr>
        <w:pStyle w:val="BodyText"/>
      </w:pPr>
    </w:p>
    <w:p>
      <w:pPr>
        <w:pStyle w:val="BodyText"/>
        <w:spacing w:before="8"/>
        <w:rPr>
          <w:sz w:val="20"/>
        </w:rPr>
      </w:pPr>
    </w:p>
    <w:p>
      <w:pPr>
        <w:pStyle w:val="Heading1"/>
        <w:ind w:left="190" w:right="542"/>
      </w:pPr>
      <w:r>
        <w:rPr>
          <w:color w:val="A8483D"/>
        </w:rPr>
        <w:t>173</w:t>
      </w:r>
    </w:p>
    <w:p>
      <w:pPr>
        <w:pStyle w:val="Heading5"/>
        <w:ind w:left="190"/>
      </w:pPr>
      <w:r>
        <w:rPr>
          <w:color w:val="231F1F"/>
          <w:w w:val="105"/>
        </w:rPr>
        <w:t>Monedas y billetes con la imagen de José María Morelos</w:t>
      </w:r>
    </w:p>
    <w:p>
      <w:pPr>
        <w:spacing w:after="0"/>
        <w:sectPr>
          <w:type w:val="continuous"/>
          <w:pgSz w:w="13100" w:h="17920"/>
          <w:pgMar w:top="0" w:bottom="0" w:left="1860" w:right="1860"/>
          <w:cols w:num="2" w:equalWidth="0">
            <w:col w:w="3013" w:space="40"/>
            <w:col w:w="6327"/>
          </w:cols>
        </w:sectPr>
      </w:pPr>
    </w:p>
    <w:p>
      <w:pPr>
        <w:pStyle w:val="BodyText"/>
        <w:spacing w:before="3"/>
        <w:rPr>
          <w:sz w:val="20"/>
        </w:rPr>
      </w:pPr>
    </w:p>
    <w:p>
      <w:pPr>
        <w:spacing w:after="0"/>
        <w:rPr>
          <w:sz w:val="20"/>
        </w:rPr>
        <w:sectPr>
          <w:pgSz w:w="13100" w:h="17920"/>
          <w:pgMar w:top="1700" w:bottom="280" w:left="1860" w:right="1620"/>
        </w:sectPr>
      </w:pPr>
    </w:p>
    <w:p>
      <w:pPr>
        <w:spacing w:before="64"/>
        <w:ind w:left="1793" w:right="-2" w:firstLine="185"/>
        <w:jc w:val="left"/>
        <w:rPr>
          <w:sz w:val="20"/>
        </w:rPr>
      </w:pPr>
      <w:r>
        <w:rPr/>
        <w:pict>
          <v:rect style="position:absolute;margin-left:1.248pt;margin-top:1.416986pt;width:645.051pt;height:894.331pt;mso-position-horizontal-relative:page;mso-position-vertical-relative:page;z-index:-75136" filled="true" fillcolor="#ffffef" stroked="false">
            <v:fill type="solid"/>
            <w10:wrap type="none"/>
          </v:rect>
        </w:pict>
      </w:r>
      <w:r>
        <w:rPr>
          <w:color w:val="4F3628"/>
          <w:w w:val="105"/>
          <w:sz w:val="20"/>
        </w:rPr>
        <w:t>Segunda  parte:</w:t>
      </w:r>
    </w:p>
    <w:p>
      <w:pPr>
        <w:spacing w:line="312" w:lineRule="auto" w:before="162"/>
        <w:ind w:left="1048" w:right="-2" w:firstLine="744"/>
        <w:jc w:val="left"/>
        <w:rPr>
          <w:rFonts w:ascii="Times New Roman"/>
          <w:sz w:val="19"/>
        </w:rPr>
      </w:pPr>
      <w:r>
        <w:rPr>
          <w:rFonts w:ascii="Times New Roman"/>
          <w:color w:val="4F3628"/>
          <w:spacing w:val="2"/>
          <w:w w:val="133"/>
          <w:sz w:val="28"/>
        </w:rPr>
        <w:t>m</w:t>
      </w:r>
      <w:r>
        <w:rPr>
          <w:rFonts w:ascii="Times New Roman"/>
          <w:color w:val="4F3628"/>
          <w:spacing w:val="6"/>
          <w:w w:val="180"/>
          <w:sz w:val="19"/>
        </w:rPr>
        <w:t>o</w:t>
      </w:r>
      <w:r>
        <w:rPr>
          <w:rFonts w:ascii="Times New Roman"/>
          <w:color w:val="4F3628"/>
          <w:spacing w:val="6"/>
          <w:w w:val="206"/>
          <w:sz w:val="19"/>
        </w:rPr>
        <w:t>r</w:t>
      </w:r>
      <w:r>
        <w:rPr>
          <w:rFonts w:ascii="Times New Roman"/>
          <w:color w:val="4F3628"/>
          <w:spacing w:val="11"/>
          <w:w w:val="121"/>
          <w:sz w:val="19"/>
        </w:rPr>
        <w:t>e</w:t>
      </w:r>
      <w:r>
        <w:rPr>
          <w:rFonts w:ascii="Times New Roman"/>
          <w:color w:val="4F3628"/>
          <w:spacing w:val="-2"/>
          <w:w w:val="91"/>
          <w:sz w:val="19"/>
        </w:rPr>
        <w:t>L</w:t>
      </w:r>
      <w:r>
        <w:rPr>
          <w:rFonts w:ascii="Times New Roman"/>
          <w:color w:val="4F3628"/>
          <w:spacing w:val="6"/>
          <w:w w:val="180"/>
          <w:sz w:val="19"/>
        </w:rPr>
        <w:t>o</w:t>
      </w:r>
      <w:r>
        <w:rPr>
          <w:rFonts w:ascii="Times New Roman"/>
          <w:color w:val="4F3628"/>
          <w:w w:val="148"/>
          <w:sz w:val="19"/>
        </w:rPr>
        <w:t>s</w:t>
      </w:r>
      <w:r>
        <w:rPr>
          <w:rFonts w:ascii="Times New Roman"/>
          <w:color w:val="4F3628"/>
          <w:sz w:val="19"/>
        </w:rPr>
        <w:t> </w:t>
      </w:r>
      <w:r>
        <w:rPr>
          <w:rFonts w:ascii="Times New Roman"/>
          <w:color w:val="4F3628"/>
          <w:spacing w:val="-14"/>
          <w:sz w:val="19"/>
        </w:rPr>
        <w:t> </w:t>
      </w:r>
      <w:r>
        <w:rPr>
          <w:rFonts w:ascii="Times New Roman"/>
          <w:color w:val="4F3628"/>
          <w:w w:val="128"/>
          <w:sz w:val="19"/>
        </w:rPr>
        <w:t>y</w:t>
      </w:r>
      <w:r>
        <w:rPr>
          <w:rFonts w:ascii="Times New Roman"/>
          <w:color w:val="4F3628"/>
          <w:sz w:val="19"/>
        </w:rPr>
        <w:t> </w:t>
      </w:r>
      <w:r>
        <w:rPr>
          <w:rFonts w:ascii="Times New Roman"/>
          <w:color w:val="4F3628"/>
          <w:spacing w:val="-14"/>
          <w:sz w:val="19"/>
        </w:rPr>
        <w:t> </w:t>
      </w:r>
      <w:r>
        <w:rPr>
          <w:rFonts w:ascii="Times New Roman"/>
          <w:color w:val="4F3628"/>
          <w:spacing w:val="6"/>
          <w:w w:val="91"/>
          <w:sz w:val="19"/>
        </w:rPr>
        <w:t>L</w:t>
      </w:r>
      <w:r>
        <w:rPr>
          <w:rFonts w:ascii="Times New Roman"/>
          <w:color w:val="4F3628"/>
          <w:w w:val="174"/>
          <w:sz w:val="19"/>
        </w:rPr>
        <w:t>a </w:t>
      </w:r>
      <w:r>
        <w:rPr>
          <w:rFonts w:ascii="Times New Roman"/>
          <w:color w:val="4F3628"/>
          <w:spacing w:val="11"/>
          <w:w w:val="116"/>
          <w:sz w:val="19"/>
        </w:rPr>
        <w:t>i</w:t>
      </w:r>
      <w:r>
        <w:rPr>
          <w:rFonts w:ascii="Times New Roman"/>
          <w:color w:val="4F3628"/>
          <w:spacing w:val="6"/>
          <w:w w:val="159"/>
          <w:sz w:val="19"/>
        </w:rPr>
        <w:t>d</w:t>
      </w:r>
      <w:r>
        <w:rPr>
          <w:rFonts w:ascii="Times New Roman"/>
          <w:color w:val="4F3628"/>
          <w:spacing w:val="11"/>
          <w:w w:val="121"/>
          <w:sz w:val="19"/>
        </w:rPr>
        <w:t>e</w:t>
      </w:r>
      <w:r>
        <w:rPr>
          <w:rFonts w:ascii="Times New Roman"/>
          <w:color w:val="4F3628"/>
          <w:spacing w:val="2"/>
          <w:w w:val="184"/>
          <w:sz w:val="19"/>
        </w:rPr>
        <w:t>n</w:t>
      </w:r>
      <w:r>
        <w:rPr>
          <w:rFonts w:ascii="Times New Roman"/>
          <w:color w:val="4F3628"/>
          <w:spacing w:val="6"/>
          <w:w w:val="216"/>
          <w:sz w:val="19"/>
        </w:rPr>
        <w:t>t</w:t>
      </w:r>
      <w:r>
        <w:rPr>
          <w:rFonts w:ascii="Times New Roman"/>
          <w:color w:val="4F3628"/>
          <w:spacing w:val="11"/>
          <w:w w:val="116"/>
          <w:sz w:val="19"/>
        </w:rPr>
        <w:t>i</w:t>
      </w:r>
      <w:r>
        <w:rPr>
          <w:rFonts w:ascii="Times New Roman"/>
          <w:color w:val="4F3628"/>
          <w:spacing w:val="-2"/>
          <w:w w:val="159"/>
          <w:sz w:val="19"/>
        </w:rPr>
        <w:t>d</w:t>
      </w:r>
      <w:r>
        <w:rPr>
          <w:rFonts w:ascii="Times New Roman"/>
          <w:color w:val="4F3628"/>
          <w:spacing w:val="6"/>
          <w:w w:val="174"/>
          <w:sz w:val="19"/>
        </w:rPr>
        <w:t>a</w:t>
      </w:r>
      <w:r>
        <w:rPr>
          <w:rFonts w:ascii="Times New Roman"/>
          <w:color w:val="4F3628"/>
          <w:w w:val="159"/>
          <w:sz w:val="19"/>
        </w:rPr>
        <w:t>d</w:t>
      </w:r>
      <w:r>
        <w:rPr>
          <w:rFonts w:ascii="Times New Roman"/>
          <w:color w:val="4F3628"/>
          <w:sz w:val="19"/>
        </w:rPr>
        <w:t> </w:t>
      </w:r>
      <w:r>
        <w:rPr>
          <w:rFonts w:ascii="Times New Roman"/>
          <w:color w:val="4F3628"/>
          <w:spacing w:val="-14"/>
          <w:sz w:val="19"/>
        </w:rPr>
        <w:t> </w:t>
      </w:r>
      <w:r>
        <w:rPr>
          <w:rFonts w:ascii="Times New Roman"/>
          <w:color w:val="4F3628"/>
          <w:spacing w:val="2"/>
          <w:w w:val="184"/>
          <w:sz w:val="19"/>
        </w:rPr>
        <w:t>n</w:t>
      </w:r>
      <w:r>
        <w:rPr>
          <w:rFonts w:ascii="Times New Roman"/>
          <w:color w:val="4F3628"/>
          <w:spacing w:val="2"/>
          <w:w w:val="174"/>
          <w:sz w:val="19"/>
        </w:rPr>
        <w:t>a</w:t>
      </w:r>
      <w:r>
        <w:rPr>
          <w:rFonts w:ascii="Times New Roman"/>
          <w:color w:val="4F3628"/>
          <w:spacing w:val="11"/>
          <w:w w:val="155"/>
          <w:sz w:val="19"/>
        </w:rPr>
        <w:t>c</w:t>
      </w:r>
      <w:r>
        <w:rPr>
          <w:rFonts w:ascii="Times New Roman"/>
          <w:color w:val="4F3628"/>
          <w:spacing w:val="6"/>
          <w:w w:val="116"/>
          <w:sz w:val="19"/>
        </w:rPr>
        <w:t>i</w:t>
      </w:r>
      <w:r>
        <w:rPr>
          <w:rFonts w:ascii="Times New Roman"/>
          <w:color w:val="4F3628"/>
          <w:spacing w:val="6"/>
          <w:w w:val="180"/>
          <w:sz w:val="19"/>
        </w:rPr>
        <w:t>o</w:t>
      </w:r>
      <w:r>
        <w:rPr>
          <w:rFonts w:ascii="Times New Roman"/>
          <w:color w:val="4F3628"/>
          <w:spacing w:val="2"/>
          <w:w w:val="184"/>
          <w:sz w:val="19"/>
        </w:rPr>
        <w:t>n</w:t>
      </w:r>
      <w:r>
        <w:rPr>
          <w:rFonts w:ascii="Times New Roman"/>
          <w:color w:val="4F3628"/>
          <w:spacing w:val="6"/>
          <w:w w:val="174"/>
          <w:sz w:val="19"/>
        </w:rPr>
        <w:t>a</w:t>
      </w:r>
      <w:r>
        <w:rPr>
          <w:rFonts w:ascii="Times New Roman"/>
          <w:color w:val="4F3628"/>
          <w:w w:val="91"/>
          <w:sz w:val="19"/>
        </w:rPr>
        <w:t>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spacing w:before="0"/>
        <w:ind w:left="2166" w:right="51" w:firstLine="0"/>
        <w:jc w:val="center"/>
        <w:rPr>
          <w:sz w:val="20"/>
        </w:rPr>
      </w:pPr>
      <w:r>
        <w:rPr>
          <w:color w:val="4F3628"/>
          <w:w w:val="105"/>
          <w:sz w:val="20"/>
        </w:rPr>
        <w:t>Tercera parte:</w:t>
      </w:r>
    </w:p>
    <w:p>
      <w:pPr>
        <w:spacing w:before="162"/>
        <w:ind w:left="1986" w:right="-2" w:firstLine="0"/>
        <w:jc w:val="left"/>
        <w:rPr>
          <w:rFonts w:ascii="Times New Roman" w:hAnsi="Times New Roman"/>
          <w:sz w:val="19"/>
        </w:rPr>
      </w:pPr>
      <w:r>
        <w:rPr>
          <w:rFonts w:ascii="Times New Roman" w:hAnsi="Times New Roman"/>
          <w:color w:val="4F3628"/>
          <w:w w:val="150"/>
          <w:sz w:val="28"/>
        </w:rPr>
        <w:t>d</w:t>
      </w:r>
      <w:r>
        <w:rPr>
          <w:rFonts w:ascii="Times New Roman" w:hAnsi="Times New Roman"/>
          <w:color w:val="4F3628"/>
          <w:w w:val="150"/>
          <w:sz w:val="19"/>
        </w:rPr>
        <w:t>escripción</w:t>
      </w:r>
    </w:p>
    <w:p>
      <w:pPr>
        <w:spacing w:before="98"/>
        <w:ind w:left="1943" w:right="-3" w:firstLine="0"/>
        <w:jc w:val="left"/>
        <w:rPr>
          <w:rFonts w:ascii="Times New Roman"/>
          <w:sz w:val="19"/>
        </w:rPr>
      </w:pPr>
      <w:r>
        <w:rPr>
          <w:rFonts w:ascii="Times New Roman"/>
          <w:color w:val="4F3628"/>
          <w:spacing w:val="11"/>
          <w:w w:val="159"/>
          <w:sz w:val="19"/>
        </w:rPr>
        <w:t>d</w:t>
      </w:r>
      <w:r>
        <w:rPr>
          <w:rFonts w:ascii="Times New Roman"/>
          <w:color w:val="4F3628"/>
          <w:spacing w:val="11"/>
          <w:w w:val="180"/>
          <w:sz w:val="19"/>
        </w:rPr>
        <w:t>o</w:t>
      </w:r>
      <w:r>
        <w:rPr>
          <w:rFonts w:ascii="Times New Roman"/>
          <w:color w:val="4F3628"/>
          <w:spacing w:val="11"/>
          <w:w w:val="155"/>
          <w:sz w:val="19"/>
        </w:rPr>
        <w:t>c</w:t>
      </w:r>
      <w:r>
        <w:rPr>
          <w:rFonts w:ascii="Times New Roman"/>
          <w:color w:val="4F3628"/>
          <w:spacing w:val="11"/>
          <w:w w:val="154"/>
          <w:sz w:val="19"/>
        </w:rPr>
        <w:t>u</w:t>
      </w:r>
      <w:r>
        <w:rPr>
          <w:rFonts w:ascii="Times New Roman"/>
          <w:color w:val="4F3628"/>
          <w:spacing w:val="11"/>
          <w:w w:val="138"/>
          <w:sz w:val="19"/>
        </w:rPr>
        <w:t>m</w:t>
      </w:r>
      <w:r>
        <w:rPr>
          <w:rFonts w:ascii="Times New Roman"/>
          <w:color w:val="4F3628"/>
          <w:spacing w:val="11"/>
          <w:w w:val="121"/>
          <w:sz w:val="19"/>
        </w:rPr>
        <w:t>e</w:t>
      </w:r>
      <w:r>
        <w:rPr>
          <w:rFonts w:ascii="Times New Roman"/>
          <w:color w:val="4F3628"/>
          <w:spacing w:val="2"/>
          <w:w w:val="184"/>
          <w:sz w:val="19"/>
        </w:rPr>
        <w:t>n</w:t>
      </w:r>
      <w:r>
        <w:rPr>
          <w:rFonts w:ascii="Times New Roman"/>
          <w:color w:val="4F3628"/>
          <w:spacing w:val="-18"/>
          <w:w w:val="216"/>
          <w:sz w:val="19"/>
        </w:rPr>
        <w:t>t</w:t>
      </w:r>
      <w:r>
        <w:rPr>
          <w:rFonts w:ascii="Times New Roman"/>
          <w:color w:val="4F3628"/>
          <w:spacing w:val="7"/>
          <w:w w:val="174"/>
          <w:sz w:val="19"/>
        </w:rPr>
        <w:t>a</w:t>
      </w:r>
      <w:r>
        <w:rPr>
          <w:rFonts w:ascii="Times New Roman"/>
          <w:color w:val="4F3628"/>
          <w:w w:val="91"/>
          <w:sz w:val="19"/>
        </w:rPr>
        <w:t>L</w:t>
      </w:r>
    </w:p>
    <w:p>
      <w:pPr>
        <w:pStyle w:val="BodyText"/>
        <w:spacing w:before="6"/>
        <w:rPr>
          <w:rFonts w:ascii="Times New Roman"/>
          <w:sz w:val="35"/>
        </w:rPr>
      </w:pPr>
      <w:r>
        <w:rPr/>
        <w:br w:type="column"/>
      </w:r>
      <w:r>
        <w:rPr>
          <w:rFonts w:ascii="Times New Roman"/>
          <w:sz w:val="35"/>
        </w:rPr>
      </w:r>
    </w:p>
    <w:p>
      <w:pPr>
        <w:pStyle w:val="Heading1"/>
      </w:pPr>
      <w:r>
        <w:rPr>
          <w:color w:val="A8483D"/>
        </w:rPr>
        <w:t>180</w:t>
      </w:r>
    </w:p>
    <w:p>
      <w:pPr>
        <w:pStyle w:val="Heading5"/>
        <w:rPr>
          <w:sz w:val="22"/>
        </w:rPr>
      </w:pPr>
      <w:r>
        <w:rPr>
          <w:color w:val="231F1F"/>
          <w:w w:val="105"/>
        </w:rPr>
        <w:t>Discursos patrios septembrinos en Toluca,    </w:t>
      </w:r>
      <w:r>
        <w:rPr>
          <w:color w:val="231F1F"/>
          <w:w w:val="105"/>
          <w:sz w:val="22"/>
        </w:rPr>
        <w:t>1830-1862</w:t>
      </w:r>
    </w:p>
    <w:p>
      <w:pPr>
        <w:pStyle w:val="BodyText"/>
        <w:spacing w:before="160"/>
        <w:ind w:left="332"/>
      </w:pPr>
      <w:r>
        <w:rPr>
          <w:color w:val="231F1F"/>
          <w:w w:val="105"/>
        </w:rPr>
        <w:t>Pedro Canales Guerrero y Edgar Salgado  Enríquez</w:t>
      </w:r>
    </w:p>
    <w:p>
      <w:pPr>
        <w:spacing w:before="33"/>
        <w:ind w:left="332" w:right="0" w:firstLine="0"/>
        <w:jc w:val="left"/>
        <w:rPr>
          <w:sz w:val="18"/>
        </w:rPr>
      </w:pPr>
      <w:r>
        <w:rPr>
          <w:color w:val="231F1F"/>
          <w:w w:val="105"/>
          <w:sz w:val="18"/>
        </w:rPr>
        <w:t>Con  la  colaboración de</w:t>
      </w:r>
    </w:p>
    <w:p>
      <w:pPr>
        <w:pStyle w:val="BodyText"/>
        <w:spacing w:before="6"/>
        <w:ind w:left="332"/>
      </w:pPr>
      <w:r>
        <w:rPr>
          <w:color w:val="231F1F"/>
        </w:rPr>
        <w:t>Carlos  César  Martínez  Juárez (</w:t>
      </w:r>
      <w:r>
        <w:rPr>
          <w:color w:val="231F1F"/>
          <w:sz w:val="16"/>
        </w:rPr>
        <w:t>UAEM</w:t>
      </w:r>
      <w:r>
        <w:rPr>
          <w:color w:val="231F1F"/>
        </w:rPr>
        <w:t>)</w:t>
      </w:r>
    </w:p>
    <w:p>
      <w:pPr>
        <w:pStyle w:val="BodyText"/>
        <w:spacing w:before="9"/>
        <w:rPr>
          <w:sz w:val="28"/>
        </w:rPr>
      </w:pPr>
    </w:p>
    <w:p>
      <w:pPr>
        <w:pStyle w:val="Heading1"/>
      </w:pPr>
      <w:r>
        <w:rPr>
          <w:color w:val="A8483D"/>
        </w:rPr>
        <w:t>212</w:t>
      </w:r>
    </w:p>
    <w:p>
      <w:pPr>
        <w:pStyle w:val="Heading5"/>
      </w:pPr>
      <w:r>
        <w:rPr>
          <w:color w:val="231F1F"/>
        </w:rPr>
        <w:t>Los últimos veinte días de Morelos y un documento   falso</w:t>
      </w:r>
    </w:p>
    <w:p>
      <w:pPr>
        <w:spacing w:before="160"/>
        <w:ind w:left="332" w:right="0" w:firstLine="0"/>
        <w:jc w:val="left"/>
        <w:rPr>
          <w:sz w:val="22"/>
        </w:rPr>
      </w:pPr>
      <w:r>
        <w:rPr>
          <w:color w:val="231F1F"/>
          <w:w w:val="105"/>
          <w:sz w:val="22"/>
        </w:rPr>
        <w:t>Carlos Herrejón Peredo (</w:t>
      </w:r>
      <w:r>
        <w:rPr>
          <w:color w:val="231F1F"/>
          <w:w w:val="105"/>
          <w:sz w:val="16"/>
        </w:rPr>
        <w:t>COLMICH</w:t>
      </w:r>
      <w:r>
        <w:rPr>
          <w:color w:val="231F1F"/>
          <w:w w:val="105"/>
          <w:sz w:val="22"/>
        </w:rPr>
        <w:t>)</w:t>
      </w:r>
    </w:p>
    <w:p>
      <w:pPr>
        <w:pStyle w:val="BodyText"/>
        <w:spacing w:before="9"/>
        <w:rPr>
          <w:sz w:val="28"/>
        </w:rPr>
      </w:pPr>
    </w:p>
    <w:p>
      <w:pPr>
        <w:pStyle w:val="Heading1"/>
      </w:pPr>
      <w:r>
        <w:rPr>
          <w:color w:val="A8483D"/>
        </w:rPr>
        <w:t>246</w:t>
      </w:r>
    </w:p>
    <w:p>
      <w:pPr>
        <w:pStyle w:val="Heading5"/>
        <w:spacing w:line="288" w:lineRule="exact" w:before="171"/>
        <w:ind w:right="123"/>
      </w:pPr>
      <w:r>
        <w:rPr>
          <w:color w:val="231F1F"/>
          <w:w w:val="105"/>
        </w:rPr>
        <w:t>Debates patrióticos en torno a reliquias y mascarillas de</w:t>
      </w:r>
      <w:r>
        <w:rPr>
          <w:color w:val="231F1F"/>
          <w:spacing w:val="10"/>
          <w:w w:val="105"/>
        </w:rPr>
        <w:t> </w:t>
      </w:r>
      <w:r>
        <w:rPr>
          <w:color w:val="231F1F"/>
          <w:w w:val="105"/>
        </w:rPr>
        <w:t>Morelos</w:t>
      </w:r>
    </w:p>
    <w:p>
      <w:pPr>
        <w:pStyle w:val="BodyText"/>
        <w:spacing w:before="167"/>
        <w:ind w:left="332"/>
      </w:pPr>
      <w:r>
        <w:rPr>
          <w:color w:val="231F1F"/>
        </w:rPr>
        <w:t>Ana  Lidia  García  Peña  y  Yussel  Arellano  Navarrete (</w:t>
      </w:r>
      <w:r>
        <w:rPr>
          <w:color w:val="231F1F"/>
          <w:sz w:val="16"/>
        </w:rPr>
        <w:t>UAEM</w:t>
      </w:r>
      <w:r>
        <w:rPr>
          <w:color w:val="231F1F"/>
        </w:rPr>
        <w:t>)</w:t>
      </w:r>
    </w:p>
    <w:p>
      <w:pPr>
        <w:pStyle w:val="BodyText"/>
        <w:spacing w:before="9"/>
        <w:rPr>
          <w:sz w:val="28"/>
        </w:rPr>
      </w:pPr>
    </w:p>
    <w:p>
      <w:pPr>
        <w:pStyle w:val="Heading1"/>
      </w:pPr>
      <w:r>
        <w:rPr>
          <w:color w:val="A8483D"/>
        </w:rPr>
        <w:t>277</w:t>
      </w:r>
    </w:p>
    <w:p>
      <w:pPr>
        <w:pStyle w:val="Heading5"/>
      </w:pPr>
      <w:r>
        <w:rPr>
          <w:color w:val="231F1F"/>
        </w:rPr>
        <w:t>Los diferentes rostros de   Morelos</w:t>
      </w:r>
    </w:p>
    <w:p>
      <w:pPr>
        <w:pStyle w:val="BodyText"/>
        <w:rPr>
          <w:sz w:val="24"/>
        </w:rPr>
      </w:pPr>
    </w:p>
    <w:p>
      <w:pPr>
        <w:pStyle w:val="BodyText"/>
        <w:spacing w:before="2"/>
        <w:rPr>
          <w:sz w:val="18"/>
        </w:rPr>
      </w:pPr>
    </w:p>
    <w:p>
      <w:pPr>
        <w:spacing w:before="1"/>
        <w:ind w:left="332" w:right="0" w:firstLine="0"/>
        <w:jc w:val="left"/>
        <w:rPr>
          <w:rFonts w:ascii="Gungsuh"/>
          <w:sz w:val="40"/>
        </w:rPr>
      </w:pPr>
      <w:r>
        <w:rPr>
          <w:rFonts w:ascii="Gungsuh"/>
          <w:color w:val="A8483D"/>
          <w:sz w:val="40"/>
        </w:rPr>
        <w:t>288</w:t>
      </w:r>
    </w:p>
    <w:p>
      <w:pPr>
        <w:spacing w:line="288" w:lineRule="exact" w:before="171"/>
        <w:ind w:left="332" w:right="0" w:firstLine="0"/>
        <w:jc w:val="left"/>
        <w:rPr>
          <w:sz w:val="24"/>
        </w:rPr>
      </w:pPr>
      <w:r>
        <w:rPr>
          <w:color w:val="231F1F"/>
          <w:spacing w:val="6"/>
          <w:w w:val="105"/>
          <w:sz w:val="24"/>
        </w:rPr>
        <w:t>Supercherías </w:t>
      </w:r>
      <w:r>
        <w:rPr>
          <w:color w:val="231F1F"/>
          <w:spacing w:val="3"/>
          <w:w w:val="105"/>
          <w:sz w:val="24"/>
        </w:rPr>
        <w:t>en la </w:t>
      </w:r>
      <w:r>
        <w:rPr>
          <w:color w:val="231F1F"/>
          <w:spacing w:val="6"/>
          <w:w w:val="105"/>
          <w:sz w:val="24"/>
        </w:rPr>
        <w:t>historia </w:t>
      </w:r>
      <w:r>
        <w:rPr>
          <w:color w:val="231F1F"/>
          <w:spacing w:val="3"/>
          <w:w w:val="105"/>
          <w:sz w:val="24"/>
        </w:rPr>
        <w:t>de </w:t>
      </w:r>
      <w:r>
        <w:rPr>
          <w:color w:val="231F1F"/>
          <w:spacing w:val="6"/>
          <w:w w:val="105"/>
          <w:sz w:val="24"/>
        </w:rPr>
        <w:t>Morelos. </w:t>
      </w:r>
      <w:r>
        <w:rPr>
          <w:color w:val="231F1F"/>
          <w:spacing w:val="3"/>
          <w:w w:val="105"/>
          <w:sz w:val="24"/>
        </w:rPr>
        <w:t>La </w:t>
      </w:r>
      <w:r>
        <w:rPr>
          <w:color w:val="231F1F"/>
          <w:spacing w:val="5"/>
          <w:w w:val="105"/>
          <w:sz w:val="24"/>
        </w:rPr>
        <w:t>falsa </w:t>
      </w:r>
      <w:r>
        <w:rPr>
          <w:color w:val="231F1F"/>
          <w:w w:val="105"/>
          <w:sz w:val="24"/>
        </w:rPr>
        <w:t>mascarilla del</w:t>
      </w:r>
      <w:r>
        <w:rPr>
          <w:color w:val="231F1F"/>
          <w:spacing w:val="53"/>
          <w:w w:val="105"/>
          <w:sz w:val="24"/>
        </w:rPr>
        <w:t> </w:t>
      </w:r>
      <w:r>
        <w:rPr>
          <w:color w:val="231F1F"/>
          <w:w w:val="105"/>
          <w:sz w:val="24"/>
        </w:rPr>
        <w:t>héroe</w:t>
      </w:r>
    </w:p>
    <w:p>
      <w:pPr>
        <w:pStyle w:val="BodyText"/>
        <w:spacing w:before="167"/>
        <w:ind w:left="332"/>
      </w:pPr>
      <w:r>
        <w:rPr>
          <w:color w:val="231F1F"/>
          <w:w w:val="105"/>
        </w:rPr>
        <w:t>Nicolás León</w:t>
      </w:r>
    </w:p>
    <w:p>
      <w:pPr>
        <w:pStyle w:val="BodyText"/>
        <w:spacing w:before="9"/>
        <w:rPr>
          <w:sz w:val="28"/>
        </w:rPr>
      </w:pPr>
    </w:p>
    <w:p>
      <w:pPr>
        <w:pStyle w:val="Heading1"/>
      </w:pPr>
      <w:r>
        <w:rPr>
          <w:color w:val="A8483D"/>
        </w:rPr>
        <w:t>318</w:t>
      </w:r>
    </w:p>
    <w:p>
      <w:pPr>
        <w:pStyle w:val="Heading5"/>
        <w:spacing w:line="288" w:lineRule="exact" w:before="171"/>
      </w:pPr>
      <w:r>
        <w:rPr>
          <w:color w:val="231F1F"/>
          <w:w w:val="105"/>
        </w:rPr>
        <w:t>Documentos inéditos de la Independencia en el Archivo General de Notarías del Estado de    México</w:t>
      </w:r>
    </w:p>
    <w:p>
      <w:pPr>
        <w:pStyle w:val="BodyText"/>
        <w:spacing w:before="167"/>
        <w:ind w:left="332"/>
      </w:pPr>
      <w:r>
        <w:rPr>
          <w:color w:val="231F1F"/>
          <w:w w:val="105"/>
        </w:rPr>
        <w:t>Marisela de la Luz Beltrán Silva  (</w:t>
      </w:r>
      <w:r>
        <w:rPr>
          <w:color w:val="231F1F"/>
          <w:w w:val="105"/>
          <w:sz w:val="16"/>
        </w:rPr>
        <w:t>AGNEM</w:t>
      </w:r>
      <w:r>
        <w:rPr>
          <w:color w:val="231F1F"/>
          <w:w w:val="105"/>
        </w:rPr>
        <w:t>)</w:t>
      </w:r>
    </w:p>
    <w:p>
      <w:pPr>
        <w:pStyle w:val="BodyText"/>
      </w:pPr>
    </w:p>
    <w:p>
      <w:pPr>
        <w:pStyle w:val="BodyText"/>
        <w:spacing w:before="8"/>
        <w:rPr>
          <w:sz w:val="20"/>
        </w:rPr>
      </w:pPr>
    </w:p>
    <w:p>
      <w:pPr>
        <w:pStyle w:val="Heading1"/>
      </w:pPr>
      <w:r>
        <w:rPr>
          <w:color w:val="A8483D"/>
        </w:rPr>
        <w:t>393</w:t>
      </w:r>
    </w:p>
    <w:p>
      <w:pPr>
        <w:pStyle w:val="Heading5"/>
      </w:pPr>
      <w:r>
        <w:rPr>
          <w:color w:val="231F1F"/>
          <w:w w:val="105"/>
        </w:rPr>
        <w:t>Índice  iconográfico</w:t>
      </w:r>
    </w:p>
    <w:p>
      <w:pPr>
        <w:spacing w:after="0"/>
        <w:sectPr>
          <w:type w:val="continuous"/>
          <w:pgSz w:w="13100" w:h="17920"/>
          <w:pgMar w:top="0" w:bottom="0" w:left="1860" w:right="1620"/>
          <w:cols w:num="2" w:equalWidth="0">
            <w:col w:w="3467" w:space="40"/>
            <w:col w:w="6113"/>
          </w:cols>
        </w:sectPr>
      </w:pPr>
    </w:p>
    <w:p>
      <w:pPr>
        <w:pStyle w:val="BodyText"/>
        <w:rPr>
          <w:sz w:val="20"/>
        </w:rPr>
      </w:pPr>
      <w:r>
        <w:rPr/>
        <w:pict>
          <v:group style="position:absolute;margin-left:0pt;margin-top:0pt;width:654.85pt;height:895.7pt;mso-position-horizontal-relative:page;mso-position-vertical-relative:page;z-index:-75112" coordorigin="0,0" coordsize="13097,17914">
            <v:shape style="position:absolute;left:0;top:0;width:13096;height:17914" type="#_x0000_t75" stroked="false">
              <v:imagedata r:id="rId25" o:title=""/>
            </v:shape>
            <v:line style="position:absolute" from="2615,8639" to="10481,8639" stroked="true" strokeweight=".75pt" strokecolor="#603328"/>
            <v:shape style="position:absolute;left:5840;top:5364;width:1417;height:824" type="#_x0000_t75" stroked="false">
              <v:imagedata r:id="rId26"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spacing w:before="2"/>
        <w:ind w:left="710" w:right="710" w:firstLine="0"/>
        <w:jc w:val="center"/>
        <w:rPr>
          <w:rFonts w:ascii="Cambria"/>
          <w:sz w:val="35"/>
        </w:rPr>
      </w:pPr>
      <w:r>
        <w:rPr>
          <w:rFonts w:ascii="Cambria"/>
          <w:color w:val="A8483D"/>
          <w:spacing w:val="19"/>
          <w:w w:val="140"/>
          <w:sz w:val="50"/>
        </w:rPr>
        <w:t>L</w:t>
      </w:r>
      <w:r>
        <w:rPr>
          <w:rFonts w:ascii="Cambria"/>
          <w:color w:val="A8483D"/>
          <w:spacing w:val="19"/>
          <w:w w:val="140"/>
          <w:sz w:val="35"/>
        </w:rPr>
        <w:t>os </w:t>
      </w:r>
      <w:r>
        <w:rPr>
          <w:rFonts w:ascii="Cambria"/>
          <w:color w:val="A8483D"/>
          <w:spacing w:val="29"/>
          <w:w w:val="140"/>
          <w:sz w:val="35"/>
        </w:rPr>
        <w:t>pueb </w:t>
      </w:r>
      <w:r>
        <w:rPr>
          <w:rFonts w:ascii="Cambria"/>
          <w:color w:val="A8483D"/>
          <w:spacing w:val="16"/>
          <w:w w:val="140"/>
          <w:sz w:val="35"/>
        </w:rPr>
        <w:t>Los de</w:t>
      </w:r>
      <w:r>
        <w:rPr>
          <w:rFonts w:ascii="Cambria"/>
          <w:color w:val="A8483D"/>
          <w:spacing w:val="90"/>
          <w:w w:val="140"/>
          <w:sz w:val="35"/>
        </w:rPr>
        <w:t> </w:t>
      </w:r>
      <w:r>
        <w:rPr>
          <w:rFonts w:ascii="Cambria"/>
          <w:color w:val="A8483D"/>
          <w:spacing w:val="29"/>
          <w:w w:val="140"/>
          <w:sz w:val="35"/>
        </w:rPr>
        <w:t>indios</w:t>
      </w:r>
    </w:p>
    <w:p>
      <w:pPr>
        <w:spacing w:before="14"/>
        <w:ind w:left="710" w:right="710" w:firstLine="0"/>
        <w:jc w:val="center"/>
        <w:rPr>
          <w:rFonts w:ascii="Cambria"/>
          <w:sz w:val="35"/>
        </w:rPr>
      </w:pPr>
      <w:r>
        <w:rPr>
          <w:rFonts w:ascii="Cambria"/>
          <w:color w:val="A8483D"/>
          <w:w w:val="140"/>
          <w:sz w:val="35"/>
        </w:rPr>
        <w:t>en  e L  pensamiento de </w:t>
      </w:r>
      <w:r>
        <w:rPr>
          <w:rFonts w:ascii="Cambria"/>
          <w:color w:val="A8483D"/>
          <w:w w:val="140"/>
          <w:sz w:val="50"/>
        </w:rPr>
        <w:t>m</w:t>
      </w:r>
      <w:r>
        <w:rPr>
          <w:rFonts w:ascii="Cambria"/>
          <w:color w:val="A8483D"/>
          <w:w w:val="140"/>
          <w:sz w:val="35"/>
        </w:rPr>
        <w:t>ore Los</w:t>
      </w:r>
    </w:p>
    <w:p>
      <w:pPr>
        <w:pStyle w:val="BodyText"/>
        <w:spacing w:before="3"/>
        <w:rPr>
          <w:rFonts w:ascii="Cambria"/>
          <w:sz w:val="67"/>
        </w:rPr>
      </w:pPr>
    </w:p>
    <w:p>
      <w:pPr>
        <w:spacing w:before="0"/>
        <w:ind w:left="710" w:right="710" w:firstLine="0"/>
        <w:jc w:val="center"/>
        <w:rPr>
          <w:rFonts w:ascii="Lucida Sans Unicode" w:hAnsi="Lucida Sans Unicode"/>
          <w:sz w:val="24"/>
        </w:rPr>
      </w:pPr>
      <w:r>
        <w:rPr>
          <w:rFonts w:ascii="Lucida Sans Unicode" w:hAnsi="Lucida Sans Unicode"/>
          <w:color w:val="603328"/>
          <w:w w:val="95"/>
          <w:sz w:val="24"/>
        </w:rPr>
        <w:t>René García Castro</w:t>
      </w:r>
    </w:p>
    <w:p>
      <w:pPr>
        <w:spacing w:line="357" w:lineRule="auto" w:before="54"/>
        <w:ind w:left="2676" w:right="2574" w:firstLine="844"/>
        <w:jc w:val="left"/>
        <w:rPr>
          <w:rFonts w:ascii="Tahoma" w:hAnsi="Tahoma"/>
          <w:sz w:val="20"/>
        </w:rPr>
      </w:pPr>
      <w:r>
        <w:rPr>
          <w:rFonts w:ascii="Tahoma" w:hAnsi="Tahoma"/>
          <w:color w:val="603328"/>
          <w:w w:val="105"/>
          <w:sz w:val="20"/>
        </w:rPr>
        <w:t>Facultad de Humanidades Universidad Autónoma del Estado de México</w:t>
      </w:r>
    </w:p>
    <w:p>
      <w:pPr>
        <w:spacing w:after="0" w:line="357" w:lineRule="auto"/>
        <w:jc w:val="left"/>
        <w:rPr>
          <w:rFonts w:ascii="Tahoma" w:hAnsi="Tahoma"/>
          <w:sz w:val="20"/>
        </w:rPr>
        <w:sectPr>
          <w:pgSz w:w="13100" w:h="17920"/>
          <w:pgMar w:top="1700" w:bottom="280" w:left="1860" w:right="1860"/>
        </w:sectPr>
      </w:pPr>
    </w:p>
    <w:p>
      <w:pPr>
        <w:pStyle w:val="BodyText"/>
        <w:spacing w:before="4"/>
        <w:rPr>
          <w:rFonts w:ascii="Times New Roman"/>
          <w:sz w:val="17"/>
        </w:rPr>
      </w:pPr>
      <w:r>
        <w:rPr/>
        <w:drawing>
          <wp:anchor distT="0" distB="0" distL="0" distR="0" allowOverlap="1" layoutInCell="1" locked="0" behindDoc="1" simplePos="0" relativeHeight="268360367">
            <wp:simplePos x="0" y="0"/>
            <wp:positionH relativeFrom="page">
              <wp:posOffset>0</wp:posOffset>
            </wp:positionH>
            <wp:positionV relativeFrom="page">
              <wp:posOffset>0</wp:posOffset>
            </wp:positionV>
            <wp:extent cx="8315997" cy="11375134"/>
            <wp:effectExtent l="0" t="0" r="0" b="0"/>
            <wp:wrapNone/>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27" cstate="print"/>
                    <a:stretch>
                      <a:fillRect/>
                    </a:stretch>
                  </pic:blipFill>
                  <pic:spPr>
                    <a:xfrm>
                      <a:off x="0" y="0"/>
                      <a:ext cx="8315997" cy="11375134"/>
                    </a:xfrm>
                    <a:prstGeom prst="rect">
                      <a:avLst/>
                    </a:prstGeom>
                  </pic:spPr>
                </pic:pic>
              </a:graphicData>
            </a:graphic>
          </wp:anchor>
        </w:drawing>
      </w:r>
    </w:p>
    <w:p>
      <w:pPr>
        <w:spacing w:after="0"/>
        <w:rPr>
          <w:rFonts w:ascii="Times New Roman"/>
          <w:sz w:val="17"/>
        </w:rPr>
        <w:sectPr>
          <w:pgSz w:w="13100" w:h="17920"/>
          <w:pgMar w:top="1700" w:bottom="280" w:left="1860" w:right="1860"/>
        </w:sectPr>
      </w:pPr>
    </w:p>
    <w:p>
      <w:pPr>
        <w:pStyle w:val="BodyText"/>
        <w:spacing w:before="8"/>
        <w:rPr>
          <w:rFonts w:ascii="Times New Roman"/>
          <w:sz w:val="3"/>
        </w:rPr>
      </w:pPr>
    </w:p>
    <w:p>
      <w:pPr>
        <w:pStyle w:val="BodyText"/>
        <w:ind w:left="822"/>
        <w:rPr>
          <w:rFonts w:ascii="Times New Roman"/>
          <w:sz w:val="20"/>
        </w:rPr>
      </w:pPr>
      <w:r>
        <w:rPr>
          <w:rFonts w:ascii="Times New Roman"/>
          <w:sz w:val="20"/>
        </w:rPr>
        <w:drawing>
          <wp:inline distT="0" distB="0" distL="0" distR="0">
            <wp:extent cx="5128435" cy="8221694"/>
            <wp:effectExtent l="0" t="0" r="0" b="0"/>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28" cstate="print"/>
                    <a:stretch>
                      <a:fillRect/>
                    </a:stretch>
                  </pic:blipFill>
                  <pic:spPr>
                    <a:xfrm>
                      <a:off x="0" y="0"/>
                      <a:ext cx="5128435" cy="8221694"/>
                    </a:xfrm>
                    <a:prstGeom prst="rect">
                      <a:avLst/>
                    </a:prstGeom>
                  </pic:spPr>
                </pic:pic>
              </a:graphicData>
            </a:graphic>
          </wp:inline>
        </w:drawing>
      </w:r>
      <w:r>
        <w:rPr>
          <w:rFonts w:ascii="Times New Roman"/>
          <w:sz w:val="20"/>
        </w:rPr>
      </w:r>
    </w:p>
    <w:p>
      <w:pPr>
        <w:pStyle w:val="BodyText"/>
        <w:spacing w:before="3"/>
        <w:rPr>
          <w:rFonts w:ascii="Times New Roman"/>
          <w:sz w:val="24"/>
        </w:rPr>
      </w:pPr>
      <w:r>
        <w:rPr/>
        <w:pict>
          <v:shape style="position:absolute;margin-left:134.078995pt;margin-top:15.908147pt;width:12.65pt;height:6.35pt;mso-position-horizontal-relative:page;mso-position-vertical-relative:paragraph;z-index:1600;mso-wrap-distance-left:0;mso-wrap-distance-right:0" coordorigin="2682,318" coordsize="253,127" path="m2808,318l2682,444,2934,444,2808,318xe" filled="true" fillcolor="#a8483d" stroked="false">
            <v:path arrowok="t"/>
            <v:fill type="solid"/>
            <w10:wrap type="topAndBottom"/>
          </v:shape>
        </w:pict>
      </w:r>
    </w:p>
    <w:p>
      <w:pPr>
        <w:pStyle w:val="ListParagraph"/>
        <w:numPr>
          <w:ilvl w:val="0"/>
          <w:numId w:val="1"/>
        </w:numPr>
        <w:tabs>
          <w:tab w:pos="988" w:val="left" w:leader="none"/>
        </w:tabs>
        <w:spacing w:line="240" w:lineRule="auto" w:before="83" w:after="0"/>
        <w:ind w:left="821" w:right="6429" w:firstLine="0"/>
        <w:jc w:val="left"/>
        <w:rPr>
          <w:color w:val="383434"/>
          <w:sz w:val="16"/>
        </w:rPr>
      </w:pPr>
      <w:r>
        <w:rPr>
          <w:color w:val="383434"/>
          <w:w w:val="105"/>
          <w:sz w:val="16"/>
        </w:rPr>
        <w:t>El</w:t>
      </w:r>
      <w:r>
        <w:rPr>
          <w:color w:val="383434"/>
          <w:spacing w:val="-15"/>
          <w:w w:val="105"/>
          <w:sz w:val="16"/>
        </w:rPr>
        <w:t> </w:t>
      </w:r>
      <w:r>
        <w:rPr>
          <w:color w:val="383434"/>
          <w:w w:val="105"/>
          <w:sz w:val="16"/>
        </w:rPr>
        <w:t>Generalísimo</w:t>
      </w:r>
      <w:r>
        <w:rPr>
          <w:color w:val="383434"/>
          <w:spacing w:val="-15"/>
          <w:w w:val="105"/>
          <w:sz w:val="16"/>
        </w:rPr>
        <w:t> </w:t>
      </w:r>
      <w:r>
        <w:rPr>
          <w:color w:val="383434"/>
          <w:w w:val="105"/>
          <w:sz w:val="16"/>
        </w:rPr>
        <w:t>Morelos</w:t>
      </w:r>
      <w:r>
        <w:rPr>
          <w:color w:val="383434"/>
          <w:spacing w:val="-15"/>
          <w:w w:val="105"/>
          <w:sz w:val="16"/>
        </w:rPr>
        <w:t> </w:t>
      </w:r>
      <w:r>
        <w:rPr>
          <w:color w:val="383434"/>
          <w:w w:val="105"/>
          <w:sz w:val="16"/>
        </w:rPr>
        <w:t>en el</w:t>
      </w:r>
      <w:r>
        <w:rPr>
          <w:color w:val="383434"/>
          <w:spacing w:val="-19"/>
          <w:w w:val="105"/>
          <w:sz w:val="16"/>
        </w:rPr>
        <w:t> </w:t>
      </w:r>
      <w:r>
        <w:rPr>
          <w:color w:val="383434"/>
          <w:w w:val="105"/>
          <w:sz w:val="16"/>
        </w:rPr>
        <w:t>sitio</w:t>
      </w:r>
      <w:r>
        <w:rPr>
          <w:color w:val="383434"/>
          <w:spacing w:val="-19"/>
          <w:w w:val="105"/>
          <w:sz w:val="16"/>
        </w:rPr>
        <w:t> </w:t>
      </w:r>
      <w:r>
        <w:rPr>
          <w:color w:val="383434"/>
          <w:w w:val="105"/>
          <w:sz w:val="16"/>
        </w:rPr>
        <w:t>de</w:t>
      </w:r>
      <w:r>
        <w:rPr>
          <w:color w:val="383434"/>
          <w:spacing w:val="-19"/>
          <w:w w:val="105"/>
          <w:sz w:val="16"/>
        </w:rPr>
        <w:t> </w:t>
      </w:r>
      <w:r>
        <w:rPr>
          <w:color w:val="383434"/>
          <w:w w:val="105"/>
          <w:sz w:val="16"/>
        </w:rPr>
        <w:t>Cuautla.</w:t>
      </w:r>
    </w:p>
    <w:p>
      <w:pPr>
        <w:pStyle w:val="BodyText"/>
        <w:spacing w:before="9"/>
        <w:rPr>
          <w:rFonts w:ascii="Tahoma"/>
          <w:sz w:val="12"/>
        </w:rPr>
      </w:pPr>
      <w:r>
        <w:rPr/>
        <w:pict>
          <v:line style="position:absolute;mso-position-horizontal-relative:page;mso-position-vertical-relative:paragraph;z-index:1624;mso-wrap-distance-left:0;mso-wrap-distance-right:0" from="134.078995pt,9.935654pt" to="247.464995pt,9.935654pt" stroked="true" strokeweight=".5pt" strokecolor="#a8483d">
            <w10:wrap type="topAndBottom"/>
          </v:line>
        </w:pict>
      </w:r>
    </w:p>
    <w:p>
      <w:pPr>
        <w:spacing w:after="0"/>
        <w:rPr>
          <w:rFonts w:ascii="Tahoma"/>
          <w:sz w:val="12"/>
        </w:rPr>
        <w:sectPr>
          <w:pgSz w:w="13100" w:h="17920"/>
          <w:pgMar w:top="1700" w:bottom="280" w:left="1860" w:right="186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2"/>
        <w:rPr>
          <w:rFonts w:ascii="Tahoma"/>
          <w:sz w:val="17"/>
        </w:rPr>
      </w:pPr>
    </w:p>
    <w:p>
      <w:pPr>
        <w:spacing w:before="43"/>
        <w:ind w:left="109" w:right="0" w:firstLine="0"/>
        <w:jc w:val="left"/>
        <w:rPr>
          <w:rFonts w:ascii="Times New Roman" w:hAnsi="Times New Roman"/>
          <w:sz w:val="30"/>
        </w:rPr>
      </w:pPr>
      <w:r>
        <w:rPr>
          <w:rFonts w:ascii="Times New Roman" w:hAnsi="Times New Roman"/>
          <w:color w:val="231F1F"/>
          <w:w w:val="105"/>
          <w:sz w:val="30"/>
        </w:rPr>
        <w:t>Introducción</w:t>
      </w:r>
    </w:p>
    <w:p>
      <w:pPr>
        <w:pStyle w:val="BodyText"/>
        <w:spacing w:before="6"/>
        <w:rPr>
          <w:rFonts w:ascii="Times New Roman"/>
          <w:sz w:val="20"/>
        </w:rPr>
      </w:pPr>
      <w:r>
        <w:rPr/>
        <w:pict>
          <v:line style="position:absolute;mso-position-horizontal-relative:page;mso-position-vertical-relative:paragraph;z-index:1648;mso-wrap-distance-left:0;mso-wrap-distance-right:0" from="86.456703pt,14.138373pt" to="168.661703pt,14.138373pt" stroked="true" strokeweight=".75pt" strokecolor="#a8483d">
            <w10:wrap type="topAndBottom"/>
          </v:line>
        </w:pict>
      </w: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pStyle w:val="BodyText"/>
        <w:spacing w:line="268" w:lineRule="auto" w:before="58"/>
        <w:ind w:left="2519" w:right="458"/>
        <w:jc w:val="both"/>
      </w:pPr>
      <w:r>
        <w:rPr>
          <w:color w:val="A8483D"/>
        </w:rPr>
        <w:t>L</w:t>
      </w:r>
      <w:r>
        <w:rPr>
          <w:color w:val="A8483D"/>
          <w:sz w:val="15"/>
        </w:rPr>
        <w:t>a </w:t>
      </w:r>
      <w:r>
        <w:rPr>
          <w:color w:val="A8483D"/>
          <w:w w:val="115"/>
          <w:sz w:val="15"/>
        </w:rPr>
        <w:t>historiografía reciente </w:t>
      </w:r>
      <w:r>
        <w:rPr>
          <w:color w:val="231F1F"/>
        </w:rPr>
        <w:t>sobre el movimiento de Independencia y en par- ticular sobre la participación de José María Morelos y Pavón, caudillo indiscutible de la insurgencia del </w:t>
      </w:r>
      <w:r>
        <w:rPr>
          <w:color w:val="231F1F"/>
          <w:spacing w:val="-4"/>
        </w:rPr>
        <w:t>sur, </w:t>
      </w:r>
      <w:r>
        <w:rPr>
          <w:color w:val="231F1F"/>
        </w:rPr>
        <w:t>ha logrado enormes avances y valiosas aportaciones que nos permiten entender, de manera más clara y precisa, la gran gesta heroica de nuestra historia nacional. Estos notables avances han incursionado en varios puntos relevantes sobre la trayectoria y el legado histórico de quien fuera conocido como el Rayo del </w:t>
      </w:r>
      <w:r>
        <w:rPr>
          <w:color w:val="231F1F"/>
          <w:spacing w:val="-5"/>
        </w:rPr>
        <w:t>Sur. </w:t>
      </w:r>
      <w:r>
        <w:rPr>
          <w:color w:val="231F1F"/>
        </w:rPr>
        <w:t>Así, por ejemplo, hoy tenemos estudios del Morelos prerrevolucionario que nos aportan datos sobre la infancia y juventud de este insigne personaje, entre los cuales podemos buscar los motivos que lo inspiraron a abrazar  el movimiento insurgente. Otras investigaciones han centrado su atención en las estrategias bélicas y las grandes victorias del cura de Carácuaro, para mostrar el genio militar de quien era sólo un soldado de Cristo. Destaca, por supuesto, la avalancha de investigaciones  históricas  que  han tenido como foco la figura de Morelos como estadista, pues desde   sus inicios en el movimiento insurgente tuvo una visión clara sobre la apremiante necesidad de erigir una nueva nación fundamentada en la construcción de un nuevo estado, con autoridades americanas electas, con</w:t>
      </w:r>
      <w:r>
        <w:rPr>
          <w:color w:val="231F1F"/>
          <w:spacing w:val="-13"/>
        </w:rPr>
        <w:t> </w:t>
      </w:r>
      <w:r>
        <w:rPr>
          <w:color w:val="231F1F"/>
        </w:rPr>
        <w:t>nuevas</w:t>
      </w:r>
      <w:r>
        <w:rPr>
          <w:color w:val="231F1F"/>
          <w:spacing w:val="-13"/>
        </w:rPr>
        <w:t> </w:t>
      </w:r>
      <w:r>
        <w:rPr>
          <w:color w:val="231F1F"/>
        </w:rPr>
        <w:t>instituciones</w:t>
      </w:r>
      <w:r>
        <w:rPr>
          <w:color w:val="231F1F"/>
          <w:spacing w:val="-13"/>
        </w:rPr>
        <w:t> </w:t>
      </w:r>
      <w:r>
        <w:rPr>
          <w:color w:val="231F1F"/>
        </w:rPr>
        <w:t>jurídico-políticas</w:t>
      </w:r>
      <w:r>
        <w:rPr>
          <w:color w:val="231F1F"/>
          <w:spacing w:val="-13"/>
        </w:rPr>
        <w:t> </w:t>
      </w:r>
      <w:r>
        <w:rPr>
          <w:color w:val="231F1F"/>
        </w:rPr>
        <w:t>y</w:t>
      </w:r>
      <w:r>
        <w:rPr>
          <w:color w:val="231F1F"/>
          <w:spacing w:val="-13"/>
        </w:rPr>
        <w:t> </w:t>
      </w:r>
      <w:r>
        <w:rPr>
          <w:color w:val="231F1F"/>
        </w:rPr>
        <w:t>con</w:t>
      </w:r>
      <w:r>
        <w:rPr>
          <w:color w:val="231F1F"/>
          <w:spacing w:val="-13"/>
        </w:rPr>
        <w:t> </w:t>
      </w:r>
      <w:r>
        <w:rPr>
          <w:color w:val="231F1F"/>
        </w:rPr>
        <w:t>nuevos</w:t>
      </w:r>
      <w:r>
        <w:rPr>
          <w:color w:val="231F1F"/>
          <w:spacing w:val="-13"/>
        </w:rPr>
        <w:t> </w:t>
      </w:r>
      <w:r>
        <w:rPr>
          <w:color w:val="231F1F"/>
        </w:rPr>
        <w:t>principios</w:t>
      </w:r>
      <w:r>
        <w:rPr>
          <w:color w:val="231F1F"/>
          <w:spacing w:val="-13"/>
        </w:rPr>
        <w:t> </w:t>
      </w:r>
      <w:r>
        <w:rPr>
          <w:color w:val="231F1F"/>
        </w:rPr>
        <w:t>liberales. Estos últimos estudios se han basado en los valiosos documentos</w:t>
      </w:r>
      <w:r>
        <w:rPr>
          <w:color w:val="231F1F"/>
          <w:spacing w:val="-23"/>
        </w:rPr>
        <w:t> </w:t>
      </w:r>
      <w:r>
        <w:rPr>
          <w:color w:val="231F1F"/>
        </w:rPr>
        <w:t>signados o atribuidos, total o parcialmente, al caudillo del sur: los Sentimientos    de la Nación, el Reglamento del Congreso de Anáhuac, el Discurso de apertura del Congreso de Chilpancingo </w:t>
      </w:r>
      <w:r>
        <w:rPr>
          <w:color w:val="231F1F"/>
          <w:spacing w:val="-9"/>
        </w:rPr>
        <w:t>y, </w:t>
      </w:r>
      <w:r>
        <w:rPr>
          <w:color w:val="231F1F"/>
        </w:rPr>
        <w:t>claro está, la propia Consti- tución  de </w:t>
      </w:r>
      <w:r>
        <w:rPr>
          <w:color w:val="231F1F"/>
          <w:spacing w:val="5"/>
        </w:rPr>
        <w:t> </w:t>
      </w:r>
      <w:r>
        <w:rPr>
          <w:color w:val="231F1F"/>
        </w:rPr>
        <w:t>Apatzingán.</w:t>
      </w:r>
    </w:p>
    <w:p>
      <w:pPr>
        <w:pStyle w:val="BodyText"/>
        <w:spacing w:before="9"/>
        <w:rPr>
          <w:sz w:val="27"/>
        </w:rPr>
      </w:pPr>
    </w:p>
    <w:p>
      <w:pPr>
        <w:pStyle w:val="BodyText"/>
        <w:spacing w:line="268" w:lineRule="auto"/>
        <w:ind w:left="2519" w:right="458"/>
        <w:jc w:val="both"/>
      </w:pPr>
      <w:r>
        <w:rPr>
          <w:color w:val="231F1F"/>
        </w:rPr>
        <w:t>Una</w:t>
      </w:r>
      <w:r>
        <w:rPr>
          <w:color w:val="231F1F"/>
          <w:spacing w:val="-5"/>
        </w:rPr>
        <w:t> </w:t>
      </w:r>
      <w:r>
        <w:rPr>
          <w:color w:val="231F1F"/>
        </w:rPr>
        <w:t>última</w:t>
      </w:r>
      <w:r>
        <w:rPr>
          <w:color w:val="231F1F"/>
          <w:spacing w:val="-5"/>
        </w:rPr>
        <w:t> </w:t>
      </w:r>
      <w:r>
        <w:rPr>
          <w:color w:val="231F1F"/>
        </w:rPr>
        <w:t>línea</w:t>
      </w:r>
      <w:r>
        <w:rPr>
          <w:color w:val="231F1F"/>
          <w:spacing w:val="-5"/>
        </w:rPr>
        <w:t> </w:t>
      </w:r>
      <w:r>
        <w:rPr>
          <w:color w:val="231F1F"/>
        </w:rPr>
        <w:t>de</w:t>
      </w:r>
      <w:r>
        <w:rPr>
          <w:color w:val="231F1F"/>
          <w:spacing w:val="-5"/>
        </w:rPr>
        <w:t> </w:t>
      </w:r>
      <w:r>
        <w:rPr>
          <w:color w:val="231F1F"/>
        </w:rPr>
        <w:t>investigación</w:t>
      </w:r>
      <w:r>
        <w:rPr>
          <w:color w:val="231F1F"/>
          <w:spacing w:val="-5"/>
        </w:rPr>
        <w:t> </w:t>
      </w:r>
      <w:r>
        <w:rPr>
          <w:color w:val="231F1F"/>
        </w:rPr>
        <w:t>ha</w:t>
      </w:r>
      <w:r>
        <w:rPr>
          <w:color w:val="231F1F"/>
          <w:spacing w:val="-5"/>
        </w:rPr>
        <w:t> </w:t>
      </w:r>
      <w:r>
        <w:rPr>
          <w:color w:val="231F1F"/>
        </w:rPr>
        <w:t>tratado</w:t>
      </w:r>
      <w:r>
        <w:rPr>
          <w:color w:val="231F1F"/>
          <w:spacing w:val="-5"/>
        </w:rPr>
        <w:t> </w:t>
      </w:r>
      <w:r>
        <w:rPr>
          <w:color w:val="231F1F"/>
        </w:rPr>
        <w:t>de</w:t>
      </w:r>
      <w:r>
        <w:rPr>
          <w:color w:val="231F1F"/>
          <w:spacing w:val="-5"/>
        </w:rPr>
        <w:t> </w:t>
      </w:r>
      <w:r>
        <w:rPr>
          <w:color w:val="231F1F"/>
        </w:rPr>
        <w:t>explicar</w:t>
      </w:r>
      <w:r>
        <w:rPr>
          <w:color w:val="231F1F"/>
          <w:spacing w:val="-5"/>
        </w:rPr>
        <w:t> </w:t>
      </w:r>
      <w:r>
        <w:rPr>
          <w:color w:val="231F1F"/>
        </w:rPr>
        <w:t>el</w:t>
      </w:r>
      <w:r>
        <w:rPr>
          <w:color w:val="231F1F"/>
          <w:spacing w:val="-5"/>
        </w:rPr>
        <w:t> </w:t>
      </w:r>
      <w:r>
        <w:rPr>
          <w:color w:val="231F1F"/>
        </w:rPr>
        <w:t>funcionamiento de las “economías de guerra”, pues por más de diez años de conflicto sostuvieron tanto a las fuerzas insurgentes como a las realistas. Los temas centrales de esta línea indagan la forma como los bandos en conflicto se hicieron de recursos económicos para sostener a su tropa y mantener sus territorios en cierta actividad productiva, de circulación y de distribución de mercancías. Los especialistas nos han revelado, muy atinadamente, que  los  montos  de  las  primeras  confiscaciones  monetarias  hechas</w:t>
      </w:r>
      <w:r>
        <w:rPr>
          <w:color w:val="231F1F"/>
          <w:spacing w:val="-10"/>
        </w:rPr>
        <w:t> </w:t>
      </w:r>
      <w:r>
        <w:rPr>
          <w:color w:val="231F1F"/>
        </w:rPr>
        <w:t>por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tabs>
          <w:tab w:pos="9121" w:val="right" w:leader="none"/>
        </w:tabs>
        <w:spacing w:line="212" w:lineRule="exact" w:before="68"/>
        <w:ind w:left="6195" w:right="0" w:firstLine="0"/>
        <w:jc w:val="left"/>
        <w:rPr>
          <w:sz w:val="18"/>
        </w:rPr>
      </w:pPr>
      <w:r>
        <w:rPr>
          <w:color w:val="4F3628"/>
          <w:w w:val="110"/>
          <w:position w:val="1"/>
          <w:sz w:val="16"/>
        </w:rPr>
        <w:t>LOS PUEBLOS DE INDIOS</w:t>
      </w:r>
      <w:r>
        <w:rPr>
          <w:color w:val="4F3628"/>
          <w:spacing w:val="37"/>
          <w:w w:val="110"/>
          <w:position w:val="1"/>
          <w:sz w:val="16"/>
        </w:rPr>
        <w:t> </w:t>
      </w:r>
      <w:r>
        <w:rPr>
          <w:color w:val="4F3628"/>
          <w:w w:val="110"/>
          <w:position w:val="1"/>
          <w:sz w:val="16"/>
        </w:rPr>
        <w:t>EN</w:t>
      </w:r>
      <w:r>
        <w:rPr>
          <w:color w:val="4F3628"/>
          <w:spacing w:val="9"/>
          <w:w w:val="110"/>
          <w:position w:val="1"/>
          <w:sz w:val="16"/>
        </w:rPr>
        <w:t> </w:t>
      </w:r>
      <w:r>
        <w:rPr>
          <w:color w:val="4F3628"/>
          <w:w w:val="110"/>
          <w:position w:val="1"/>
          <w:sz w:val="16"/>
        </w:rPr>
        <w:t>EL</w:t>
      </w:r>
      <w:r>
        <w:rPr>
          <w:color w:val="4F3628"/>
          <w:w w:val="110"/>
          <w:sz w:val="18"/>
        </w:rPr>
        <w:tab/>
        <w:t>99</w:t>
      </w:r>
    </w:p>
    <w:p>
      <w:pPr>
        <w:spacing w:line="187" w:lineRule="exact" w:before="0"/>
        <w:ind w:left="6265" w:right="0" w:firstLine="0"/>
        <w:jc w:val="left"/>
        <w:rPr>
          <w:sz w:val="16"/>
        </w:rPr>
      </w:pPr>
      <w:r>
        <w:rPr>
          <w:color w:val="4F3628"/>
          <w:w w:val="115"/>
          <w:sz w:val="16"/>
        </w:rPr>
        <w:t>PENSAMIENTO DE MORELOS</w:t>
      </w:r>
    </w:p>
    <w:p>
      <w:pPr>
        <w:spacing w:after="0" w:line="187" w:lineRule="exact"/>
        <w:jc w:val="left"/>
        <w:rPr>
          <w:sz w:val="16"/>
        </w:rPr>
        <w:sectPr>
          <w:pgSz w:w="13100" w:h="17920"/>
          <w:pgMar w:top="1700" w:bottom="280" w:left="1620" w:right="1860"/>
        </w:sectPr>
      </w:pPr>
    </w:p>
    <w:p>
      <w:pPr>
        <w:pStyle w:val="BodyText"/>
        <w:tabs>
          <w:tab w:pos="1504" w:val="left" w:leader="none"/>
        </w:tabs>
        <w:spacing w:line="268" w:lineRule="auto" w:before="29"/>
        <w:ind w:left="1504" w:right="3820" w:hanging="1170"/>
        <w:jc w:val="both"/>
      </w:pPr>
      <w:r>
        <w:rPr/>
        <w:drawing>
          <wp:anchor distT="0" distB="0" distL="0" distR="0" allowOverlap="1" layoutInCell="1" locked="0" behindDoc="1" simplePos="0" relativeHeight="268360463">
            <wp:simplePos x="0" y="0"/>
            <wp:positionH relativeFrom="page">
              <wp:posOffset>589533</wp:posOffset>
            </wp:positionH>
            <wp:positionV relativeFrom="paragraph">
              <wp:posOffset>362732</wp:posOffset>
            </wp:positionV>
            <wp:extent cx="522296" cy="457949"/>
            <wp:effectExtent l="0" t="0" r="0" b="0"/>
            <wp:wrapNone/>
            <wp:docPr id="31" name="image24.png" descr=""/>
            <wp:cNvGraphicFramePr>
              <a:graphicFrameLocks noChangeAspect="1"/>
            </wp:cNvGraphicFramePr>
            <a:graphic>
              <a:graphicData uri="http://schemas.openxmlformats.org/drawingml/2006/picture">
                <pic:pic>
                  <pic:nvPicPr>
                    <pic:cNvPr id="32"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60.653416pt;margin-top:72.290619pt;width:11pt;height:76.350pt;mso-position-horizontal-relative:page;mso-position-vertical-relative:paragraph;z-index:-74968"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w w:val="105"/>
          <w:position w:val="2"/>
          <w:sz w:val="18"/>
        </w:rPr>
        <w:t>100</w:t>
        <w:tab/>
      </w:r>
      <w:r>
        <w:rPr>
          <w:color w:val="231F1F"/>
          <w:w w:val="105"/>
        </w:rPr>
        <w:t>los</w:t>
      </w:r>
      <w:r>
        <w:rPr>
          <w:color w:val="231F1F"/>
          <w:spacing w:val="-5"/>
          <w:w w:val="105"/>
        </w:rPr>
        <w:t> </w:t>
      </w:r>
      <w:r>
        <w:rPr>
          <w:color w:val="231F1F"/>
          <w:w w:val="105"/>
        </w:rPr>
        <w:t>insurgentes</w:t>
      </w:r>
      <w:r>
        <w:rPr>
          <w:color w:val="231F1F"/>
          <w:spacing w:val="-5"/>
          <w:w w:val="105"/>
        </w:rPr>
        <w:t> </w:t>
      </w:r>
      <w:r>
        <w:rPr>
          <w:color w:val="231F1F"/>
          <w:w w:val="105"/>
        </w:rPr>
        <w:t>a</w:t>
      </w:r>
      <w:r>
        <w:rPr>
          <w:color w:val="231F1F"/>
          <w:spacing w:val="-5"/>
          <w:w w:val="105"/>
        </w:rPr>
        <w:t> </w:t>
      </w:r>
      <w:r>
        <w:rPr>
          <w:color w:val="231F1F"/>
          <w:w w:val="105"/>
        </w:rPr>
        <w:t>instituciones</w:t>
      </w:r>
      <w:r>
        <w:rPr>
          <w:color w:val="231F1F"/>
          <w:spacing w:val="-5"/>
          <w:w w:val="105"/>
        </w:rPr>
        <w:t> </w:t>
      </w:r>
      <w:r>
        <w:rPr>
          <w:color w:val="231F1F"/>
          <w:w w:val="105"/>
        </w:rPr>
        <w:t>y</w:t>
      </w:r>
      <w:r>
        <w:rPr>
          <w:color w:val="231F1F"/>
          <w:spacing w:val="-5"/>
          <w:w w:val="105"/>
        </w:rPr>
        <w:t> </w:t>
      </w:r>
      <w:r>
        <w:rPr>
          <w:color w:val="231F1F"/>
          <w:w w:val="105"/>
        </w:rPr>
        <w:t>personas</w:t>
      </w:r>
      <w:r>
        <w:rPr>
          <w:color w:val="231F1F"/>
          <w:spacing w:val="-5"/>
          <w:w w:val="105"/>
        </w:rPr>
        <w:t> </w:t>
      </w:r>
      <w:r>
        <w:rPr>
          <w:color w:val="231F1F"/>
          <w:w w:val="105"/>
        </w:rPr>
        <w:t>ricas</w:t>
      </w:r>
      <w:r>
        <w:rPr>
          <w:color w:val="231F1F"/>
          <w:spacing w:val="-5"/>
          <w:w w:val="105"/>
        </w:rPr>
        <w:t> </w:t>
      </w:r>
      <w:r>
        <w:rPr>
          <w:color w:val="231F1F"/>
          <w:w w:val="105"/>
        </w:rPr>
        <w:t>de</w:t>
      </w:r>
      <w:r>
        <w:rPr>
          <w:color w:val="231F1F"/>
          <w:spacing w:val="-5"/>
          <w:w w:val="105"/>
        </w:rPr>
        <w:t> </w:t>
      </w:r>
      <w:r>
        <w:rPr>
          <w:color w:val="231F1F"/>
          <w:w w:val="105"/>
        </w:rPr>
        <w:t>la</w:t>
      </w:r>
      <w:r>
        <w:rPr>
          <w:color w:val="231F1F"/>
          <w:spacing w:val="-5"/>
          <w:w w:val="105"/>
        </w:rPr>
        <w:t> </w:t>
      </w:r>
      <w:r>
        <w:rPr>
          <w:color w:val="231F1F"/>
          <w:w w:val="105"/>
        </w:rPr>
        <w:t>época</w:t>
      </w:r>
      <w:r>
        <w:rPr>
          <w:color w:val="231F1F"/>
          <w:spacing w:val="-5"/>
          <w:w w:val="105"/>
        </w:rPr>
        <w:t> </w:t>
      </w:r>
      <w:r>
        <w:rPr>
          <w:color w:val="231F1F"/>
          <w:w w:val="105"/>
        </w:rPr>
        <w:t>no</w:t>
      </w:r>
      <w:r>
        <w:rPr>
          <w:color w:val="231F1F"/>
          <w:spacing w:val="-5"/>
          <w:w w:val="105"/>
        </w:rPr>
        <w:t> </w:t>
      </w:r>
      <w:r>
        <w:rPr>
          <w:color w:val="231F1F"/>
          <w:w w:val="105"/>
        </w:rPr>
        <w:t>fueron</w:t>
      </w:r>
      <w:r>
        <w:rPr>
          <w:color w:val="231F1F"/>
          <w:spacing w:val="-5"/>
          <w:w w:val="105"/>
        </w:rPr>
        <w:t> </w:t>
      </w:r>
      <w:r>
        <w:rPr>
          <w:color w:val="231F1F"/>
          <w:w w:val="105"/>
        </w:rPr>
        <w:t>nada</w:t>
      </w:r>
      <w:r>
        <w:rPr>
          <w:color w:val="231F1F"/>
          <w:spacing w:val="1"/>
          <w:w w:val="108"/>
        </w:rPr>
        <w:t> </w:t>
      </w:r>
      <w:r>
        <w:rPr>
          <w:color w:val="231F1F"/>
          <w:w w:val="105"/>
        </w:rPr>
        <w:t>despreciables. Ahora sabemos también que muchas unidades productivas fueron incautadas por los insurgentes a sus dueños, por ser “españoles” o defender su causa, pero que siguieron produciendo bajo la idea de “fincas nacionales”,</w:t>
      </w:r>
      <w:r>
        <w:rPr>
          <w:color w:val="231F1F"/>
          <w:spacing w:val="-31"/>
          <w:w w:val="105"/>
        </w:rPr>
        <w:t> </w:t>
      </w:r>
      <w:r>
        <w:rPr>
          <w:color w:val="231F1F"/>
          <w:w w:val="105"/>
        </w:rPr>
        <w:t>es</w:t>
      </w:r>
      <w:r>
        <w:rPr>
          <w:color w:val="231F1F"/>
          <w:spacing w:val="-31"/>
          <w:w w:val="105"/>
        </w:rPr>
        <w:t> </w:t>
      </w:r>
      <w:r>
        <w:rPr>
          <w:color w:val="231F1F"/>
          <w:spacing w:val="-4"/>
          <w:w w:val="105"/>
        </w:rPr>
        <w:t>decir,</w:t>
      </w:r>
      <w:r>
        <w:rPr>
          <w:color w:val="231F1F"/>
          <w:spacing w:val="-31"/>
          <w:w w:val="105"/>
        </w:rPr>
        <w:t> </w:t>
      </w:r>
      <w:r>
        <w:rPr>
          <w:color w:val="231F1F"/>
          <w:w w:val="105"/>
        </w:rPr>
        <w:t>sus</w:t>
      </w:r>
      <w:r>
        <w:rPr>
          <w:color w:val="231F1F"/>
          <w:spacing w:val="-31"/>
          <w:w w:val="105"/>
        </w:rPr>
        <w:t> </w:t>
      </w:r>
      <w:r>
        <w:rPr>
          <w:color w:val="231F1F"/>
          <w:w w:val="105"/>
        </w:rPr>
        <w:t>productos,</w:t>
      </w:r>
      <w:r>
        <w:rPr>
          <w:color w:val="231F1F"/>
          <w:spacing w:val="-31"/>
          <w:w w:val="105"/>
        </w:rPr>
        <w:t> </w:t>
      </w:r>
      <w:r>
        <w:rPr>
          <w:color w:val="231F1F"/>
          <w:w w:val="105"/>
        </w:rPr>
        <w:t>rentas</w:t>
      </w:r>
      <w:r>
        <w:rPr>
          <w:color w:val="231F1F"/>
          <w:spacing w:val="-31"/>
          <w:w w:val="105"/>
        </w:rPr>
        <w:t> </w:t>
      </w:r>
      <w:r>
        <w:rPr>
          <w:color w:val="231F1F"/>
          <w:w w:val="105"/>
        </w:rPr>
        <w:t>o</w:t>
      </w:r>
      <w:r>
        <w:rPr>
          <w:color w:val="231F1F"/>
          <w:spacing w:val="-31"/>
          <w:w w:val="105"/>
        </w:rPr>
        <w:t> </w:t>
      </w:r>
      <w:r>
        <w:rPr>
          <w:color w:val="231F1F"/>
          <w:w w:val="105"/>
        </w:rPr>
        <w:t>ingresos</w:t>
      </w:r>
      <w:r>
        <w:rPr>
          <w:color w:val="231F1F"/>
          <w:spacing w:val="-31"/>
          <w:w w:val="105"/>
        </w:rPr>
        <w:t> </w:t>
      </w:r>
      <w:r>
        <w:rPr>
          <w:color w:val="231F1F"/>
          <w:w w:val="105"/>
        </w:rPr>
        <w:t>sirvieron</w:t>
      </w:r>
      <w:r>
        <w:rPr>
          <w:color w:val="231F1F"/>
          <w:spacing w:val="-31"/>
          <w:w w:val="105"/>
        </w:rPr>
        <w:t> </w:t>
      </w:r>
      <w:r>
        <w:rPr>
          <w:color w:val="231F1F"/>
          <w:w w:val="105"/>
        </w:rPr>
        <w:t>para</w:t>
      </w:r>
      <w:r>
        <w:rPr>
          <w:color w:val="231F1F"/>
          <w:spacing w:val="-31"/>
          <w:w w:val="105"/>
        </w:rPr>
        <w:t> </w:t>
      </w:r>
      <w:r>
        <w:rPr>
          <w:color w:val="231F1F"/>
          <w:w w:val="105"/>
        </w:rPr>
        <w:t>sostener a los ejércitos rebeldes. Las publicaciones sobre este tema han analizado todo</w:t>
      </w:r>
      <w:r>
        <w:rPr>
          <w:color w:val="231F1F"/>
          <w:spacing w:val="-15"/>
          <w:w w:val="105"/>
        </w:rPr>
        <w:t> </w:t>
      </w:r>
      <w:r>
        <w:rPr>
          <w:color w:val="231F1F"/>
          <w:w w:val="105"/>
        </w:rPr>
        <w:t>el</w:t>
      </w:r>
      <w:r>
        <w:rPr>
          <w:color w:val="231F1F"/>
          <w:spacing w:val="-15"/>
          <w:w w:val="105"/>
        </w:rPr>
        <w:t> </w:t>
      </w:r>
      <w:r>
        <w:rPr>
          <w:color w:val="231F1F"/>
          <w:w w:val="105"/>
        </w:rPr>
        <w:t>espectro</w:t>
      </w:r>
      <w:r>
        <w:rPr>
          <w:color w:val="231F1F"/>
          <w:spacing w:val="-15"/>
          <w:w w:val="105"/>
        </w:rPr>
        <w:t> </w:t>
      </w:r>
      <w:r>
        <w:rPr>
          <w:color w:val="231F1F"/>
          <w:w w:val="105"/>
        </w:rPr>
        <w:t>fiscal</w:t>
      </w:r>
      <w:r>
        <w:rPr>
          <w:color w:val="231F1F"/>
          <w:spacing w:val="-15"/>
          <w:w w:val="105"/>
        </w:rPr>
        <w:t> </w:t>
      </w:r>
      <w:r>
        <w:rPr>
          <w:color w:val="231F1F"/>
          <w:w w:val="105"/>
        </w:rPr>
        <w:t>o</w:t>
      </w:r>
      <w:r>
        <w:rPr>
          <w:color w:val="231F1F"/>
          <w:spacing w:val="-15"/>
          <w:w w:val="105"/>
        </w:rPr>
        <w:t> </w:t>
      </w:r>
      <w:r>
        <w:rPr>
          <w:color w:val="231F1F"/>
          <w:w w:val="105"/>
        </w:rPr>
        <w:t>de</w:t>
      </w:r>
      <w:r>
        <w:rPr>
          <w:color w:val="231F1F"/>
          <w:spacing w:val="-15"/>
          <w:w w:val="105"/>
        </w:rPr>
        <w:t> </w:t>
      </w:r>
      <w:r>
        <w:rPr>
          <w:color w:val="231F1F"/>
          <w:w w:val="105"/>
        </w:rPr>
        <w:t>contribuciones,</w:t>
      </w:r>
      <w:r>
        <w:rPr>
          <w:color w:val="231F1F"/>
          <w:spacing w:val="-15"/>
          <w:w w:val="105"/>
        </w:rPr>
        <w:t> </w:t>
      </w:r>
      <w:r>
        <w:rPr>
          <w:color w:val="231F1F"/>
          <w:w w:val="105"/>
        </w:rPr>
        <w:t>generales</w:t>
      </w:r>
      <w:r>
        <w:rPr>
          <w:color w:val="231F1F"/>
          <w:spacing w:val="-15"/>
          <w:w w:val="105"/>
        </w:rPr>
        <w:t> </w:t>
      </w:r>
      <w:r>
        <w:rPr>
          <w:color w:val="231F1F"/>
          <w:w w:val="105"/>
        </w:rPr>
        <w:t>y</w:t>
      </w:r>
      <w:r>
        <w:rPr>
          <w:color w:val="231F1F"/>
          <w:spacing w:val="-15"/>
          <w:w w:val="105"/>
        </w:rPr>
        <w:t> </w:t>
      </w:r>
      <w:r>
        <w:rPr>
          <w:color w:val="231F1F"/>
          <w:w w:val="105"/>
        </w:rPr>
        <w:t>extraordinarias,</w:t>
      </w:r>
      <w:r>
        <w:rPr>
          <w:color w:val="231F1F"/>
          <w:spacing w:val="-15"/>
          <w:w w:val="105"/>
        </w:rPr>
        <w:t> </w:t>
      </w:r>
      <w:r>
        <w:rPr>
          <w:color w:val="231F1F"/>
          <w:w w:val="105"/>
        </w:rPr>
        <w:t>que los bandos en pugna aplicaron, de forma simétrica, a los habitantes de</w:t>
      </w:r>
      <w:r>
        <w:rPr>
          <w:color w:val="231F1F"/>
          <w:spacing w:val="-26"/>
          <w:w w:val="105"/>
        </w:rPr>
        <w:t> </w:t>
      </w:r>
      <w:r>
        <w:rPr>
          <w:color w:val="231F1F"/>
          <w:w w:val="105"/>
        </w:rPr>
        <w:t>sus </w:t>
      </w:r>
      <w:r>
        <w:rPr>
          <w:color w:val="231F1F"/>
        </w:rPr>
        <w:t>respectivos</w:t>
      </w:r>
      <w:r>
        <w:rPr>
          <w:color w:val="231F1F"/>
          <w:spacing w:val="-9"/>
        </w:rPr>
        <w:t> </w:t>
      </w:r>
      <w:r>
        <w:rPr>
          <w:color w:val="231F1F"/>
        </w:rPr>
        <w:t>territorios.</w:t>
      </w:r>
      <w:r>
        <w:rPr>
          <w:color w:val="231F1F"/>
          <w:spacing w:val="-9"/>
        </w:rPr>
        <w:t> </w:t>
      </w:r>
      <w:r>
        <w:rPr>
          <w:color w:val="231F1F"/>
        </w:rPr>
        <w:t>Entre</w:t>
      </w:r>
      <w:r>
        <w:rPr>
          <w:color w:val="231F1F"/>
          <w:spacing w:val="-9"/>
        </w:rPr>
        <w:t> </w:t>
      </w:r>
      <w:r>
        <w:rPr>
          <w:color w:val="231F1F"/>
        </w:rPr>
        <w:t>ellos</w:t>
      </w:r>
      <w:r>
        <w:rPr>
          <w:color w:val="231F1F"/>
          <w:spacing w:val="-9"/>
        </w:rPr>
        <w:t> </w:t>
      </w:r>
      <w:r>
        <w:rPr>
          <w:color w:val="231F1F"/>
        </w:rPr>
        <w:t>destaca</w:t>
      </w:r>
      <w:r>
        <w:rPr>
          <w:color w:val="231F1F"/>
          <w:spacing w:val="-9"/>
        </w:rPr>
        <w:t> </w:t>
      </w:r>
      <w:r>
        <w:rPr>
          <w:color w:val="231F1F"/>
        </w:rPr>
        <w:t>el</w:t>
      </w:r>
      <w:r>
        <w:rPr>
          <w:color w:val="231F1F"/>
          <w:spacing w:val="-9"/>
        </w:rPr>
        <w:t> </w:t>
      </w:r>
      <w:r>
        <w:rPr>
          <w:color w:val="231F1F"/>
        </w:rPr>
        <w:t>asunto</w:t>
      </w:r>
      <w:r>
        <w:rPr>
          <w:color w:val="231F1F"/>
          <w:spacing w:val="-9"/>
        </w:rPr>
        <w:t> </w:t>
      </w:r>
      <w:r>
        <w:rPr>
          <w:color w:val="231F1F"/>
        </w:rPr>
        <w:t>de</w:t>
      </w:r>
      <w:r>
        <w:rPr>
          <w:color w:val="231F1F"/>
          <w:spacing w:val="-9"/>
        </w:rPr>
        <w:t> </w:t>
      </w:r>
      <w:r>
        <w:rPr>
          <w:color w:val="231F1F"/>
        </w:rPr>
        <w:t>la</w:t>
      </w:r>
      <w:r>
        <w:rPr>
          <w:color w:val="231F1F"/>
          <w:spacing w:val="-9"/>
        </w:rPr>
        <w:t> </w:t>
      </w:r>
      <w:r>
        <w:rPr>
          <w:color w:val="231F1F"/>
        </w:rPr>
        <w:t>supresión</w:t>
      </w:r>
      <w:r>
        <w:rPr>
          <w:color w:val="231F1F"/>
          <w:spacing w:val="-9"/>
        </w:rPr>
        <w:t> </w:t>
      </w:r>
      <w:r>
        <w:rPr>
          <w:color w:val="231F1F"/>
        </w:rPr>
        <w:t>del</w:t>
      </w:r>
      <w:r>
        <w:rPr>
          <w:color w:val="231F1F"/>
          <w:spacing w:val="-9"/>
        </w:rPr>
        <w:t> </w:t>
      </w:r>
      <w:r>
        <w:rPr>
          <w:color w:val="231F1F"/>
        </w:rPr>
        <w:t>tributo </w:t>
      </w:r>
      <w:r>
        <w:rPr>
          <w:color w:val="231F1F"/>
          <w:w w:val="105"/>
        </w:rPr>
        <w:t>indígena o de castas y la aplicación de la alcabala y el diezmo para todo tipo</w:t>
      </w:r>
      <w:r>
        <w:rPr>
          <w:color w:val="231F1F"/>
          <w:spacing w:val="-8"/>
          <w:w w:val="105"/>
        </w:rPr>
        <w:t> </w:t>
      </w:r>
      <w:r>
        <w:rPr>
          <w:color w:val="231F1F"/>
          <w:w w:val="105"/>
        </w:rPr>
        <w:t>de</w:t>
      </w:r>
      <w:r>
        <w:rPr>
          <w:color w:val="231F1F"/>
          <w:spacing w:val="-8"/>
          <w:w w:val="105"/>
        </w:rPr>
        <w:t> </w:t>
      </w:r>
      <w:r>
        <w:rPr>
          <w:color w:val="231F1F"/>
          <w:w w:val="105"/>
        </w:rPr>
        <w:t>individuos,</w:t>
      </w:r>
      <w:r>
        <w:rPr>
          <w:color w:val="231F1F"/>
          <w:spacing w:val="-8"/>
          <w:w w:val="105"/>
        </w:rPr>
        <w:t> </w:t>
      </w:r>
      <w:r>
        <w:rPr>
          <w:color w:val="231F1F"/>
          <w:w w:val="105"/>
        </w:rPr>
        <w:t>así</w:t>
      </w:r>
      <w:r>
        <w:rPr>
          <w:color w:val="231F1F"/>
          <w:spacing w:val="-8"/>
          <w:w w:val="105"/>
        </w:rPr>
        <w:t> </w:t>
      </w:r>
      <w:r>
        <w:rPr>
          <w:color w:val="231F1F"/>
          <w:w w:val="105"/>
        </w:rPr>
        <w:t>como</w:t>
      </w:r>
      <w:r>
        <w:rPr>
          <w:color w:val="231F1F"/>
          <w:spacing w:val="-8"/>
          <w:w w:val="105"/>
        </w:rPr>
        <w:t> </w:t>
      </w:r>
      <w:r>
        <w:rPr>
          <w:color w:val="231F1F"/>
          <w:w w:val="105"/>
        </w:rPr>
        <w:t>las</w:t>
      </w:r>
      <w:r>
        <w:rPr>
          <w:color w:val="231F1F"/>
          <w:spacing w:val="-8"/>
          <w:w w:val="105"/>
        </w:rPr>
        <w:t> </w:t>
      </w:r>
      <w:r>
        <w:rPr>
          <w:color w:val="231F1F"/>
          <w:w w:val="105"/>
        </w:rPr>
        <w:t>contribuciones</w:t>
      </w:r>
      <w:r>
        <w:rPr>
          <w:color w:val="231F1F"/>
          <w:spacing w:val="-8"/>
          <w:w w:val="105"/>
        </w:rPr>
        <w:t> </w:t>
      </w:r>
      <w:r>
        <w:rPr>
          <w:color w:val="231F1F"/>
          <w:w w:val="105"/>
        </w:rPr>
        <w:t>per</w:t>
      </w:r>
      <w:r>
        <w:rPr>
          <w:color w:val="231F1F"/>
          <w:spacing w:val="-8"/>
          <w:w w:val="105"/>
        </w:rPr>
        <w:t> </w:t>
      </w:r>
      <w:r>
        <w:rPr>
          <w:color w:val="231F1F"/>
          <w:w w:val="105"/>
        </w:rPr>
        <w:t>cápita,</w:t>
      </w:r>
      <w:r>
        <w:rPr>
          <w:color w:val="231F1F"/>
          <w:spacing w:val="-8"/>
          <w:w w:val="105"/>
        </w:rPr>
        <w:t> </w:t>
      </w:r>
      <w:r>
        <w:rPr>
          <w:color w:val="231F1F"/>
          <w:w w:val="105"/>
        </w:rPr>
        <w:t>las</w:t>
      </w:r>
      <w:r>
        <w:rPr>
          <w:color w:val="231F1F"/>
          <w:spacing w:val="-8"/>
          <w:w w:val="105"/>
        </w:rPr>
        <w:t> </w:t>
      </w:r>
      <w:r>
        <w:rPr>
          <w:color w:val="231F1F"/>
          <w:w w:val="105"/>
        </w:rPr>
        <w:t>directas,</w:t>
      </w:r>
      <w:r>
        <w:rPr>
          <w:color w:val="231F1F"/>
          <w:spacing w:val="-8"/>
          <w:w w:val="105"/>
        </w:rPr>
        <w:t> </w:t>
      </w:r>
      <w:r>
        <w:rPr>
          <w:color w:val="231F1F"/>
          <w:w w:val="105"/>
        </w:rPr>
        <w:t>pro- gresivas y de proporcionalidad. Por lo anterior, el territorio insurgente del </w:t>
      </w:r>
      <w:r>
        <w:rPr>
          <w:color w:val="231F1F"/>
          <w:spacing w:val="-5"/>
          <w:w w:val="105"/>
        </w:rPr>
        <w:t>sur, </w:t>
      </w:r>
      <w:r>
        <w:rPr>
          <w:color w:val="231F1F"/>
          <w:w w:val="105"/>
        </w:rPr>
        <w:t>a cargo de Morelos, ha comenzado a ser estudiado bajo estas nuevas temáticas (Guzmán Pérez, </w:t>
      </w:r>
      <w:r>
        <w:rPr>
          <w:color w:val="231F1F"/>
          <w:w w:val="105"/>
          <w:sz w:val="20"/>
        </w:rPr>
        <w:t>2006</w:t>
      </w:r>
      <w:r>
        <w:rPr>
          <w:color w:val="231F1F"/>
          <w:w w:val="105"/>
        </w:rPr>
        <w:t>: </w:t>
      </w:r>
      <w:r>
        <w:rPr>
          <w:color w:val="231F1F"/>
          <w:w w:val="105"/>
          <w:sz w:val="20"/>
        </w:rPr>
        <w:t>315-351</w:t>
      </w:r>
      <w:r>
        <w:rPr>
          <w:color w:val="231F1F"/>
          <w:w w:val="105"/>
        </w:rPr>
        <w:t>; García Ávila, </w:t>
      </w:r>
      <w:r>
        <w:rPr>
          <w:color w:val="231F1F"/>
          <w:w w:val="105"/>
          <w:sz w:val="20"/>
        </w:rPr>
        <w:t>2006</w:t>
      </w:r>
      <w:r>
        <w:rPr>
          <w:color w:val="231F1F"/>
          <w:w w:val="105"/>
        </w:rPr>
        <w:t>: </w:t>
      </w:r>
      <w:r>
        <w:rPr>
          <w:color w:val="231F1F"/>
          <w:w w:val="105"/>
          <w:sz w:val="20"/>
        </w:rPr>
        <w:t>381-417</w:t>
      </w:r>
      <w:r>
        <w:rPr>
          <w:color w:val="231F1F"/>
          <w:w w:val="105"/>
        </w:rPr>
        <w:t>; Cortés, </w:t>
      </w:r>
      <w:r>
        <w:rPr>
          <w:color w:val="231F1F"/>
          <w:w w:val="105"/>
          <w:sz w:val="20"/>
        </w:rPr>
        <w:t>2006</w:t>
      </w:r>
      <w:r>
        <w:rPr>
          <w:color w:val="231F1F"/>
          <w:w w:val="105"/>
        </w:rPr>
        <w:t>: </w:t>
      </w:r>
      <w:r>
        <w:rPr>
          <w:color w:val="231F1F"/>
          <w:w w:val="105"/>
          <w:sz w:val="20"/>
        </w:rPr>
        <w:t>279-311</w:t>
      </w:r>
      <w:r>
        <w:rPr>
          <w:color w:val="231F1F"/>
          <w:w w:val="105"/>
        </w:rPr>
        <w:t>; </w:t>
      </w:r>
      <w:r>
        <w:rPr>
          <w:color w:val="231F1F"/>
          <w:spacing w:val="-3"/>
          <w:w w:val="105"/>
        </w:rPr>
        <w:t>Terán, </w:t>
      </w:r>
      <w:r>
        <w:rPr>
          <w:color w:val="231F1F"/>
          <w:w w:val="105"/>
          <w:sz w:val="20"/>
        </w:rPr>
        <w:t>2010</w:t>
      </w:r>
      <w:r>
        <w:rPr>
          <w:color w:val="231F1F"/>
          <w:w w:val="105"/>
        </w:rPr>
        <w:t>: </w:t>
      </w:r>
      <w:r>
        <w:rPr>
          <w:color w:val="231F1F"/>
          <w:w w:val="105"/>
          <w:sz w:val="20"/>
        </w:rPr>
        <w:t>249-288</w:t>
      </w:r>
      <w:r>
        <w:rPr>
          <w:color w:val="231F1F"/>
          <w:w w:val="105"/>
        </w:rPr>
        <w:t>; Serrano, </w:t>
      </w:r>
      <w:r>
        <w:rPr>
          <w:color w:val="231F1F"/>
          <w:w w:val="105"/>
          <w:sz w:val="20"/>
        </w:rPr>
        <w:t>2010</w:t>
      </w:r>
      <w:r>
        <w:rPr>
          <w:color w:val="231F1F"/>
          <w:w w:val="105"/>
        </w:rPr>
        <w:t>: </w:t>
      </w:r>
      <w:r>
        <w:rPr>
          <w:color w:val="231F1F"/>
          <w:w w:val="105"/>
          <w:sz w:val="20"/>
        </w:rPr>
        <w:t>154-165</w:t>
      </w:r>
      <w:r>
        <w:rPr>
          <w:color w:val="231F1F"/>
          <w:w w:val="105"/>
        </w:rPr>
        <w:t>; Herrejón,  </w:t>
      </w:r>
      <w:r>
        <w:rPr>
          <w:color w:val="231F1F"/>
          <w:w w:val="105"/>
          <w:sz w:val="20"/>
        </w:rPr>
        <w:t>2014</w:t>
      </w:r>
      <w:r>
        <w:rPr>
          <w:color w:val="231F1F"/>
          <w:w w:val="105"/>
        </w:rPr>
        <w:t>:  </w:t>
      </w:r>
      <w:r>
        <w:rPr>
          <w:color w:val="231F1F"/>
          <w:w w:val="105"/>
          <w:sz w:val="20"/>
        </w:rPr>
        <w:t>29-47</w:t>
      </w:r>
      <w:r>
        <w:rPr>
          <w:color w:val="231F1F"/>
          <w:w w:val="105"/>
        </w:rPr>
        <w:t>;  Moreno,  </w:t>
      </w:r>
      <w:r>
        <w:rPr>
          <w:color w:val="231F1F"/>
          <w:w w:val="105"/>
          <w:sz w:val="20"/>
        </w:rPr>
        <w:t>2014</w:t>
      </w:r>
      <w:r>
        <w:rPr>
          <w:color w:val="231F1F"/>
          <w:w w:val="105"/>
        </w:rPr>
        <w:t>:  </w:t>
      </w:r>
      <w:r>
        <w:rPr>
          <w:color w:val="231F1F"/>
          <w:spacing w:val="16"/>
          <w:w w:val="105"/>
        </w:rPr>
        <w:t> </w:t>
      </w:r>
      <w:r>
        <w:rPr>
          <w:color w:val="231F1F"/>
          <w:w w:val="105"/>
          <w:sz w:val="20"/>
        </w:rPr>
        <w:t>135-153</w:t>
      </w:r>
      <w:r>
        <w:rPr>
          <w:color w:val="231F1F"/>
          <w:w w:val="105"/>
        </w:rPr>
        <w:t>).</w:t>
      </w:r>
    </w:p>
    <w:p>
      <w:pPr>
        <w:pStyle w:val="BodyText"/>
        <w:spacing w:before="9"/>
        <w:rPr>
          <w:sz w:val="27"/>
        </w:rPr>
      </w:pPr>
    </w:p>
    <w:p>
      <w:pPr>
        <w:pStyle w:val="BodyText"/>
        <w:spacing w:line="268" w:lineRule="auto"/>
        <w:ind w:left="1504" w:right="3822"/>
        <w:jc w:val="both"/>
      </w:pPr>
      <w:r>
        <w:rPr>
          <w:color w:val="231F1F"/>
        </w:rPr>
        <w:t>El presente capítulo tiene como propósito central examinar el pensamiento político, social y económico de Morelos con respecto a una de las princi- pales corporaciones civiles de la época: los pueblos de indios o repúblicas    de indios, para tratar de explicar qué papel jugarían estas entidades en el ideario del Rayo del Sur al buscar construir un nuevo estado nacional. En efecto, la sociedad novohispana de principios del siglo </w:t>
      </w:r>
      <w:r>
        <w:rPr>
          <w:color w:val="231F1F"/>
          <w:sz w:val="18"/>
        </w:rPr>
        <w:t>XIX </w:t>
      </w:r>
      <w:r>
        <w:rPr>
          <w:color w:val="231F1F"/>
        </w:rPr>
        <w:t>todavía estaba organizada sobre la base de dos corporaciones civiles, reconocidas plena- </w:t>
      </w:r>
      <w:r>
        <w:rPr>
          <w:color w:val="231F1F"/>
          <w:spacing w:val="3"/>
        </w:rPr>
        <w:t>mente </w:t>
      </w:r>
      <w:r>
        <w:rPr>
          <w:color w:val="231F1F"/>
          <w:spacing w:val="2"/>
        </w:rPr>
        <w:t>por </w:t>
      </w:r>
      <w:r>
        <w:rPr>
          <w:color w:val="231F1F"/>
        </w:rPr>
        <w:t>el </w:t>
      </w:r>
      <w:r>
        <w:rPr>
          <w:color w:val="231F1F"/>
          <w:spacing w:val="3"/>
        </w:rPr>
        <w:t>aparato </w:t>
      </w:r>
      <w:r>
        <w:rPr>
          <w:color w:val="231F1F"/>
        </w:rPr>
        <w:t>jurídico-político, que databan del siglo </w:t>
      </w:r>
      <w:r>
        <w:rPr>
          <w:color w:val="231F1F"/>
          <w:sz w:val="18"/>
        </w:rPr>
        <w:t>XVI</w:t>
      </w:r>
      <w:r>
        <w:rPr>
          <w:color w:val="231F1F"/>
        </w:rPr>
        <w:t>: los pueblos de indios y los pueblos de españoles, o bien, las llamadas  repúblicas  de indios y repúblicas de españoles. Si miramos más de cerca, el asunto no      era </w:t>
      </w:r>
      <w:r>
        <w:rPr>
          <w:color w:val="231F1F"/>
          <w:spacing w:val="-3"/>
        </w:rPr>
        <w:t>menor, </w:t>
      </w:r>
      <w:r>
        <w:rPr>
          <w:color w:val="231F1F"/>
        </w:rPr>
        <w:t>pues como han mostrado algunos historiadores había más de </w:t>
      </w:r>
      <w:r>
        <w:rPr>
          <w:color w:val="231F1F"/>
          <w:sz w:val="20"/>
        </w:rPr>
        <w:t>4,000 </w:t>
      </w:r>
      <w:r>
        <w:rPr>
          <w:color w:val="231F1F"/>
        </w:rPr>
        <w:t>pueblos  de  indios,  reconocidos  a  principios  del  siglo  </w:t>
      </w:r>
      <w:r>
        <w:rPr>
          <w:color w:val="231F1F"/>
          <w:sz w:val="18"/>
        </w:rPr>
        <w:t>XIX</w:t>
      </w:r>
      <w:r>
        <w:rPr>
          <w:color w:val="231F1F"/>
        </w:rPr>
        <w:t>,  a  lo  largo y ancho del territorio novohispano (García Martínez y Martínez Mendoza, </w:t>
      </w:r>
      <w:r>
        <w:rPr>
          <w:color w:val="231F1F"/>
          <w:sz w:val="20"/>
        </w:rPr>
        <w:t>2012</w:t>
      </w:r>
      <w:r>
        <w:rPr>
          <w:color w:val="231F1F"/>
        </w:rPr>
        <w:t>; </w:t>
      </w:r>
      <w:r>
        <w:rPr>
          <w:color w:val="231F1F"/>
          <w:spacing w:val="-3"/>
        </w:rPr>
        <w:t>Tanck, </w:t>
      </w:r>
      <w:r>
        <w:rPr>
          <w:color w:val="231F1F"/>
          <w:sz w:val="20"/>
        </w:rPr>
        <w:t>2004</w:t>
      </w:r>
      <w:r>
        <w:rPr>
          <w:color w:val="231F1F"/>
        </w:rPr>
        <w:t>: </w:t>
      </w:r>
      <w:r>
        <w:rPr>
          <w:color w:val="231F1F"/>
          <w:sz w:val="20"/>
        </w:rPr>
        <w:t>24</w:t>
      </w:r>
      <w:r>
        <w:rPr>
          <w:color w:val="231F1F"/>
        </w:rPr>
        <w:t>). </w:t>
      </w:r>
      <w:r>
        <w:rPr>
          <w:color w:val="231F1F"/>
          <w:spacing w:val="-4"/>
        </w:rPr>
        <w:t>Todos  </w:t>
      </w:r>
      <w:r>
        <w:rPr>
          <w:color w:val="231F1F"/>
        </w:rPr>
        <w:t>estos  pueblos  se  comportaban,  a  pesar  de  las reformas borbónicas, como corporaciones políticas y territoriales, con gobierno y tesorería propios, así como importantes propiedades raíces y empresas colectivas, todo al amparo de las leyes y la política indiana. El  precio de esto era la fidelidad irrestricta al rey y a la religión católica por  parte de los indios y sus respectivas corporaciones, aunque se presentasen conflictos graves con los funcionarios intermedios del gobierno colonial. Si este</w:t>
      </w:r>
      <w:r>
        <w:rPr>
          <w:color w:val="231F1F"/>
          <w:spacing w:val="-6"/>
        </w:rPr>
        <w:t> </w:t>
      </w:r>
      <w:r>
        <w:rPr>
          <w:color w:val="231F1F"/>
        </w:rPr>
        <w:t>planteamiento</w:t>
      </w:r>
      <w:r>
        <w:rPr>
          <w:color w:val="231F1F"/>
          <w:spacing w:val="-6"/>
        </w:rPr>
        <w:t> </w:t>
      </w:r>
      <w:r>
        <w:rPr>
          <w:color w:val="231F1F"/>
        </w:rPr>
        <w:t>es</w:t>
      </w:r>
      <w:r>
        <w:rPr>
          <w:color w:val="231F1F"/>
          <w:spacing w:val="-6"/>
        </w:rPr>
        <w:t> </w:t>
      </w:r>
      <w:r>
        <w:rPr>
          <w:color w:val="231F1F"/>
        </w:rPr>
        <w:t>correcto,</w:t>
      </w:r>
      <w:r>
        <w:rPr>
          <w:color w:val="231F1F"/>
          <w:spacing w:val="-6"/>
        </w:rPr>
        <w:t> </w:t>
      </w:r>
      <w:r>
        <w:rPr>
          <w:color w:val="231F1F"/>
        </w:rPr>
        <w:t>las</w:t>
      </w:r>
      <w:r>
        <w:rPr>
          <w:color w:val="231F1F"/>
          <w:spacing w:val="-6"/>
        </w:rPr>
        <w:t> </w:t>
      </w:r>
      <w:r>
        <w:rPr>
          <w:color w:val="231F1F"/>
        </w:rPr>
        <w:t>preguntas</w:t>
      </w:r>
      <w:r>
        <w:rPr>
          <w:color w:val="231F1F"/>
          <w:spacing w:val="-6"/>
        </w:rPr>
        <w:t> </w:t>
      </w:r>
      <w:r>
        <w:rPr>
          <w:color w:val="231F1F"/>
        </w:rPr>
        <w:t>consecuentes</w:t>
      </w:r>
      <w:r>
        <w:rPr>
          <w:color w:val="231F1F"/>
          <w:spacing w:val="-6"/>
        </w:rPr>
        <w:t> </w:t>
      </w:r>
      <w:r>
        <w:rPr>
          <w:color w:val="231F1F"/>
        </w:rPr>
        <w:t>son:</w:t>
      </w:r>
      <w:r>
        <w:rPr>
          <w:color w:val="231F1F"/>
          <w:spacing w:val="-6"/>
        </w:rPr>
        <w:t> </w:t>
      </w:r>
      <w:r>
        <w:rPr>
          <w:color w:val="231F1F"/>
        </w:rPr>
        <w:t>¿qué</w:t>
      </w:r>
      <w:r>
        <w:rPr>
          <w:color w:val="231F1F"/>
          <w:spacing w:val="-6"/>
        </w:rPr>
        <w:t> </w:t>
      </w:r>
      <w:r>
        <w:rPr>
          <w:color w:val="231F1F"/>
        </w:rPr>
        <w:t>política social, económica e institucional siguió el cura de Carácuaro frente a estas corporaciones indígenas durante la guerra insurgente?, y ¿qué futuro </w:t>
      </w:r>
      <w:r>
        <w:rPr>
          <w:color w:val="231F1F"/>
          <w:spacing w:val="2"/>
        </w:rPr>
        <w:t>les </w:t>
      </w:r>
      <w:r>
        <w:rPr>
          <w:color w:val="231F1F"/>
        </w:rPr>
        <w:t>deparaba en el nuevo proyecto de    </w:t>
      </w:r>
      <w:r>
        <w:rPr>
          <w:color w:val="231F1F"/>
          <w:spacing w:val="12"/>
        </w:rPr>
        <w:t> </w:t>
      </w:r>
      <w:r>
        <w:rPr>
          <w:color w:val="231F1F"/>
        </w:rPr>
        <w:t>nación?</w:t>
      </w:r>
    </w:p>
    <w:p>
      <w:pPr>
        <w:pStyle w:val="BodyText"/>
        <w:spacing w:before="9"/>
        <w:rPr>
          <w:sz w:val="27"/>
        </w:rPr>
      </w:pPr>
    </w:p>
    <w:p>
      <w:pPr>
        <w:pStyle w:val="BodyText"/>
        <w:spacing w:line="268" w:lineRule="auto"/>
        <w:ind w:left="1504" w:right="3821"/>
        <w:jc w:val="both"/>
      </w:pPr>
      <w:r>
        <w:rPr>
          <w:color w:val="231F1F"/>
        </w:rPr>
        <w:t>Debido a lo anterior, quedan fuera de este capítulo todas aquellas estrate- gias de tipo coyuntural que incorporaron a los habitantes de los pueblos al</w:t>
      </w:r>
    </w:p>
    <w:p>
      <w:pPr>
        <w:spacing w:after="0" w:line="268" w:lineRule="auto"/>
        <w:jc w:val="both"/>
        <w:sectPr>
          <w:pgSz w:w="13100" w:h="17920"/>
          <w:pgMar w:top="1660" w:bottom="280" w:left="820" w:right="0"/>
        </w:sectPr>
      </w:pPr>
    </w:p>
    <w:p>
      <w:pPr>
        <w:pStyle w:val="BodyText"/>
        <w:spacing w:before="5"/>
        <w:rPr>
          <w:sz w:val="3"/>
        </w:rPr>
      </w:pPr>
    </w:p>
    <w:p>
      <w:pPr>
        <w:tabs>
          <w:tab w:pos="4793" w:val="left" w:leader="none"/>
        </w:tabs>
        <w:spacing w:line="240" w:lineRule="auto"/>
        <w:ind w:left="115" w:right="0" w:firstLine="0"/>
        <w:rPr>
          <w:sz w:val="20"/>
        </w:rPr>
      </w:pPr>
      <w:r>
        <w:rPr>
          <w:position w:val="5"/>
          <w:sz w:val="20"/>
        </w:rPr>
        <w:drawing>
          <wp:inline distT="0" distB="0" distL="0" distR="0">
            <wp:extent cx="2783066" cy="3990498"/>
            <wp:effectExtent l="0" t="0" r="0" b="0"/>
            <wp:docPr id="33" name="image25.jpeg" descr=""/>
            <wp:cNvGraphicFramePr>
              <a:graphicFrameLocks noChangeAspect="1"/>
            </wp:cNvGraphicFramePr>
            <a:graphic>
              <a:graphicData uri="http://schemas.openxmlformats.org/drawingml/2006/picture">
                <pic:pic>
                  <pic:nvPicPr>
                    <pic:cNvPr id="34" name="image25.jpeg"/>
                    <pic:cNvPicPr/>
                  </pic:nvPicPr>
                  <pic:blipFill>
                    <a:blip r:embed="rId30" cstate="print"/>
                    <a:stretch>
                      <a:fillRect/>
                    </a:stretch>
                  </pic:blipFill>
                  <pic:spPr>
                    <a:xfrm>
                      <a:off x="0" y="0"/>
                      <a:ext cx="2783066" cy="3990498"/>
                    </a:xfrm>
                    <a:prstGeom prst="rect">
                      <a:avLst/>
                    </a:prstGeom>
                  </pic:spPr>
                </pic:pic>
              </a:graphicData>
            </a:graphic>
          </wp:inline>
        </w:drawing>
      </w:r>
      <w:r>
        <w:rPr>
          <w:position w:val="5"/>
          <w:sz w:val="20"/>
        </w:rPr>
      </w:r>
      <w:r>
        <w:rPr>
          <w:position w:val="5"/>
          <w:sz w:val="20"/>
        </w:rPr>
        <w:tab/>
      </w:r>
      <w:r>
        <w:rPr>
          <w:sz w:val="20"/>
        </w:rPr>
        <w:drawing>
          <wp:inline distT="0" distB="0" distL="0" distR="0">
            <wp:extent cx="2770345" cy="4015835"/>
            <wp:effectExtent l="0" t="0" r="0" b="0"/>
            <wp:docPr id="35" name="image26.jpeg" descr=""/>
            <wp:cNvGraphicFramePr>
              <a:graphicFrameLocks noChangeAspect="1"/>
            </wp:cNvGraphicFramePr>
            <a:graphic>
              <a:graphicData uri="http://schemas.openxmlformats.org/drawingml/2006/picture">
                <pic:pic>
                  <pic:nvPicPr>
                    <pic:cNvPr id="36" name="image26.jpeg"/>
                    <pic:cNvPicPr/>
                  </pic:nvPicPr>
                  <pic:blipFill>
                    <a:blip r:embed="rId31" cstate="print"/>
                    <a:stretch>
                      <a:fillRect/>
                    </a:stretch>
                  </pic:blipFill>
                  <pic:spPr>
                    <a:xfrm>
                      <a:off x="0" y="0"/>
                      <a:ext cx="2770345" cy="4015835"/>
                    </a:xfrm>
                    <a:prstGeom prst="rect">
                      <a:avLst/>
                    </a:prstGeom>
                  </pic:spPr>
                </pic:pic>
              </a:graphicData>
            </a:graphic>
          </wp:inline>
        </w:drawing>
      </w:r>
      <w:r>
        <w:rPr>
          <w:sz w:val="20"/>
        </w:rPr>
      </w:r>
    </w:p>
    <w:p>
      <w:pPr>
        <w:pStyle w:val="BodyText"/>
        <w:rPr>
          <w:sz w:val="18"/>
        </w:rPr>
      </w:pPr>
      <w:r>
        <w:rPr/>
        <w:pict>
          <v:shape style="position:absolute;margin-left:433.757996pt;margin-top:12.972945pt;width:12.65pt;height:6.35pt;mso-position-horizontal-relative:page;mso-position-vertical-relative:paragraph;z-index:1720;mso-wrap-distance-left:0;mso-wrap-distance-right:0" coordorigin="8675,259" coordsize="253,127" path="m8801,259l8675,386,8927,386,8801,259xe" filled="true" fillcolor="#a8483d" stroked="false">
            <v:path arrowok="t"/>
            <v:fill type="solid"/>
            <w10:wrap type="topAndBottom"/>
          </v:shape>
        </w:pict>
      </w:r>
    </w:p>
    <w:p>
      <w:pPr>
        <w:spacing w:after="0"/>
        <w:rPr>
          <w:sz w:val="18"/>
        </w:rPr>
        <w:sectPr>
          <w:pgSz w:w="13100" w:h="17920"/>
          <w:pgMar w:top="1700" w:bottom="280" w:left="1620" w:right="1860"/>
        </w:sectPr>
      </w:pPr>
    </w:p>
    <w:p>
      <w:pPr>
        <w:pStyle w:val="BodyText"/>
        <w:spacing w:line="268" w:lineRule="auto" w:before="58"/>
        <w:ind w:left="109"/>
        <w:jc w:val="both"/>
      </w:pPr>
      <w:r>
        <w:rPr>
          <w:color w:val="231F1F"/>
        </w:rPr>
        <w:t>movimiento insurgente. Hay excelentes estudios que han mostrado </w:t>
      </w:r>
      <w:r>
        <w:rPr>
          <w:color w:val="231F1F"/>
          <w:spacing w:val="2"/>
        </w:rPr>
        <w:t>con </w:t>
      </w:r>
      <w:r>
        <w:rPr>
          <w:color w:val="231F1F"/>
        </w:rPr>
        <w:t>gran lucidez la forma como funcionaron las tácticas de los líderes insur- gentes para incrementar y mantener las bases sociales de la insurgencia. Los métodos más efectivos a la sensibilidad política de los pueblos de indios fueron todos aquellos que tenían que ver con la eliminación de </w:t>
      </w:r>
      <w:r>
        <w:rPr>
          <w:color w:val="231F1F"/>
          <w:spacing w:val="2"/>
        </w:rPr>
        <w:t>las </w:t>
      </w:r>
      <w:r>
        <w:rPr>
          <w:color w:val="231F1F"/>
        </w:rPr>
        <w:t>odiosas “gabelas” que debían que pagar los naturales y sus </w:t>
      </w:r>
      <w:r>
        <w:rPr>
          <w:color w:val="231F1F"/>
          <w:spacing w:val="2"/>
        </w:rPr>
        <w:t>gobiernos        </w:t>
      </w:r>
      <w:r>
        <w:rPr>
          <w:color w:val="231F1F"/>
        </w:rPr>
        <w:t>a todos los funcionarios intermedios de la administración colonial. Y </w:t>
      </w:r>
      <w:r>
        <w:rPr>
          <w:color w:val="231F1F"/>
          <w:spacing w:val="2"/>
        </w:rPr>
        <w:t>que </w:t>
      </w:r>
      <w:r>
        <w:rPr>
          <w:color w:val="231F1F"/>
        </w:rPr>
        <w:t>debido al constante exceso y abuso de estos funcionarios en su </w:t>
      </w:r>
      <w:r>
        <w:rPr>
          <w:color w:val="231F1F"/>
          <w:spacing w:val="2"/>
        </w:rPr>
        <w:t>cobro, </w:t>
      </w:r>
      <w:r>
        <w:rPr>
          <w:color w:val="231F1F"/>
        </w:rPr>
        <w:t>habían sido repelidas bajo la frase de “muera el mal gobierno” </w:t>
      </w:r>
      <w:r>
        <w:rPr>
          <w:color w:val="231F1F"/>
          <w:spacing w:val="2"/>
        </w:rPr>
        <w:t>(Cortés: </w:t>
      </w:r>
      <w:r>
        <w:rPr>
          <w:color w:val="231F1F"/>
          <w:sz w:val="20"/>
        </w:rPr>
        <w:t>2006: 279-311</w:t>
      </w:r>
      <w:r>
        <w:rPr>
          <w:color w:val="231F1F"/>
        </w:rPr>
        <w:t>). Otro de los métodos más conocidos, empleado por el mismo Morelos frente a los indígenas, fue enmascarar  los  verdaderos fines de la insurgencia como una supuesta defensa del rey Fernando </w:t>
      </w:r>
      <w:r>
        <w:rPr>
          <w:color w:val="231F1F"/>
          <w:sz w:val="18"/>
        </w:rPr>
        <w:t>VII </w:t>
      </w:r>
      <w:r>
        <w:rPr>
          <w:color w:val="231F1F"/>
        </w:rPr>
        <w:t>frente a los “traidores españoles” (Landavazo, </w:t>
      </w:r>
      <w:r>
        <w:rPr>
          <w:color w:val="231F1F"/>
          <w:sz w:val="20"/>
        </w:rPr>
        <w:t>2001: 135-179</w:t>
      </w:r>
      <w:r>
        <w:rPr>
          <w:color w:val="231F1F"/>
        </w:rPr>
        <w:t>). </w:t>
      </w:r>
      <w:r>
        <w:rPr>
          <w:color w:val="231F1F"/>
          <w:spacing w:val="-3"/>
        </w:rPr>
        <w:t>Tampoco     </w:t>
      </w:r>
      <w:r>
        <w:rPr>
          <w:color w:val="231F1F"/>
        </w:rPr>
        <w:t>se tratan aquí las medidas sociales y  económicas  que  Morelos  </w:t>
      </w:r>
      <w:r>
        <w:rPr>
          <w:color w:val="231F1F"/>
          <w:spacing w:val="2"/>
        </w:rPr>
        <w:t>aplicó </w:t>
      </w:r>
      <w:r>
        <w:rPr>
          <w:color w:val="231F1F"/>
        </w:rPr>
        <w:t>sólo de manera circunstancial, motivadas por la urgencia del momento que  se</w:t>
      </w:r>
      <w:r>
        <w:rPr>
          <w:color w:val="231F1F"/>
          <w:spacing w:val="22"/>
        </w:rPr>
        <w:t> </w:t>
      </w:r>
      <w:r>
        <w:rPr>
          <w:color w:val="231F1F"/>
          <w:spacing w:val="2"/>
        </w:rPr>
        <w:t>vivía.</w:t>
      </w:r>
    </w:p>
    <w:p>
      <w:pPr>
        <w:pStyle w:val="BodyText"/>
        <w:spacing w:before="9"/>
        <w:rPr>
          <w:sz w:val="27"/>
        </w:rPr>
      </w:pPr>
    </w:p>
    <w:p>
      <w:pPr>
        <w:pStyle w:val="BodyText"/>
        <w:spacing w:line="268" w:lineRule="auto" w:before="1"/>
        <w:ind w:left="109" w:right="2"/>
        <w:jc w:val="both"/>
      </w:pPr>
      <w:r>
        <w:rPr>
          <w:color w:val="231F1F"/>
        </w:rPr>
        <w:t>Se analizan, más bien, todas aquellas ideas, estrategias y  medidas  de largo aliento que Morelos explicó en varios documentos, y a lo largo de cinco años, respecto a su política social, económica e institucional en relación directa con los habitantes de los pueblos de indios y la estruc-</w:t>
      </w:r>
    </w:p>
    <w:p>
      <w:pPr>
        <w:pStyle w:val="ListParagraph"/>
        <w:numPr>
          <w:ilvl w:val="0"/>
          <w:numId w:val="1"/>
        </w:numPr>
        <w:tabs>
          <w:tab w:pos="276" w:val="left" w:leader="none"/>
        </w:tabs>
        <w:spacing w:line="240" w:lineRule="auto" w:before="77" w:after="0"/>
        <w:ind w:left="275" w:right="0" w:hanging="166"/>
        <w:jc w:val="both"/>
        <w:rPr>
          <w:color w:val="383434"/>
          <w:sz w:val="16"/>
        </w:rPr>
      </w:pPr>
      <w:r>
        <w:rPr>
          <w:color w:val="383434"/>
          <w:spacing w:val="3"/>
          <w:w w:val="98"/>
          <w:sz w:val="16"/>
        </w:rPr>
        <w:br w:type="column"/>
      </w:r>
      <w:r>
        <w:rPr>
          <w:color w:val="383434"/>
          <w:w w:val="105"/>
          <w:sz w:val="16"/>
        </w:rPr>
        <w:t>Timbre</w:t>
      </w:r>
      <w:r>
        <w:rPr>
          <w:color w:val="383434"/>
          <w:spacing w:val="-26"/>
          <w:w w:val="105"/>
          <w:sz w:val="16"/>
        </w:rPr>
        <w:t> </w:t>
      </w:r>
      <w:r>
        <w:rPr>
          <w:color w:val="383434"/>
          <w:w w:val="105"/>
          <w:sz w:val="16"/>
        </w:rPr>
        <w:t>fiscal</w:t>
      </w:r>
      <w:r>
        <w:rPr>
          <w:color w:val="383434"/>
          <w:spacing w:val="-26"/>
          <w:w w:val="105"/>
          <w:sz w:val="16"/>
        </w:rPr>
        <w:t> </w:t>
      </w:r>
      <w:r>
        <w:rPr>
          <w:color w:val="383434"/>
          <w:w w:val="105"/>
          <w:sz w:val="16"/>
        </w:rPr>
        <w:t>de</w:t>
      </w:r>
    </w:p>
    <w:p>
      <w:pPr>
        <w:spacing w:before="9"/>
        <w:ind w:left="109" w:right="0" w:firstLine="0"/>
        <w:jc w:val="both"/>
        <w:rPr>
          <w:rFonts w:ascii="Arial"/>
          <w:sz w:val="16"/>
        </w:rPr>
      </w:pPr>
      <w:r>
        <w:rPr>
          <w:rFonts w:ascii="Arial"/>
          <w:color w:val="383434"/>
          <w:sz w:val="16"/>
        </w:rPr>
        <w:t>Morelos, 1 centavo.</w:t>
      </w:r>
    </w:p>
    <w:p>
      <w:pPr>
        <w:pStyle w:val="BodyText"/>
        <w:spacing w:before="3"/>
        <w:rPr>
          <w:rFonts w:ascii="Arial"/>
          <w:sz w:val="16"/>
        </w:rPr>
      </w:pPr>
    </w:p>
    <w:p>
      <w:pPr>
        <w:pStyle w:val="ListParagraph"/>
        <w:numPr>
          <w:ilvl w:val="0"/>
          <w:numId w:val="1"/>
        </w:numPr>
        <w:tabs>
          <w:tab w:pos="276" w:val="left" w:leader="none"/>
        </w:tabs>
        <w:spacing w:line="249" w:lineRule="auto" w:before="0" w:after="0"/>
        <w:ind w:left="109" w:right="992" w:firstLine="0"/>
        <w:jc w:val="both"/>
        <w:rPr>
          <w:rFonts w:ascii="Arial"/>
          <w:color w:val="383434"/>
          <w:sz w:val="16"/>
        </w:rPr>
      </w:pPr>
      <w:r>
        <w:rPr/>
        <w:pict>
          <v:line style="position:absolute;mso-position-horizontal-relative:page;mso-position-vertical-relative:paragraph;z-index:1744" from="433.757996pt,38.292900pt" to="518.796996pt,38.292900pt" stroked="true" strokeweight=".5pt" strokecolor="#a8483d">
            <w10:wrap type="none"/>
          </v:line>
        </w:pict>
      </w:r>
      <w:r>
        <w:rPr>
          <w:rFonts w:ascii="Arial"/>
          <w:color w:val="383434"/>
          <w:sz w:val="16"/>
        </w:rPr>
        <w:t>Morelos arenga a</w:t>
      </w:r>
      <w:r>
        <w:rPr>
          <w:rFonts w:ascii="Arial"/>
          <w:color w:val="383434"/>
          <w:spacing w:val="-15"/>
          <w:sz w:val="16"/>
        </w:rPr>
        <w:t> </w:t>
      </w:r>
      <w:r>
        <w:rPr>
          <w:rFonts w:ascii="Arial"/>
          <w:color w:val="383434"/>
          <w:sz w:val="16"/>
        </w:rPr>
        <w:t>la multitud para unirse a la</w:t>
      </w:r>
      <w:r>
        <w:rPr>
          <w:rFonts w:ascii="Arial"/>
          <w:color w:val="383434"/>
          <w:spacing w:val="-19"/>
          <w:sz w:val="16"/>
        </w:rPr>
        <w:t> </w:t>
      </w:r>
      <w:r>
        <w:rPr>
          <w:rFonts w:ascii="Arial"/>
          <w:color w:val="383434"/>
          <w:sz w:val="16"/>
        </w:rPr>
        <w:t>insurgencia.</w:t>
      </w:r>
    </w:p>
    <w:p>
      <w:pPr>
        <w:spacing w:after="0" w:line="249" w:lineRule="auto"/>
        <w:jc w:val="both"/>
        <w:rPr>
          <w:rFonts w:ascii="Arial"/>
          <w:sz w:val="16"/>
        </w:rPr>
        <w:sectPr>
          <w:type w:val="continuous"/>
          <w:pgSz w:w="13100" w:h="17920"/>
          <w:pgMar w:top="0" w:bottom="0" w:left="1620" w:right="1860"/>
          <w:cols w:num="2" w:equalWidth="0">
            <w:col w:w="6780" w:space="166"/>
            <w:col w:w="2674"/>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after="0"/>
        <w:rPr>
          <w:rFonts w:ascii="Arial"/>
          <w:sz w:val="20"/>
        </w:rPr>
        <w:sectPr>
          <w:type w:val="continuous"/>
          <w:pgSz w:w="13100" w:h="17920"/>
          <w:pgMar w:top="0" w:bottom="0" w:left="1620" w:right="1860"/>
        </w:sectPr>
      </w:pPr>
    </w:p>
    <w:p>
      <w:pPr>
        <w:pStyle w:val="BodyText"/>
        <w:spacing w:before="8"/>
        <w:rPr>
          <w:rFonts w:ascii="Arial"/>
          <w:sz w:val="21"/>
        </w:rPr>
      </w:pPr>
    </w:p>
    <w:p>
      <w:pPr>
        <w:spacing w:line="194" w:lineRule="exact" w:before="1"/>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pStyle w:val="BodyText"/>
        <w:spacing w:before="9"/>
        <w:rPr>
          <w:sz w:val="18"/>
        </w:rPr>
      </w:pPr>
      <w:r>
        <w:rPr/>
        <w:br w:type="column"/>
      </w:r>
      <w:r>
        <w:rPr>
          <w:sz w:val="18"/>
        </w:rPr>
      </w:r>
    </w:p>
    <w:p>
      <w:pPr>
        <w:spacing w:before="1"/>
        <w:ind w:left="335" w:right="0" w:firstLine="0"/>
        <w:jc w:val="left"/>
        <w:rPr>
          <w:rFonts w:ascii="Verdana"/>
          <w:sz w:val="18"/>
        </w:rPr>
      </w:pPr>
      <w:r>
        <w:rPr>
          <w:rFonts w:ascii="Verdana"/>
          <w:color w:val="4F3628"/>
          <w:sz w:val="18"/>
        </w:rPr>
        <w:t>101</w:t>
      </w:r>
    </w:p>
    <w:p>
      <w:pPr>
        <w:spacing w:after="0"/>
        <w:jc w:val="left"/>
        <w:rPr>
          <w:rFonts w:ascii="Verdana"/>
          <w:sz w:val="18"/>
        </w:rPr>
        <w:sectPr>
          <w:type w:val="continuous"/>
          <w:pgSz w:w="13100" w:h="17920"/>
          <w:pgMar w:top="0" w:bottom="0" w:left="1620" w:right="1860"/>
          <w:cols w:num="2" w:equalWidth="0">
            <w:col w:w="8413" w:space="40"/>
            <w:col w:w="1167"/>
          </w:cols>
        </w:sectPr>
      </w:pPr>
    </w:p>
    <w:p>
      <w:pPr>
        <w:spacing w:before="33"/>
        <w:ind w:left="334" w:right="1725" w:firstLine="0"/>
        <w:jc w:val="left"/>
        <w:rPr>
          <w:rFonts w:ascii="Verdana"/>
          <w:b/>
          <w:sz w:val="18"/>
        </w:rPr>
      </w:pPr>
      <w:r>
        <w:rPr>
          <w:rFonts w:ascii="Verdana"/>
          <w:b/>
          <w:color w:val="4F3628"/>
          <w:sz w:val="18"/>
        </w:rPr>
        <w:t>102</w:t>
      </w:r>
    </w:p>
    <w:p>
      <w:pPr>
        <w:pStyle w:val="BodyText"/>
        <w:rPr>
          <w:rFonts w:ascii="Verdana"/>
          <w:b/>
          <w:sz w:val="23"/>
        </w:rPr>
      </w:pPr>
      <w:r>
        <w:rPr/>
        <w:drawing>
          <wp:anchor distT="0" distB="0" distL="0" distR="0" allowOverlap="1" layoutInCell="1" locked="0" behindDoc="0" simplePos="0" relativeHeight="1768">
            <wp:simplePos x="0" y="0"/>
            <wp:positionH relativeFrom="page">
              <wp:posOffset>589533</wp:posOffset>
            </wp:positionH>
            <wp:positionV relativeFrom="paragraph">
              <wp:posOffset>202709</wp:posOffset>
            </wp:positionV>
            <wp:extent cx="521441" cy="457200"/>
            <wp:effectExtent l="0" t="0" r="0" b="0"/>
            <wp:wrapTopAndBottom/>
            <wp:docPr id="37" name="image24.png" descr=""/>
            <wp:cNvGraphicFramePr>
              <a:graphicFrameLocks noChangeAspect="1"/>
            </wp:cNvGraphicFramePr>
            <a:graphic>
              <a:graphicData uri="http://schemas.openxmlformats.org/drawingml/2006/picture">
                <pic:pic>
                  <pic:nvPicPr>
                    <pic:cNvPr id="38" name="image24.png"/>
                    <pic:cNvPicPr/>
                  </pic:nvPicPr>
                  <pic:blipFill>
                    <a:blip r:embed="rId29" cstate="print"/>
                    <a:stretch>
                      <a:fillRect/>
                    </a:stretch>
                  </pic:blipFill>
                  <pic:spPr>
                    <a:xfrm>
                      <a:off x="0" y="0"/>
                      <a:ext cx="521441" cy="457200"/>
                    </a:xfrm>
                    <a:prstGeom prst="rect">
                      <a:avLst/>
                    </a:prstGeom>
                  </pic:spPr>
                </pic:pic>
              </a:graphicData>
            </a:graphic>
          </wp:anchor>
        </w:drawing>
      </w:r>
    </w:p>
    <w:p>
      <w:pPr>
        <w:pStyle w:val="BodyText"/>
        <w:rPr>
          <w:rFonts w:ascii="Verdana"/>
          <w:b/>
          <w:sz w:val="18"/>
        </w:rPr>
      </w:pPr>
    </w:p>
    <w:p>
      <w:pPr>
        <w:pStyle w:val="BodyText"/>
        <w:rPr>
          <w:rFonts w:ascii="Verdana"/>
          <w:b/>
          <w:sz w:val="19"/>
        </w:rPr>
      </w:pPr>
    </w:p>
    <w:p>
      <w:pPr>
        <w:pStyle w:val="BodyText"/>
        <w:spacing w:line="268" w:lineRule="auto"/>
        <w:ind w:left="3913" w:right="1721"/>
        <w:jc w:val="both"/>
      </w:pPr>
      <w:r>
        <w:rPr/>
        <w:pict>
          <v:shape style="position:absolute;margin-left:60.653416pt;margin-top:-16.208393pt;width:11pt;height:76.350pt;mso-position-horizontal-relative:page;mso-position-vertical-relative:paragraph;z-index:179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color w:val="231F1F"/>
        </w:rPr>
        <w:t>tura económica novohispana. Se trata de proponer una nueva lectura        a </w:t>
      </w:r>
      <w:r>
        <w:rPr>
          <w:color w:val="231F1F"/>
          <w:spacing w:val="2"/>
        </w:rPr>
        <w:t>partir </w:t>
      </w:r>
      <w:r>
        <w:rPr>
          <w:color w:val="231F1F"/>
        </w:rPr>
        <w:t>de la hipótesis de Morelos no como promotor o continuador de las antiguas corporaciones indígenas, dentro del esquema de la nueva nación, sino como aquel que dio a los naturales libertad e igualdad ante  la </w:t>
      </w:r>
      <w:r>
        <w:rPr>
          <w:color w:val="231F1F"/>
          <w:spacing w:val="-3"/>
        </w:rPr>
        <w:t>ley.  </w:t>
      </w:r>
      <w:r>
        <w:rPr>
          <w:color w:val="231F1F"/>
        </w:rPr>
        <w:t>Es decir, se busca explicar el pensamiento de Morelos dentro de   un contexto más amplio al de la época, tomando medidas económicas estructurales</w:t>
      </w:r>
      <w:r>
        <w:rPr>
          <w:color w:val="231F1F"/>
          <w:spacing w:val="-13"/>
        </w:rPr>
        <w:t> </w:t>
      </w:r>
      <w:r>
        <w:rPr>
          <w:color w:val="231F1F"/>
        </w:rPr>
        <w:t>y</w:t>
      </w:r>
      <w:r>
        <w:rPr>
          <w:color w:val="231F1F"/>
          <w:spacing w:val="-13"/>
        </w:rPr>
        <w:t> </w:t>
      </w:r>
      <w:r>
        <w:rPr>
          <w:color w:val="231F1F"/>
        </w:rPr>
        <w:t>no</w:t>
      </w:r>
      <w:r>
        <w:rPr>
          <w:color w:val="231F1F"/>
          <w:spacing w:val="-13"/>
        </w:rPr>
        <w:t> </w:t>
      </w:r>
      <w:r>
        <w:rPr>
          <w:color w:val="231F1F"/>
        </w:rPr>
        <w:t>coyunturales.</w:t>
      </w:r>
      <w:r>
        <w:rPr>
          <w:color w:val="231F1F"/>
          <w:spacing w:val="-13"/>
        </w:rPr>
        <w:t> </w:t>
      </w:r>
      <w:r>
        <w:rPr>
          <w:color w:val="231F1F"/>
        </w:rPr>
        <w:t>Por</w:t>
      </w:r>
      <w:r>
        <w:rPr>
          <w:color w:val="231F1F"/>
          <w:spacing w:val="-13"/>
        </w:rPr>
        <w:t> </w:t>
      </w:r>
      <w:r>
        <w:rPr>
          <w:color w:val="231F1F"/>
        </w:rPr>
        <w:t>tal</w:t>
      </w:r>
      <w:r>
        <w:rPr>
          <w:color w:val="231F1F"/>
          <w:spacing w:val="-13"/>
        </w:rPr>
        <w:t> </w:t>
      </w:r>
      <w:r>
        <w:rPr>
          <w:color w:val="231F1F"/>
        </w:rPr>
        <w:t>motivo,</w:t>
      </w:r>
      <w:r>
        <w:rPr>
          <w:color w:val="231F1F"/>
          <w:spacing w:val="-13"/>
        </w:rPr>
        <w:t> </w:t>
      </w:r>
      <w:r>
        <w:rPr>
          <w:color w:val="231F1F"/>
        </w:rPr>
        <w:t>este</w:t>
      </w:r>
      <w:r>
        <w:rPr>
          <w:color w:val="231F1F"/>
          <w:spacing w:val="-13"/>
        </w:rPr>
        <w:t> </w:t>
      </w:r>
      <w:r>
        <w:rPr>
          <w:color w:val="231F1F"/>
        </w:rPr>
        <w:t>capítulo</w:t>
      </w:r>
      <w:r>
        <w:rPr>
          <w:color w:val="231F1F"/>
          <w:spacing w:val="-13"/>
        </w:rPr>
        <w:t> </w:t>
      </w:r>
      <w:r>
        <w:rPr>
          <w:color w:val="231F1F"/>
        </w:rPr>
        <w:t>matiza</w:t>
      </w:r>
      <w:r>
        <w:rPr>
          <w:color w:val="231F1F"/>
          <w:spacing w:val="-13"/>
        </w:rPr>
        <w:t> </w:t>
      </w:r>
      <w:r>
        <w:rPr>
          <w:color w:val="231F1F"/>
        </w:rPr>
        <w:t>ciertas </w:t>
      </w:r>
      <w:r>
        <w:rPr>
          <w:color w:val="231F1F"/>
          <w:spacing w:val="2"/>
        </w:rPr>
        <w:t>propuestas historiográficas recientes </w:t>
      </w:r>
      <w:r>
        <w:rPr>
          <w:color w:val="231F1F"/>
        </w:rPr>
        <w:t>que ven en las </w:t>
      </w:r>
      <w:r>
        <w:rPr>
          <w:color w:val="231F1F"/>
          <w:spacing w:val="2"/>
        </w:rPr>
        <w:t>estrategias insur- </w:t>
      </w:r>
      <w:r>
        <w:rPr>
          <w:color w:val="231F1F"/>
        </w:rPr>
        <w:t>gentes </w:t>
      </w:r>
      <w:r>
        <w:rPr>
          <w:color w:val="231F1F"/>
          <w:spacing w:val="2"/>
        </w:rPr>
        <w:t>cierta </w:t>
      </w:r>
      <w:r>
        <w:rPr>
          <w:color w:val="231F1F"/>
        </w:rPr>
        <w:t>aprobación a la autonomía y continuidad de los pueblos      de indios como corporación durante la guerra. Sin negar la validez de dicho planteamiento, me inclinaría más por afirmar, como lo han hecho </w:t>
      </w:r>
      <w:r>
        <w:rPr>
          <w:color w:val="231F1F"/>
          <w:spacing w:val="2"/>
        </w:rPr>
        <w:t>algunos autores, </w:t>
      </w:r>
      <w:r>
        <w:rPr>
          <w:color w:val="231F1F"/>
        </w:rPr>
        <w:t>que </w:t>
      </w:r>
      <w:r>
        <w:rPr>
          <w:color w:val="231F1F"/>
          <w:spacing w:val="2"/>
        </w:rPr>
        <w:t>fueron ejemplos </w:t>
      </w:r>
      <w:r>
        <w:rPr>
          <w:color w:val="231F1F"/>
        </w:rPr>
        <w:t>de </w:t>
      </w:r>
      <w:r>
        <w:rPr>
          <w:color w:val="231F1F"/>
          <w:spacing w:val="2"/>
        </w:rPr>
        <w:t>instituciones coloniales </w:t>
      </w:r>
      <w:r>
        <w:rPr>
          <w:color w:val="231F1F"/>
        </w:rPr>
        <w:t>que sobrevivieron  en  una  etapa  de  transición  (González,  </w:t>
      </w:r>
      <w:r>
        <w:rPr>
          <w:color w:val="231F1F"/>
          <w:sz w:val="20"/>
        </w:rPr>
        <w:t>2014</w:t>
      </w:r>
      <w:r>
        <w:rPr>
          <w:color w:val="231F1F"/>
        </w:rPr>
        <w:t>:  </w:t>
      </w:r>
      <w:r>
        <w:rPr>
          <w:color w:val="231F1F"/>
          <w:sz w:val="20"/>
        </w:rPr>
        <w:t>289</w:t>
      </w:r>
      <w:r>
        <w:rPr>
          <w:color w:val="231F1F"/>
        </w:rPr>
        <w:t>-</w:t>
      </w:r>
      <w:r>
        <w:rPr>
          <w:color w:val="231F1F"/>
          <w:sz w:val="20"/>
        </w:rPr>
        <w:t>313</w:t>
      </w:r>
      <w:r>
        <w:rPr>
          <w:color w:val="231F1F"/>
        </w:rPr>
        <w:t>).  En efecto, esta aparente continuidad de los pueblos de indios durante la Guerra de Independencia fue producto de las estrategias coyunturales e inercias históricas, y no de las ideas liberales y republicanas, presentes    ya en el contexto mundial, en la mayoría de los insurgentes del país y      en Morelos de forma </w:t>
      </w:r>
      <w:r>
        <w:rPr>
          <w:color w:val="231F1F"/>
          <w:spacing w:val="32"/>
        </w:rPr>
        <w:t> </w:t>
      </w:r>
      <w:r>
        <w:rPr>
          <w:color w:val="231F1F"/>
        </w:rPr>
        <w:t>particular.</w:t>
      </w:r>
    </w:p>
    <w:p>
      <w:pPr>
        <w:pStyle w:val="BodyText"/>
        <w:spacing w:before="9"/>
        <w:rPr>
          <w:sz w:val="27"/>
        </w:rPr>
      </w:pPr>
    </w:p>
    <w:p>
      <w:pPr>
        <w:pStyle w:val="BodyText"/>
        <w:spacing w:line="268" w:lineRule="auto"/>
        <w:ind w:left="3913" w:right="1719"/>
        <w:jc w:val="both"/>
      </w:pPr>
      <w:r>
        <w:rPr>
          <w:color w:val="231F1F"/>
        </w:rPr>
        <w:t>El </w:t>
      </w:r>
      <w:r>
        <w:rPr>
          <w:color w:val="231F1F"/>
          <w:spacing w:val="3"/>
        </w:rPr>
        <w:t>capítulo </w:t>
      </w:r>
      <w:r>
        <w:rPr>
          <w:color w:val="231F1F"/>
        </w:rPr>
        <w:t>se ha </w:t>
      </w:r>
      <w:r>
        <w:rPr>
          <w:color w:val="231F1F"/>
          <w:spacing w:val="3"/>
        </w:rPr>
        <w:t>dividido </w:t>
      </w:r>
      <w:r>
        <w:rPr>
          <w:color w:val="231F1F"/>
        </w:rPr>
        <w:t>en  </w:t>
      </w:r>
      <w:r>
        <w:rPr>
          <w:color w:val="231F1F"/>
          <w:spacing w:val="2"/>
        </w:rPr>
        <w:t>dos </w:t>
      </w:r>
      <w:r>
        <w:rPr>
          <w:color w:val="231F1F"/>
          <w:spacing w:val="4"/>
        </w:rPr>
        <w:t>partes </w:t>
      </w:r>
      <w:r>
        <w:rPr>
          <w:color w:val="231F1F"/>
          <w:spacing w:val="3"/>
        </w:rPr>
        <w:t>para </w:t>
      </w:r>
      <w:r>
        <w:rPr>
          <w:color w:val="231F1F"/>
          <w:spacing w:val="2"/>
        </w:rPr>
        <w:t>una </w:t>
      </w:r>
      <w:r>
        <w:rPr>
          <w:color w:val="231F1F"/>
          <w:spacing w:val="3"/>
        </w:rPr>
        <w:t>mejor </w:t>
      </w:r>
      <w:r>
        <w:rPr>
          <w:color w:val="231F1F"/>
          <w:spacing w:val="4"/>
        </w:rPr>
        <w:t>comprensión:  </w:t>
      </w:r>
      <w:r>
        <w:rPr>
          <w:color w:val="231F1F"/>
        </w:rPr>
        <w:t>en la </w:t>
      </w:r>
      <w:r>
        <w:rPr>
          <w:color w:val="231F1F"/>
          <w:spacing w:val="3"/>
        </w:rPr>
        <w:t>primera </w:t>
      </w:r>
      <w:r>
        <w:rPr>
          <w:color w:val="231F1F"/>
        </w:rPr>
        <w:t>se </w:t>
      </w:r>
      <w:r>
        <w:rPr>
          <w:color w:val="231F1F"/>
          <w:spacing w:val="3"/>
        </w:rPr>
        <w:t>estudian aquellas medidas tomadas </w:t>
      </w:r>
      <w:r>
        <w:rPr>
          <w:color w:val="231F1F"/>
          <w:spacing w:val="2"/>
        </w:rPr>
        <w:t>por </w:t>
      </w:r>
      <w:r>
        <w:rPr>
          <w:color w:val="231F1F"/>
          <w:spacing w:val="3"/>
        </w:rPr>
        <w:t>Morelos </w:t>
      </w:r>
      <w:r>
        <w:rPr>
          <w:color w:val="231F1F"/>
          <w:spacing w:val="4"/>
        </w:rPr>
        <w:t>en </w:t>
      </w:r>
      <w:r>
        <w:rPr>
          <w:color w:val="231F1F"/>
          <w:spacing w:val="3"/>
        </w:rPr>
        <w:t>torno </w:t>
      </w:r>
      <w:r>
        <w:rPr>
          <w:color w:val="231F1F"/>
        </w:rPr>
        <w:t>al </w:t>
      </w:r>
      <w:r>
        <w:rPr>
          <w:color w:val="231F1F"/>
          <w:spacing w:val="3"/>
        </w:rPr>
        <w:t>ámbito social </w:t>
      </w:r>
      <w:r>
        <w:rPr>
          <w:color w:val="231F1F"/>
        </w:rPr>
        <w:t>e </w:t>
      </w:r>
      <w:r>
        <w:rPr>
          <w:color w:val="231F1F"/>
          <w:spacing w:val="3"/>
        </w:rPr>
        <w:t>institucional, sobre todo </w:t>
      </w:r>
      <w:r>
        <w:rPr>
          <w:color w:val="231F1F"/>
        </w:rPr>
        <w:t>la </w:t>
      </w:r>
      <w:r>
        <w:rPr>
          <w:color w:val="231F1F"/>
          <w:spacing w:val="3"/>
        </w:rPr>
        <w:t>forma como conci- </w:t>
      </w:r>
      <w:r>
        <w:rPr>
          <w:color w:val="231F1F"/>
          <w:spacing w:val="2"/>
        </w:rPr>
        <w:t>bió sus </w:t>
      </w:r>
      <w:r>
        <w:rPr>
          <w:color w:val="231F1F"/>
          <w:spacing w:val="3"/>
        </w:rPr>
        <w:t>principios </w:t>
      </w:r>
      <w:r>
        <w:rPr>
          <w:color w:val="231F1F"/>
        </w:rPr>
        <w:t>de  </w:t>
      </w:r>
      <w:r>
        <w:rPr>
          <w:color w:val="231F1F"/>
          <w:spacing w:val="4"/>
        </w:rPr>
        <w:t>libertad, </w:t>
      </w:r>
      <w:r>
        <w:rPr>
          <w:color w:val="231F1F"/>
          <w:spacing w:val="3"/>
        </w:rPr>
        <w:t>igualdad social </w:t>
      </w:r>
      <w:r>
        <w:rPr>
          <w:color w:val="231F1F"/>
        </w:rPr>
        <w:t>y  </w:t>
      </w:r>
      <w:r>
        <w:rPr>
          <w:color w:val="231F1F"/>
          <w:spacing w:val="3"/>
        </w:rPr>
        <w:t>justicia </w:t>
      </w:r>
      <w:r>
        <w:rPr>
          <w:color w:val="231F1F"/>
          <w:spacing w:val="2"/>
        </w:rPr>
        <w:t>con </w:t>
      </w:r>
      <w:r>
        <w:rPr>
          <w:color w:val="231F1F"/>
          <w:spacing w:val="4"/>
        </w:rPr>
        <w:t>respecto     </w:t>
      </w:r>
      <w:r>
        <w:rPr>
          <w:color w:val="231F1F"/>
        </w:rPr>
        <w:t>a </w:t>
      </w:r>
      <w:r>
        <w:rPr>
          <w:color w:val="231F1F"/>
          <w:spacing w:val="2"/>
        </w:rPr>
        <w:t>los </w:t>
      </w:r>
      <w:r>
        <w:rPr>
          <w:color w:val="231F1F"/>
          <w:spacing w:val="3"/>
        </w:rPr>
        <w:t>naturales; </w:t>
      </w:r>
      <w:r>
        <w:rPr>
          <w:color w:val="231F1F"/>
        </w:rPr>
        <w:t>en la </w:t>
      </w:r>
      <w:r>
        <w:rPr>
          <w:color w:val="231F1F"/>
          <w:spacing w:val="3"/>
        </w:rPr>
        <w:t>segunda </w:t>
      </w:r>
      <w:r>
        <w:rPr>
          <w:color w:val="231F1F"/>
          <w:spacing w:val="4"/>
        </w:rPr>
        <w:t>parte, </w:t>
      </w:r>
      <w:r>
        <w:rPr>
          <w:color w:val="231F1F"/>
        </w:rPr>
        <w:t>se </w:t>
      </w:r>
      <w:r>
        <w:rPr>
          <w:color w:val="231F1F"/>
          <w:spacing w:val="3"/>
        </w:rPr>
        <w:t>analiza </w:t>
      </w:r>
      <w:r>
        <w:rPr>
          <w:color w:val="231F1F"/>
        </w:rPr>
        <w:t>la </w:t>
      </w:r>
      <w:r>
        <w:rPr>
          <w:color w:val="231F1F"/>
          <w:spacing w:val="3"/>
        </w:rPr>
        <w:t>política </w:t>
      </w:r>
      <w:r>
        <w:rPr>
          <w:color w:val="231F1F"/>
          <w:spacing w:val="4"/>
        </w:rPr>
        <w:t>económica, </w:t>
      </w:r>
      <w:r>
        <w:rPr>
          <w:color w:val="231F1F"/>
          <w:spacing w:val="3"/>
        </w:rPr>
        <w:t>comercial </w:t>
      </w:r>
      <w:r>
        <w:rPr>
          <w:color w:val="231F1F"/>
        </w:rPr>
        <w:t>y </w:t>
      </w:r>
      <w:r>
        <w:rPr>
          <w:color w:val="231F1F"/>
          <w:spacing w:val="3"/>
        </w:rPr>
        <w:t>monetaria </w:t>
      </w:r>
      <w:r>
        <w:rPr>
          <w:color w:val="231F1F"/>
          <w:spacing w:val="2"/>
        </w:rPr>
        <w:t>que </w:t>
      </w:r>
      <w:r>
        <w:rPr>
          <w:color w:val="231F1F"/>
        </w:rPr>
        <w:t>el </w:t>
      </w:r>
      <w:r>
        <w:rPr>
          <w:color w:val="231F1F"/>
          <w:spacing w:val="3"/>
        </w:rPr>
        <w:t>caudillo </w:t>
      </w:r>
      <w:r>
        <w:rPr>
          <w:color w:val="231F1F"/>
          <w:spacing w:val="2"/>
        </w:rPr>
        <w:t>del sur </w:t>
      </w:r>
      <w:r>
        <w:rPr>
          <w:color w:val="231F1F"/>
          <w:spacing w:val="3"/>
        </w:rPr>
        <w:t>aplicó </w:t>
      </w:r>
      <w:r>
        <w:rPr>
          <w:color w:val="231F1F"/>
        </w:rPr>
        <w:t>a su </w:t>
      </w:r>
      <w:r>
        <w:rPr>
          <w:color w:val="231F1F"/>
          <w:spacing w:val="3"/>
        </w:rPr>
        <w:t>gran área </w:t>
      </w:r>
      <w:r>
        <w:rPr>
          <w:color w:val="231F1F"/>
          <w:spacing w:val="4"/>
        </w:rPr>
        <w:t>de </w:t>
      </w:r>
      <w:r>
        <w:rPr>
          <w:color w:val="231F1F"/>
          <w:spacing w:val="3"/>
        </w:rPr>
        <w:t>influencia, </w:t>
      </w:r>
      <w:r>
        <w:rPr>
          <w:color w:val="231F1F"/>
        </w:rPr>
        <w:t>en particular, </w:t>
      </w:r>
      <w:r>
        <w:rPr>
          <w:color w:val="231F1F"/>
          <w:spacing w:val="2"/>
        </w:rPr>
        <w:t>con las </w:t>
      </w:r>
      <w:r>
        <w:rPr>
          <w:color w:val="231F1F"/>
          <w:spacing w:val="3"/>
        </w:rPr>
        <w:t>formas </w:t>
      </w:r>
      <w:r>
        <w:rPr>
          <w:color w:val="231F1F"/>
        </w:rPr>
        <w:t>de </w:t>
      </w:r>
      <w:r>
        <w:rPr>
          <w:color w:val="231F1F"/>
          <w:spacing w:val="3"/>
        </w:rPr>
        <w:t>comercio local </w:t>
      </w:r>
      <w:r>
        <w:rPr>
          <w:color w:val="231F1F"/>
        </w:rPr>
        <w:t>y </w:t>
      </w:r>
      <w:r>
        <w:rPr>
          <w:color w:val="231F1F"/>
          <w:spacing w:val="2"/>
        </w:rPr>
        <w:t>sus </w:t>
      </w:r>
      <w:r>
        <w:rPr>
          <w:color w:val="231F1F"/>
          <w:spacing w:val="3"/>
        </w:rPr>
        <w:t>respec- </w:t>
      </w:r>
      <w:r>
        <w:rPr>
          <w:color w:val="231F1F"/>
          <w:spacing w:val="2"/>
        </w:rPr>
        <w:t>tivos</w:t>
      </w:r>
      <w:r>
        <w:rPr>
          <w:color w:val="231F1F"/>
          <w:spacing w:val="-7"/>
        </w:rPr>
        <w:t> </w:t>
      </w:r>
      <w:r>
        <w:rPr>
          <w:color w:val="231F1F"/>
          <w:spacing w:val="2"/>
        </w:rPr>
        <w:t>signos</w:t>
      </w:r>
      <w:r>
        <w:rPr>
          <w:color w:val="231F1F"/>
          <w:spacing w:val="-7"/>
        </w:rPr>
        <w:t> </w:t>
      </w:r>
      <w:r>
        <w:rPr>
          <w:color w:val="231F1F"/>
        </w:rPr>
        <w:t>de</w:t>
      </w:r>
      <w:r>
        <w:rPr>
          <w:color w:val="231F1F"/>
          <w:spacing w:val="-7"/>
        </w:rPr>
        <w:t> </w:t>
      </w:r>
      <w:r>
        <w:rPr>
          <w:color w:val="231F1F"/>
          <w:spacing w:val="2"/>
        </w:rPr>
        <w:t>intercambio</w:t>
      </w:r>
      <w:r>
        <w:rPr>
          <w:color w:val="231F1F"/>
          <w:spacing w:val="-7"/>
        </w:rPr>
        <w:t> </w:t>
      </w:r>
      <w:r>
        <w:rPr>
          <w:color w:val="231F1F"/>
          <w:spacing w:val="2"/>
        </w:rPr>
        <w:t>(monetario,</w:t>
      </w:r>
      <w:r>
        <w:rPr>
          <w:color w:val="231F1F"/>
          <w:spacing w:val="-7"/>
        </w:rPr>
        <w:t> </w:t>
      </w:r>
      <w:r>
        <w:rPr>
          <w:color w:val="231F1F"/>
          <w:spacing w:val="2"/>
        </w:rPr>
        <w:t>seudomonetaria</w:t>
      </w:r>
      <w:r>
        <w:rPr>
          <w:color w:val="231F1F"/>
          <w:spacing w:val="-7"/>
        </w:rPr>
        <w:t> </w:t>
      </w:r>
      <w:r>
        <w:rPr>
          <w:color w:val="231F1F"/>
        </w:rPr>
        <w:t>o</w:t>
      </w:r>
      <w:r>
        <w:rPr>
          <w:color w:val="231F1F"/>
          <w:spacing w:val="-6"/>
        </w:rPr>
        <w:t> </w:t>
      </w:r>
      <w:r>
        <w:rPr>
          <w:color w:val="231F1F"/>
          <w:spacing w:val="2"/>
        </w:rPr>
        <w:t>trueque).</w:t>
      </w:r>
      <w:r>
        <w:rPr>
          <w:color w:val="231F1F"/>
          <w:spacing w:val="-6"/>
        </w:rPr>
        <w:t> </w:t>
      </w:r>
      <w:r>
        <w:rPr>
          <w:color w:val="231F1F"/>
          <w:spacing w:val="2"/>
        </w:rPr>
        <w:t>Este </w:t>
      </w:r>
      <w:r>
        <w:rPr>
          <w:color w:val="231F1F"/>
          <w:spacing w:val="3"/>
        </w:rPr>
        <w:t>último punto </w:t>
      </w:r>
      <w:r>
        <w:rPr>
          <w:color w:val="231F1F"/>
        </w:rPr>
        <w:t>es de  </w:t>
      </w:r>
      <w:r>
        <w:rPr>
          <w:color w:val="231F1F"/>
          <w:spacing w:val="3"/>
        </w:rPr>
        <w:t>gran relevancia </w:t>
      </w:r>
      <w:r>
        <w:rPr>
          <w:color w:val="231F1F"/>
          <w:spacing w:val="2"/>
        </w:rPr>
        <w:t>porque </w:t>
      </w:r>
      <w:r>
        <w:rPr>
          <w:color w:val="231F1F"/>
          <w:spacing w:val="3"/>
        </w:rPr>
        <w:t>dañaba directamente </w:t>
      </w:r>
      <w:r>
        <w:rPr>
          <w:color w:val="231F1F"/>
          <w:spacing w:val="4"/>
        </w:rPr>
        <w:t>uno  </w:t>
      </w:r>
      <w:r>
        <w:rPr>
          <w:color w:val="231F1F"/>
        </w:rPr>
        <w:t>de </w:t>
      </w:r>
      <w:r>
        <w:rPr>
          <w:color w:val="231F1F"/>
          <w:spacing w:val="2"/>
        </w:rPr>
        <w:t>los </w:t>
      </w:r>
      <w:r>
        <w:rPr>
          <w:color w:val="231F1F"/>
          <w:spacing w:val="3"/>
        </w:rPr>
        <w:t>principales atributos </w:t>
      </w:r>
      <w:r>
        <w:rPr>
          <w:color w:val="231F1F"/>
          <w:spacing w:val="2"/>
        </w:rPr>
        <w:t>del </w:t>
      </w:r>
      <w:r>
        <w:rPr>
          <w:color w:val="231F1F"/>
        </w:rPr>
        <w:t>rey, el </w:t>
      </w:r>
      <w:r>
        <w:rPr>
          <w:color w:val="231F1F"/>
          <w:spacing w:val="3"/>
        </w:rPr>
        <w:t>derecho </w:t>
      </w:r>
      <w:r>
        <w:rPr>
          <w:color w:val="231F1F"/>
        </w:rPr>
        <w:t>de </w:t>
      </w:r>
      <w:r>
        <w:rPr>
          <w:color w:val="231F1F"/>
          <w:spacing w:val="3"/>
        </w:rPr>
        <w:t>acuñación </w:t>
      </w:r>
      <w:r>
        <w:rPr>
          <w:color w:val="231F1F"/>
        </w:rPr>
        <w:t>de </w:t>
      </w:r>
      <w:r>
        <w:rPr>
          <w:color w:val="231F1F"/>
          <w:spacing w:val="3"/>
        </w:rPr>
        <w:t>mone- </w:t>
      </w:r>
      <w:r>
        <w:rPr>
          <w:color w:val="231F1F"/>
          <w:spacing w:val="2"/>
        </w:rPr>
        <w:t>da. </w:t>
      </w:r>
      <w:r>
        <w:rPr>
          <w:color w:val="231F1F"/>
        </w:rPr>
        <w:t>No </w:t>
      </w:r>
      <w:r>
        <w:rPr>
          <w:color w:val="231F1F"/>
          <w:spacing w:val="3"/>
        </w:rPr>
        <w:t>obstante, </w:t>
      </w:r>
      <w:r>
        <w:rPr>
          <w:color w:val="231F1F"/>
        </w:rPr>
        <w:t>su </w:t>
      </w:r>
      <w:r>
        <w:rPr>
          <w:color w:val="231F1F"/>
          <w:spacing w:val="3"/>
        </w:rPr>
        <w:t>política económica también afectó </w:t>
      </w:r>
      <w:r>
        <w:rPr>
          <w:color w:val="231F1F"/>
          <w:spacing w:val="2"/>
        </w:rPr>
        <w:t>las </w:t>
      </w:r>
      <w:r>
        <w:rPr>
          <w:color w:val="231F1F"/>
          <w:spacing w:val="4"/>
        </w:rPr>
        <w:t>relaciones </w:t>
      </w:r>
      <w:r>
        <w:rPr>
          <w:color w:val="231F1F"/>
          <w:spacing w:val="3"/>
        </w:rPr>
        <w:t>comerciales </w:t>
      </w:r>
      <w:r>
        <w:rPr>
          <w:color w:val="231F1F"/>
        </w:rPr>
        <w:t>y de </w:t>
      </w:r>
      <w:r>
        <w:rPr>
          <w:color w:val="231F1F"/>
          <w:spacing w:val="3"/>
        </w:rPr>
        <w:t>circulación monetaria </w:t>
      </w:r>
      <w:r>
        <w:rPr>
          <w:color w:val="231F1F"/>
        </w:rPr>
        <w:t>de </w:t>
      </w:r>
      <w:r>
        <w:rPr>
          <w:color w:val="231F1F"/>
          <w:spacing w:val="2"/>
        </w:rPr>
        <w:t>los </w:t>
      </w:r>
      <w:r>
        <w:rPr>
          <w:color w:val="231F1F"/>
          <w:spacing w:val="3"/>
        </w:rPr>
        <w:t>pueblos </w:t>
      </w:r>
      <w:r>
        <w:rPr>
          <w:color w:val="231F1F"/>
        </w:rPr>
        <w:t>de </w:t>
      </w:r>
      <w:r>
        <w:rPr>
          <w:color w:val="231F1F"/>
          <w:spacing w:val="3"/>
        </w:rPr>
        <w:t>indios </w:t>
      </w:r>
      <w:r>
        <w:rPr>
          <w:color w:val="231F1F"/>
        </w:rPr>
        <w:t>en </w:t>
      </w:r>
      <w:r>
        <w:rPr>
          <w:color w:val="231F1F"/>
          <w:spacing w:val="4"/>
        </w:rPr>
        <w:t>su </w:t>
      </w:r>
      <w:r>
        <w:rPr>
          <w:color w:val="231F1F"/>
          <w:spacing w:val="3"/>
        </w:rPr>
        <w:t>zona </w:t>
      </w:r>
      <w:r>
        <w:rPr>
          <w:color w:val="231F1F"/>
        </w:rPr>
        <w:t>de  </w:t>
      </w:r>
      <w:r>
        <w:rPr>
          <w:color w:val="231F1F"/>
          <w:spacing w:val="3"/>
        </w:rPr>
        <w:t>influencia. Finalmente, quiero comentar </w:t>
      </w:r>
      <w:r>
        <w:rPr>
          <w:color w:val="231F1F"/>
          <w:spacing w:val="2"/>
        </w:rPr>
        <w:t>que </w:t>
      </w:r>
      <w:r>
        <w:rPr>
          <w:color w:val="231F1F"/>
        </w:rPr>
        <w:t>la  </w:t>
      </w:r>
      <w:r>
        <w:rPr>
          <w:color w:val="231F1F"/>
          <w:spacing w:val="3"/>
        </w:rPr>
        <w:t>mayor </w:t>
      </w:r>
      <w:r>
        <w:rPr>
          <w:color w:val="231F1F"/>
          <w:spacing w:val="4"/>
        </w:rPr>
        <w:t>parte  </w:t>
      </w:r>
      <w:r>
        <w:rPr>
          <w:color w:val="231F1F"/>
        </w:rPr>
        <w:t>de la </w:t>
      </w:r>
      <w:r>
        <w:rPr>
          <w:color w:val="231F1F"/>
          <w:spacing w:val="3"/>
        </w:rPr>
        <w:t>información primaria proviene </w:t>
      </w:r>
      <w:r>
        <w:rPr>
          <w:color w:val="231F1F"/>
        </w:rPr>
        <w:t>de  </w:t>
      </w:r>
      <w:r>
        <w:rPr>
          <w:color w:val="231F1F"/>
          <w:spacing w:val="2"/>
        </w:rPr>
        <w:t>las </w:t>
      </w:r>
      <w:r>
        <w:rPr>
          <w:color w:val="231F1F"/>
          <w:spacing w:val="3"/>
        </w:rPr>
        <w:t>colecciones </w:t>
      </w:r>
      <w:r>
        <w:rPr>
          <w:color w:val="231F1F"/>
        </w:rPr>
        <w:t>de  </w:t>
      </w:r>
      <w:r>
        <w:rPr>
          <w:color w:val="231F1F"/>
          <w:spacing w:val="3"/>
        </w:rPr>
        <w:t>documen-</w:t>
      </w:r>
      <w:r>
        <w:rPr>
          <w:color w:val="231F1F"/>
          <w:spacing w:val="55"/>
        </w:rPr>
        <w:t> </w:t>
      </w:r>
      <w:r>
        <w:rPr>
          <w:color w:val="231F1F"/>
          <w:spacing w:val="2"/>
        </w:rPr>
        <w:t>tos </w:t>
      </w:r>
      <w:r>
        <w:rPr>
          <w:color w:val="231F1F"/>
        </w:rPr>
        <w:t>ya </w:t>
      </w:r>
      <w:r>
        <w:rPr>
          <w:color w:val="231F1F"/>
          <w:spacing w:val="3"/>
        </w:rPr>
        <w:t>publicados </w:t>
      </w:r>
      <w:r>
        <w:rPr>
          <w:color w:val="231F1F"/>
          <w:spacing w:val="2"/>
        </w:rPr>
        <w:t>por </w:t>
      </w:r>
      <w:r>
        <w:rPr>
          <w:color w:val="231F1F"/>
          <w:spacing w:val="3"/>
        </w:rPr>
        <w:t>especialistas </w:t>
      </w:r>
      <w:r>
        <w:rPr>
          <w:color w:val="231F1F"/>
          <w:spacing w:val="2"/>
        </w:rPr>
        <w:t>del </w:t>
      </w:r>
      <w:r>
        <w:rPr>
          <w:color w:val="231F1F"/>
          <w:spacing w:val="3"/>
        </w:rPr>
        <w:t>tema </w:t>
      </w:r>
      <w:r>
        <w:rPr>
          <w:i/>
          <w:color w:val="231F1F"/>
        </w:rPr>
        <w:t>de la </w:t>
      </w:r>
      <w:r>
        <w:rPr>
          <w:i/>
          <w:color w:val="231F1F"/>
          <w:spacing w:val="3"/>
        </w:rPr>
        <w:t>insurgencia </w:t>
      </w:r>
      <w:r>
        <w:rPr>
          <w:color w:val="231F1F"/>
          <w:spacing w:val="-7"/>
        </w:rPr>
        <w:t>y,  </w:t>
      </w:r>
      <w:r>
        <w:rPr>
          <w:color w:val="231F1F"/>
          <w:spacing w:val="4"/>
        </w:rPr>
        <w:t>en </w:t>
      </w:r>
      <w:r>
        <w:rPr>
          <w:color w:val="231F1F"/>
          <w:spacing w:val="3"/>
        </w:rPr>
        <w:t>menor proporción, </w:t>
      </w:r>
      <w:r>
        <w:rPr>
          <w:color w:val="231F1F"/>
          <w:spacing w:val="2"/>
        </w:rPr>
        <w:t>por </w:t>
      </w:r>
      <w:r>
        <w:rPr>
          <w:color w:val="231F1F"/>
          <w:spacing w:val="3"/>
        </w:rPr>
        <w:t>documentos inéditos </w:t>
      </w:r>
      <w:r>
        <w:rPr>
          <w:color w:val="231F1F"/>
          <w:spacing w:val="2"/>
        </w:rPr>
        <w:t>del </w:t>
      </w:r>
      <w:r>
        <w:rPr>
          <w:color w:val="231F1F"/>
          <w:spacing w:val="3"/>
        </w:rPr>
        <w:t>Archivo General </w:t>
      </w:r>
      <w:r>
        <w:rPr>
          <w:color w:val="231F1F"/>
        </w:rPr>
        <w:t>de </w:t>
      </w:r>
      <w:r>
        <w:rPr>
          <w:color w:val="231F1F"/>
          <w:spacing w:val="4"/>
        </w:rPr>
        <w:t>la </w:t>
      </w:r>
      <w:r>
        <w:rPr>
          <w:color w:val="231F1F"/>
          <w:spacing w:val="3"/>
        </w:rPr>
        <w:t>Nación. </w:t>
      </w:r>
      <w:r>
        <w:rPr>
          <w:color w:val="231F1F"/>
          <w:spacing w:val="2"/>
        </w:rPr>
        <w:t>Por </w:t>
      </w:r>
      <w:r>
        <w:rPr>
          <w:color w:val="231F1F"/>
          <w:spacing w:val="3"/>
        </w:rPr>
        <w:t>otro lado, </w:t>
      </w:r>
      <w:r>
        <w:rPr>
          <w:color w:val="231F1F"/>
        </w:rPr>
        <w:t>me he </w:t>
      </w:r>
      <w:r>
        <w:rPr>
          <w:color w:val="231F1F"/>
          <w:spacing w:val="3"/>
        </w:rPr>
        <w:t>beneficiado </w:t>
      </w:r>
      <w:r>
        <w:rPr>
          <w:color w:val="231F1F"/>
        </w:rPr>
        <w:t>de </w:t>
      </w:r>
      <w:r>
        <w:rPr>
          <w:color w:val="231F1F"/>
          <w:spacing w:val="2"/>
        </w:rPr>
        <w:t>los </w:t>
      </w:r>
      <w:r>
        <w:rPr>
          <w:color w:val="231F1F"/>
          <w:spacing w:val="3"/>
        </w:rPr>
        <w:t>trabajos </w:t>
      </w:r>
      <w:r>
        <w:rPr>
          <w:color w:val="231F1F"/>
        </w:rPr>
        <w:t>y </w:t>
      </w:r>
      <w:r>
        <w:rPr>
          <w:color w:val="231F1F"/>
          <w:spacing w:val="4"/>
        </w:rPr>
        <w:t>valiosos aportes </w:t>
      </w:r>
      <w:r>
        <w:rPr>
          <w:color w:val="231F1F"/>
        </w:rPr>
        <w:t>de </w:t>
      </w:r>
      <w:r>
        <w:rPr>
          <w:color w:val="231F1F"/>
          <w:spacing w:val="3"/>
        </w:rPr>
        <w:t>muchas </w:t>
      </w:r>
      <w:r>
        <w:rPr>
          <w:color w:val="231F1F"/>
        </w:rPr>
        <w:t>de </w:t>
      </w:r>
      <w:r>
        <w:rPr>
          <w:color w:val="231F1F"/>
          <w:spacing w:val="2"/>
        </w:rPr>
        <w:t>las </w:t>
      </w:r>
      <w:r>
        <w:rPr>
          <w:color w:val="231F1F"/>
          <w:spacing w:val="3"/>
        </w:rPr>
        <w:t>investigaciones presentes </w:t>
      </w:r>
      <w:r>
        <w:rPr>
          <w:color w:val="231F1F"/>
        </w:rPr>
        <w:t>en </w:t>
      </w:r>
      <w:r>
        <w:rPr>
          <w:color w:val="231F1F"/>
          <w:spacing w:val="3"/>
        </w:rPr>
        <w:t>este libro, </w:t>
      </w:r>
      <w:r>
        <w:rPr>
          <w:color w:val="231F1F"/>
          <w:spacing w:val="4"/>
        </w:rPr>
        <w:t>de </w:t>
      </w:r>
      <w:r>
        <w:rPr>
          <w:color w:val="231F1F"/>
          <w:spacing w:val="3"/>
        </w:rPr>
        <w:t>donde </w:t>
      </w:r>
      <w:r>
        <w:rPr>
          <w:color w:val="231F1F"/>
        </w:rPr>
        <w:t>he  </w:t>
      </w:r>
      <w:r>
        <w:rPr>
          <w:color w:val="231F1F"/>
          <w:spacing w:val="3"/>
        </w:rPr>
        <w:t>tomado ideas, conceptos </w:t>
      </w:r>
      <w:r>
        <w:rPr>
          <w:color w:val="231F1F"/>
        </w:rPr>
        <w:t>y  </w:t>
      </w:r>
      <w:r>
        <w:rPr>
          <w:color w:val="231F1F"/>
          <w:spacing w:val="33"/>
        </w:rPr>
        <w:t> </w:t>
      </w:r>
      <w:r>
        <w:rPr>
          <w:color w:val="231F1F"/>
          <w:spacing w:val="4"/>
        </w:rPr>
        <w:t>resultados.</w:t>
      </w:r>
    </w:p>
    <w:p>
      <w:pPr>
        <w:spacing w:after="0" w:line="268" w:lineRule="auto"/>
        <w:jc w:val="both"/>
        <w:sectPr>
          <w:pgSz w:w="13100" w:h="17920"/>
          <w:pgMar w:top="1660" w:bottom="280" w:left="820" w:right="0"/>
        </w:sectPr>
      </w:pPr>
    </w:p>
    <w:p>
      <w:pPr>
        <w:pStyle w:val="Heading4"/>
        <w:spacing w:line="278" w:lineRule="auto" w:before="24"/>
      </w:pPr>
      <w:r>
        <w:rPr>
          <w:color w:val="231F1F"/>
        </w:rPr>
        <w:t>La política social e institucional: libertad, igualdad y justicia</w:t>
      </w:r>
    </w:p>
    <w:p>
      <w:pPr>
        <w:pStyle w:val="BodyText"/>
        <w:spacing w:before="10"/>
        <w:rPr>
          <w:rFonts w:ascii="Times New Roman"/>
          <w:sz w:val="15"/>
        </w:rPr>
      </w:pPr>
      <w:r>
        <w:rPr/>
        <w:pict>
          <v:line style="position:absolute;mso-position-horizontal-relative:page;mso-position-vertical-relative:paragraph;z-index:1816;mso-wrap-distance-left:0;mso-wrap-distance-right:0" from="86.456703pt,11.479547pt" to="285.236703pt,11.479547pt" stroked="true" strokeweight=".75pt" strokecolor="#a8483d">
            <w10:wrap type="topAndBottom"/>
          </v:line>
        </w:pict>
      </w:r>
    </w:p>
    <w:p>
      <w:pPr>
        <w:pStyle w:val="BodyText"/>
        <w:rPr>
          <w:rFonts w:ascii="Times New Roman"/>
          <w:sz w:val="20"/>
        </w:rPr>
      </w:pPr>
    </w:p>
    <w:p>
      <w:pPr>
        <w:pStyle w:val="BodyText"/>
        <w:rPr>
          <w:rFonts w:ascii="Times New Roman"/>
          <w:sz w:val="20"/>
        </w:rPr>
      </w:pPr>
    </w:p>
    <w:p>
      <w:pPr>
        <w:spacing w:after="0"/>
        <w:rPr>
          <w:rFonts w:ascii="Times New Roman"/>
          <w:sz w:val="20"/>
        </w:rPr>
        <w:sectPr>
          <w:pgSz w:w="13100" w:h="17920"/>
          <w:pgMar w:top="1660" w:bottom="280" w:left="1620" w:right="18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pStyle w:val="BodyText"/>
        <w:spacing w:line="126" w:lineRule="exact"/>
        <w:ind w:left="238"/>
        <w:rPr>
          <w:rFonts w:ascii="Times New Roman"/>
          <w:sz w:val="12"/>
        </w:rPr>
      </w:pPr>
      <w:r>
        <w:rPr>
          <w:rFonts w:ascii="Times New Roman"/>
          <w:position w:val="-2"/>
          <w:sz w:val="12"/>
        </w:rPr>
        <w:pict>
          <v:group style="width:12.65pt;height:6.35pt;mso-position-horizontal-relative:char;mso-position-vertical-relative:line" coordorigin="0,0" coordsize="253,127">
            <v:shape style="position:absolute;left:0;top:0;width:253;height:127" coordorigin="0,0" coordsize="253,127" path="m252,0l0,0,126,126,252,0xe" filled="true" fillcolor="#a8483d" stroked="false">
              <v:path arrowok="t"/>
              <v:fill type="solid"/>
            </v:shape>
          </v:group>
        </w:pict>
      </w:r>
      <w:r>
        <w:rPr>
          <w:rFonts w:ascii="Times New Roman"/>
          <w:position w:val="-2"/>
          <w:sz w:val="12"/>
        </w:rPr>
      </w:r>
    </w:p>
    <w:p>
      <w:pPr>
        <w:pStyle w:val="ListParagraph"/>
        <w:numPr>
          <w:ilvl w:val="0"/>
          <w:numId w:val="2"/>
        </w:numPr>
        <w:tabs>
          <w:tab w:pos="409" w:val="left" w:leader="none"/>
        </w:tabs>
        <w:spacing w:line="193" w:lineRule="exact" w:before="122" w:after="0"/>
        <w:ind w:left="105" w:right="0" w:firstLine="137"/>
        <w:jc w:val="left"/>
        <w:rPr>
          <w:sz w:val="16"/>
        </w:rPr>
      </w:pPr>
      <w:r>
        <w:rPr>
          <w:color w:val="383434"/>
          <w:w w:val="105"/>
          <w:sz w:val="16"/>
        </w:rPr>
        <w:t>Timbre</w:t>
      </w:r>
      <w:r>
        <w:rPr>
          <w:color w:val="383434"/>
          <w:spacing w:val="-26"/>
          <w:w w:val="105"/>
          <w:sz w:val="16"/>
        </w:rPr>
        <w:t> </w:t>
      </w:r>
      <w:r>
        <w:rPr>
          <w:color w:val="383434"/>
          <w:w w:val="105"/>
          <w:sz w:val="16"/>
        </w:rPr>
        <w:t>fiscal</w:t>
      </w:r>
      <w:r>
        <w:rPr>
          <w:color w:val="383434"/>
          <w:spacing w:val="-26"/>
          <w:w w:val="105"/>
          <w:sz w:val="16"/>
        </w:rPr>
        <w:t> </w:t>
      </w:r>
      <w:r>
        <w:rPr>
          <w:color w:val="383434"/>
          <w:w w:val="105"/>
          <w:sz w:val="16"/>
        </w:rPr>
        <w:t>de</w:t>
      </w:r>
    </w:p>
    <w:p>
      <w:pPr>
        <w:spacing w:line="193" w:lineRule="exact" w:before="0"/>
        <w:ind w:left="242" w:right="-19" w:firstLine="0"/>
        <w:jc w:val="left"/>
        <w:rPr>
          <w:rFonts w:ascii="Tahoma"/>
          <w:sz w:val="16"/>
        </w:rPr>
      </w:pPr>
      <w:r>
        <w:rPr/>
        <w:pict>
          <v:line style="position:absolute;mso-position-horizontal-relative:page;mso-position-vertical-relative:paragraph;z-index:1888" from="93.104301pt,19.563778pt" to="178.143301pt,19.563778pt" stroked="true" strokeweight=".5pt" strokecolor="#a8483d">
            <w10:wrap type="none"/>
          </v:line>
        </w:pict>
      </w:r>
      <w:r>
        <w:rPr>
          <w:rFonts w:ascii="Tahoma"/>
          <w:color w:val="383434"/>
          <w:sz w:val="16"/>
        </w:rPr>
        <w:t>Morelos, 50</w:t>
      </w:r>
      <w:r>
        <w:rPr>
          <w:rFonts w:ascii="Tahoma"/>
          <w:color w:val="383434"/>
          <w:spacing w:val="-3"/>
          <w:sz w:val="16"/>
        </w:rPr>
        <w:t> </w:t>
      </w:r>
      <w:r>
        <w:rPr>
          <w:rFonts w:ascii="Tahoma"/>
          <w:color w:val="383434"/>
          <w:sz w:val="16"/>
        </w:rPr>
        <w:t>centavos.</w:t>
      </w:r>
    </w:p>
    <w:p>
      <w:pPr>
        <w:pStyle w:val="BodyText"/>
        <w:spacing w:before="4"/>
        <w:rPr>
          <w:rFonts w:ascii="Tahoma"/>
          <w:sz w:val="18"/>
        </w:rPr>
      </w:pPr>
      <w:r>
        <w:rPr/>
        <w:br w:type="column"/>
      </w:r>
      <w:r>
        <w:rPr>
          <w:rFonts w:ascii="Tahoma"/>
          <w:sz w:val="18"/>
        </w:rPr>
      </w:r>
    </w:p>
    <w:p>
      <w:pPr>
        <w:pStyle w:val="BodyText"/>
        <w:spacing w:line="268" w:lineRule="auto"/>
        <w:ind w:left="242" w:right="459"/>
        <w:jc w:val="both"/>
      </w:pPr>
      <w:r>
        <w:rPr>
          <w:color w:val="231F1F"/>
        </w:rPr>
        <w:t>El </w:t>
      </w:r>
      <w:r>
        <w:rPr>
          <w:color w:val="231F1F"/>
          <w:spacing w:val="2"/>
        </w:rPr>
        <w:t>objetivo </w:t>
      </w:r>
      <w:r>
        <w:rPr>
          <w:color w:val="231F1F"/>
        </w:rPr>
        <w:t>de </w:t>
      </w:r>
      <w:r>
        <w:rPr>
          <w:color w:val="231F1F"/>
          <w:spacing w:val="2"/>
        </w:rPr>
        <w:t>este </w:t>
      </w:r>
      <w:r>
        <w:rPr>
          <w:color w:val="231F1F"/>
          <w:spacing w:val="3"/>
        </w:rPr>
        <w:t>apartado </w:t>
      </w:r>
      <w:r>
        <w:rPr>
          <w:color w:val="231F1F"/>
        </w:rPr>
        <w:t>es </w:t>
      </w:r>
      <w:r>
        <w:rPr>
          <w:color w:val="231F1F"/>
          <w:spacing w:val="2"/>
        </w:rPr>
        <w:t>examinar aquellas líneas </w:t>
      </w:r>
      <w:r>
        <w:rPr>
          <w:color w:val="231F1F"/>
        </w:rPr>
        <w:t>de  </w:t>
      </w:r>
      <w:r>
        <w:rPr>
          <w:color w:val="231F1F"/>
          <w:spacing w:val="3"/>
        </w:rPr>
        <w:t>política </w:t>
      </w:r>
      <w:r>
        <w:rPr>
          <w:color w:val="231F1F"/>
        </w:rPr>
        <w:t>social e institucional de largo aliento, que hicieron de Morelos un diri- gente insurgente con un claro entendimiento de los puntos neurálgicos  de transformación social y política. Como lo han señalado sus biógrafos     y la historiografía reciente, su pensamiento y su línea de acción política   se debían a corrientes más amplias y profundas que se vivían en esa  época (Lemoine, </w:t>
      </w:r>
      <w:r>
        <w:rPr>
          <w:color w:val="231F1F"/>
          <w:sz w:val="20"/>
        </w:rPr>
        <w:t>1991 </w:t>
      </w:r>
      <w:r>
        <w:rPr>
          <w:color w:val="231F1F"/>
        </w:rPr>
        <w:t>y Herrejón, </w:t>
      </w:r>
      <w:r>
        <w:rPr>
          <w:color w:val="231F1F"/>
          <w:sz w:val="20"/>
        </w:rPr>
        <w:t>1985</w:t>
      </w:r>
      <w:r>
        <w:rPr>
          <w:color w:val="231F1F"/>
        </w:rPr>
        <w:t>). Entre ellas los pensamientos ilustrados y liberales, así como la influencia de tres grandes acontecimien- tos: la independencia de los Estados Unidos, la Revolución francesa y la invasión napoleónica a España. En efecto, a un mes del encuentro entre los curas Hidalgo y Morelos, en los pueblos de Charo e Indaparapeo,         el Caudillo del Sur hacía un importante pronunciamiento, a nombre del primero y del nuevo gobierno, suprimiendo castas, esclavitud, tributos, deudas a europeos y varios monopolios del estado. Este documento y muchos</w:t>
      </w:r>
      <w:r>
        <w:rPr>
          <w:color w:val="231F1F"/>
          <w:spacing w:val="23"/>
        </w:rPr>
        <w:t> </w:t>
      </w:r>
      <w:r>
        <w:rPr>
          <w:color w:val="231F1F"/>
        </w:rPr>
        <w:t>otros</w:t>
      </w:r>
      <w:r>
        <w:rPr>
          <w:color w:val="231F1F"/>
          <w:spacing w:val="23"/>
        </w:rPr>
        <w:t> </w:t>
      </w:r>
      <w:r>
        <w:rPr>
          <w:color w:val="231F1F"/>
        </w:rPr>
        <w:t>de</w:t>
      </w:r>
      <w:r>
        <w:rPr>
          <w:color w:val="231F1F"/>
          <w:spacing w:val="23"/>
        </w:rPr>
        <w:t> </w:t>
      </w:r>
      <w:r>
        <w:rPr>
          <w:color w:val="231F1F"/>
        </w:rPr>
        <w:t>esta</w:t>
      </w:r>
      <w:r>
        <w:rPr>
          <w:color w:val="231F1F"/>
          <w:spacing w:val="23"/>
        </w:rPr>
        <w:t> </w:t>
      </w:r>
      <w:r>
        <w:rPr>
          <w:color w:val="231F1F"/>
        </w:rPr>
        <w:t>época</w:t>
      </w:r>
      <w:r>
        <w:rPr>
          <w:color w:val="231F1F"/>
          <w:spacing w:val="23"/>
        </w:rPr>
        <w:t> </w:t>
      </w:r>
      <w:r>
        <w:rPr>
          <w:color w:val="231F1F"/>
        </w:rPr>
        <w:t>dejan</w:t>
      </w:r>
      <w:r>
        <w:rPr>
          <w:color w:val="231F1F"/>
          <w:spacing w:val="23"/>
        </w:rPr>
        <w:t> </w:t>
      </w:r>
      <w:r>
        <w:rPr>
          <w:color w:val="231F1F"/>
        </w:rPr>
        <w:t>en</w:t>
      </w:r>
      <w:r>
        <w:rPr>
          <w:color w:val="231F1F"/>
          <w:spacing w:val="23"/>
        </w:rPr>
        <w:t> </w:t>
      </w:r>
      <w:r>
        <w:rPr>
          <w:color w:val="231F1F"/>
        </w:rPr>
        <w:t>claro</w:t>
      </w:r>
      <w:r>
        <w:rPr>
          <w:color w:val="231F1F"/>
          <w:spacing w:val="23"/>
        </w:rPr>
        <w:t> </w:t>
      </w:r>
      <w:r>
        <w:rPr>
          <w:color w:val="231F1F"/>
        </w:rPr>
        <w:t>que</w:t>
      </w:r>
      <w:r>
        <w:rPr>
          <w:color w:val="231F1F"/>
          <w:spacing w:val="23"/>
        </w:rPr>
        <w:t> </w:t>
      </w:r>
      <w:r>
        <w:rPr>
          <w:color w:val="231F1F"/>
        </w:rPr>
        <w:t>la</w:t>
      </w:r>
      <w:r>
        <w:rPr>
          <w:color w:val="231F1F"/>
          <w:spacing w:val="23"/>
        </w:rPr>
        <w:t> </w:t>
      </w:r>
      <w:r>
        <w:rPr>
          <w:color w:val="231F1F"/>
        </w:rPr>
        <w:t>intención</w:t>
      </w:r>
      <w:r>
        <w:rPr>
          <w:color w:val="231F1F"/>
          <w:spacing w:val="23"/>
        </w:rPr>
        <w:t> </w:t>
      </w:r>
      <w:r>
        <w:rPr>
          <w:color w:val="231F1F"/>
        </w:rPr>
        <w:t>de</w:t>
      </w:r>
      <w:r>
        <w:rPr>
          <w:color w:val="231F1F"/>
          <w:spacing w:val="23"/>
        </w:rPr>
        <w:t> </w:t>
      </w:r>
      <w:r>
        <w:rPr>
          <w:color w:val="231F1F"/>
        </w:rPr>
        <w:t>muchos</w:t>
      </w:r>
    </w:p>
    <w:p>
      <w:pPr>
        <w:pStyle w:val="BodyText"/>
        <w:spacing w:line="247" w:lineRule="exact"/>
        <w:ind w:left="2509"/>
        <w:jc w:val="both"/>
      </w:pPr>
      <w:r>
        <w:rPr>
          <w:color w:val="231F1F"/>
          <w:w w:val="105"/>
        </w:rPr>
        <w:t>líderes de la insurgencia novohispana era    la</w:t>
      </w:r>
    </w:p>
    <w:p>
      <w:pPr>
        <w:pStyle w:val="BodyText"/>
        <w:spacing w:line="268" w:lineRule="auto" w:before="31"/>
        <w:ind w:left="2509" w:right="491"/>
        <w:jc w:val="both"/>
      </w:pPr>
      <w:r>
        <w:rPr/>
        <w:drawing>
          <wp:anchor distT="0" distB="0" distL="0" distR="0" allowOverlap="1" layoutInCell="1" locked="0" behindDoc="0" simplePos="0" relativeHeight="1864">
            <wp:simplePos x="0" y="0"/>
            <wp:positionH relativeFrom="page">
              <wp:posOffset>1179855</wp:posOffset>
            </wp:positionH>
            <wp:positionV relativeFrom="paragraph">
              <wp:posOffset>17648</wp:posOffset>
            </wp:positionV>
            <wp:extent cx="2633408" cy="4409998"/>
            <wp:effectExtent l="0" t="0" r="0" b="0"/>
            <wp:wrapNone/>
            <wp:docPr id="39" name="image27.jpeg" descr=""/>
            <wp:cNvGraphicFramePr>
              <a:graphicFrameLocks noChangeAspect="1"/>
            </wp:cNvGraphicFramePr>
            <a:graphic>
              <a:graphicData uri="http://schemas.openxmlformats.org/drawingml/2006/picture">
                <pic:pic>
                  <pic:nvPicPr>
                    <pic:cNvPr id="40" name="image27.jpeg"/>
                    <pic:cNvPicPr/>
                  </pic:nvPicPr>
                  <pic:blipFill>
                    <a:blip r:embed="rId32" cstate="print"/>
                    <a:stretch>
                      <a:fillRect/>
                    </a:stretch>
                  </pic:blipFill>
                  <pic:spPr>
                    <a:xfrm>
                      <a:off x="0" y="0"/>
                      <a:ext cx="2633408" cy="4409998"/>
                    </a:xfrm>
                    <a:prstGeom prst="rect">
                      <a:avLst/>
                    </a:prstGeom>
                  </pic:spPr>
                </pic:pic>
              </a:graphicData>
            </a:graphic>
          </wp:anchor>
        </w:drawing>
      </w:r>
      <w:r>
        <w:rPr>
          <w:color w:val="231F1F"/>
        </w:rPr>
        <w:t>búsqueda de la independencia política, la trans- formación social y la institucionalización de un nuevo  estado nacional.</w:t>
      </w:r>
    </w:p>
    <w:p>
      <w:pPr>
        <w:pStyle w:val="BodyText"/>
        <w:spacing w:before="9"/>
        <w:rPr>
          <w:sz w:val="27"/>
        </w:rPr>
      </w:pPr>
    </w:p>
    <w:p>
      <w:pPr>
        <w:pStyle w:val="BodyText"/>
        <w:spacing w:line="268" w:lineRule="auto"/>
        <w:ind w:left="2509" w:right="490"/>
        <w:jc w:val="both"/>
      </w:pPr>
      <w:r>
        <w:rPr>
          <w:color w:val="231F1F"/>
        </w:rPr>
        <w:t>Aunque</w:t>
      </w:r>
      <w:r>
        <w:rPr>
          <w:color w:val="231F1F"/>
          <w:spacing w:val="-9"/>
        </w:rPr>
        <w:t> </w:t>
      </w:r>
      <w:r>
        <w:rPr>
          <w:color w:val="231F1F"/>
        </w:rPr>
        <w:t>como</w:t>
      </w:r>
      <w:r>
        <w:rPr>
          <w:color w:val="231F1F"/>
          <w:spacing w:val="-9"/>
        </w:rPr>
        <w:t> </w:t>
      </w:r>
      <w:r>
        <w:rPr>
          <w:color w:val="231F1F"/>
        </w:rPr>
        <w:t>bien</w:t>
      </w:r>
      <w:r>
        <w:rPr>
          <w:color w:val="231F1F"/>
          <w:spacing w:val="-9"/>
        </w:rPr>
        <w:t> </w:t>
      </w:r>
      <w:r>
        <w:rPr>
          <w:color w:val="231F1F"/>
        </w:rPr>
        <w:t>lo</w:t>
      </w:r>
      <w:r>
        <w:rPr>
          <w:color w:val="231F1F"/>
          <w:spacing w:val="-9"/>
        </w:rPr>
        <w:t> </w:t>
      </w:r>
      <w:r>
        <w:rPr>
          <w:color w:val="231F1F"/>
        </w:rPr>
        <w:t>ha</w:t>
      </w:r>
      <w:r>
        <w:rPr>
          <w:color w:val="231F1F"/>
          <w:spacing w:val="-9"/>
        </w:rPr>
        <w:t> </w:t>
      </w:r>
      <w:r>
        <w:rPr>
          <w:color w:val="231F1F"/>
        </w:rPr>
        <w:t>mostrado</w:t>
      </w:r>
      <w:r>
        <w:rPr>
          <w:color w:val="231F1F"/>
          <w:spacing w:val="-9"/>
        </w:rPr>
        <w:t> </w:t>
      </w:r>
      <w:r>
        <w:rPr>
          <w:color w:val="231F1F"/>
        </w:rPr>
        <w:t>la</w:t>
      </w:r>
      <w:r>
        <w:rPr>
          <w:color w:val="231F1F"/>
          <w:spacing w:val="-9"/>
        </w:rPr>
        <w:t> </w:t>
      </w:r>
      <w:r>
        <w:rPr>
          <w:color w:val="231F1F"/>
        </w:rPr>
        <w:t>historiogra- fía reciente, la supresión de los tributos indíge- nas y de las castas fue una medida ensayada, incluso de forma previa a las promulgaciones </w:t>
      </w:r>
      <w:r>
        <w:rPr>
          <w:color w:val="231F1F"/>
          <w:spacing w:val="2"/>
        </w:rPr>
        <w:t>insurgentes, tanto </w:t>
      </w:r>
      <w:r>
        <w:rPr>
          <w:color w:val="231F1F"/>
        </w:rPr>
        <w:t>por las </w:t>
      </w:r>
      <w:r>
        <w:rPr>
          <w:color w:val="231F1F"/>
          <w:spacing w:val="2"/>
        </w:rPr>
        <w:t>autoridades </w:t>
      </w:r>
      <w:r>
        <w:rPr>
          <w:color w:val="231F1F"/>
          <w:spacing w:val="3"/>
        </w:rPr>
        <w:t>reales, </w:t>
      </w:r>
      <w:r>
        <w:rPr>
          <w:color w:val="231F1F"/>
        </w:rPr>
        <w:t>incluyendo la Regencia, como por las autorida- des coloniales. Ésta y muchas otras estrategias fiscales, aplicadas de manera similar en los te- rritorios de ambos bandos en conflicto, han sido definidas por los expertos no sólo como “espe- jos” sino como comportamientos de “esponjas”, pues</w:t>
      </w:r>
      <w:r>
        <w:rPr>
          <w:color w:val="231F1F"/>
          <w:spacing w:val="-8"/>
        </w:rPr>
        <w:t> </w:t>
      </w:r>
      <w:r>
        <w:rPr>
          <w:color w:val="231F1F"/>
        </w:rPr>
        <w:t>requerían</w:t>
      </w:r>
      <w:r>
        <w:rPr>
          <w:color w:val="231F1F"/>
          <w:spacing w:val="-8"/>
        </w:rPr>
        <w:t> </w:t>
      </w:r>
      <w:r>
        <w:rPr>
          <w:color w:val="231F1F"/>
        </w:rPr>
        <w:t>absorber</w:t>
      </w:r>
      <w:r>
        <w:rPr>
          <w:color w:val="231F1F"/>
          <w:spacing w:val="-8"/>
        </w:rPr>
        <w:t> </w:t>
      </w:r>
      <w:r>
        <w:rPr>
          <w:color w:val="231F1F"/>
        </w:rPr>
        <w:t>todos</w:t>
      </w:r>
      <w:r>
        <w:rPr>
          <w:color w:val="231F1F"/>
          <w:spacing w:val="-8"/>
        </w:rPr>
        <w:t> </w:t>
      </w:r>
      <w:r>
        <w:rPr>
          <w:color w:val="231F1F"/>
        </w:rPr>
        <w:t>aquellos</w:t>
      </w:r>
      <w:r>
        <w:rPr>
          <w:color w:val="231F1F"/>
          <w:spacing w:val="-8"/>
        </w:rPr>
        <w:t> </w:t>
      </w:r>
      <w:r>
        <w:rPr>
          <w:color w:val="231F1F"/>
        </w:rPr>
        <w:t>recursos económicos a su alcance para sostener tropa y sociedad a fin de ganar la guerra </w:t>
      </w:r>
      <w:r>
        <w:rPr>
          <w:color w:val="231F1F"/>
          <w:spacing w:val="-4"/>
        </w:rPr>
        <w:t>(Terán, </w:t>
      </w:r>
      <w:r>
        <w:rPr>
          <w:color w:val="231F1F"/>
          <w:sz w:val="20"/>
        </w:rPr>
        <w:t>2010</w:t>
      </w:r>
      <w:r>
        <w:rPr>
          <w:color w:val="231F1F"/>
        </w:rPr>
        <w:t>: </w:t>
      </w:r>
      <w:r>
        <w:rPr>
          <w:color w:val="231F1F"/>
          <w:sz w:val="20"/>
        </w:rPr>
        <w:t>249-288</w:t>
      </w:r>
      <w:r>
        <w:rPr>
          <w:color w:val="231F1F"/>
        </w:rPr>
        <w:t>;    Serrano,    </w:t>
      </w:r>
      <w:r>
        <w:rPr>
          <w:color w:val="231F1F"/>
          <w:sz w:val="20"/>
        </w:rPr>
        <w:t>2010:    154-165</w:t>
      </w:r>
      <w:r>
        <w:rPr>
          <w:color w:val="231F1F"/>
        </w:rPr>
        <w:t>;   </w:t>
      </w:r>
      <w:r>
        <w:rPr>
          <w:color w:val="231F1F"/>
          <w:spacing w:val="27"/>
        </w:rPr>
        <w:t> </w:t>
      </w:r>
      <w:r>
        <w:rPr>
          <w:color w:val="231F1F"/>
        </w:rPr>
        <w:t>Herrejón,</w:t>
      </w:r>
    </w:p>
    <w:p>
      <w:pPr>
        <w:spacing w:line="268" w:lineRule="exact" w:before="0"/>
        <w:ind w:left="2509" w:right="0" w:firstLine="0"/>
        <w:jc w:val="both"/>
        <w:rPr>
          <w:sz w:val="22"/>
        </w:rPr>
      </w:pPr>
      <w:r>
        <w:rPr>
          <w:color w:val="231F1F"/>
          <w:w w:val="115"/>
          <w:sz w:val="20"/>
        </w:rPr>
        <w:t>2014: 29-47</w:t>
      </w:r>
      <w:r>
        <w:rPr>
          <w:color w:val="231F1F"/>
          <w:w w:val="115"/>
          <w:sz w:val="22"/>
        </w:rPr>
        <w:t>; Moreno, </w:t>
      </w:r>
      <w:r>
        <w:rPr>
          <w:color w:val="231F1F"/>
          <w:w w:val="115"/>
          <w:sz w:val="20"/>
        </w:rPr>
        <w:t>2014: 135-153</w:t>
      </w:r>
      <w:r>
        <w:rPr>
          <w:color w:val="231F1F"/>
          <w:w w:val="115"/>
          <w:sz w:val="22"/>
        </w:rPr>
        <w:t>).</w:t>
      </w:r>
    </w:p>
    <w:p>
      <w:pPr>
        <w:spacing w:after="0" w:line="268" w:lineRule="exact"/>
        <w:jc w:val="both"/>
        <w:rPr>
          <w:sz w:val="22"/>
        </w:rPr>
        <w:sectPr>
          <w:type w:val="continuous"/>
          <w:pgSz w:w="13100" w:h="17920"/>
          <w:pgMar w:top="0" w:bottom="0" w:left="1620" w:right="1860"/>
          <w:cols w:num="2" w:equalWidth="0">
            <w:col w:w="1782" w:space="496"/>
            <w:col w:w="734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spacing w:after="0"/>
        <w:rPr>
          <w:sz w:val="24"/>
        </w:rPr>
        <w:sectPr>
          <w:type w:val="continuous"/>
          <w:pgSz w:w="13100" w:h="17920"/>
          <w:pgMar w:top="0" w:bottom="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238" w:right="0" w:firstLine="0"/>
        <w:jc w:val="left"/>
        <w:rPr>
          <w:sz w:val="18"/>
        </w:rPr>
      </w:pPr>
      <w:r>
        <w:rPr/>
        <w:br w:type="column"/>
      </w:r>
      <w:r>
        <w:rPr>
          <w:color w:val="4F3628"/>
          <w:w w:val="120"/>
          <w:sz w:val="18"/>
        </w:rPr>
        <w:t>103</w:t>
      </w:r>
    </w:p>
    <w:p>
      <w:pPr>
        <w:spacing w:after="0"/>
        <w:jc w:val="left"/>
        <w:rPr>
          <w:sz w:val="18"/>
        </w:rPr>
        <w:sectPr>
          <w:type w:val="continuous"/>
          <w:pgSz w:w="13100" w:h="17920"/>
          <w:pgMar w:top="0" w:bottom="0" w:left="1620" w:right="1860"/>
          <w:cols w:num="2" w:equalWidth="0">
            <w:col w:w="8413" w:space="137"/>
            <w:col w:w="1070"/>
          </w:cols>
        </w:sectPr>
      </w:pPr>
    </w:p>
    <w:p>
      <w:pPr>
        <w:pStyle w:val="BodyText"/>
        <w:tabs>
          <w:tab w:pos="1504" w:val="left" w:leader="none"/>
        </w:tabs>
        <w:spacing w:before="32"/>
        <w:ind w:left="334" w:right="1725"/>
      </w:pPr>
      <w:r>
        <w:rPr>
          <w:rFonts w:ascii="Verdana"/>
          <w:b/>
          <w:color w:val="4F3628"/>
          <w:w w:val="105"/>
          <w:position w:val="4"/>
          <w:sz w:val="18"/>
        </w:rPr>
        <w:t>104</w:t>
        <w:tab/>
      </w:r>
      <w:r>
        <w:rPr>
          <w:color w:val="231F1F"/>
          <w:w w:val="105"/>
        </w:rPr>
        <w:t>Los principios de igualdad y   </w:t>
      </w:r>
      <w:r>
        <w:rPr>
          <w:color w:val="231F1F"/>
          <w:spacing w:val="27"/>
          <w:w w:val="105"/>
        </w:rPr>
        <w:t> </w:t>
      </w:r>
      <w:r>
        <w:rPr>
          <w:color w:val="231F1F"/>
          <w:w w:val="105"/>
        </w:rPr>
        <w:t>libertad</w:t>
      </w:r>
    </w:p>
    <w:p>
      <w:pPr>
        <w:pStyle w:val="BodyText"/>
        <w:spacing w:before="2"/>
        <w:rPr>
          <w:sz w:val="26"/>
        </w:rPr>
      </w:pPr>
    </w:p>
    <w:p>
      <w:pPr>
        <w:pStyle w:val="BodyText"/>
        <w:spacing w:line="213" w:lineRule="auto"/>
        <w:ind w:left="1504" w:right="1725" w:hanging="1396"/>
      </w:pPr>
      <w:r>
        <w:rPr/>
        <w:pict>
          <v:shape style="position:absolute;margin-left:60.653416pt;margin-top:40.711803pt;width:11pt;height:76.350pt;mso-position-horizontal-relative:page;mso-position-vertical-relative:paragraph;z-index:-7475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position w:val="-16"/>
        </w:rPr>
        <w:drawing>
          <wp:inline distT="0" distB="0" distL="0" distR="0">
            <wp:extent cx="522296" cy="457949"/>
            <wp:effectExtent l="0" t="0" r="0" b="0"/>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29" cstate="print"/>
                    <a:stretch>
                      <a:fillRect/>
                    </a:stretch>
                  </pic:blipFill>
                  <pic:spPr>
                    <a:xfrm>
                      <a:off x="0" y="0"/>
                      <a:ext cx="522296" cy="457949"/>
                    </a:xfrm>
                    <a:prstGeom prst="rect">
                      <a:avLst/>
                    </a:prstGeom>
                  </pic:spPr>
                </pic:pic>
              </a:graphicData>
            </a:graphic>
          </wp:inline>
        </w:drawing>
      </w:r>
      <w:r>
        <w:rPr>
          <w:position w:val="-16"/>
        </w:rPr>
      </w:r>
      <w:r>
        <w:rPr>
          <w:rFonts w:ascii="Times New Roman" w:hAnsi="Times New Roman"/>
          <w:sz w:val="20"/>
        </w:rPr>
        <w:t>          </w:t>
      </w:r>
      <w:r>
        <w:rPr>
          <w:color w:val="231F1F"/>
          <w:w w:val="105"/>
        </w:rPr>
        <w:t>En un primer documento fechado el </w:t>
      </w:r>
      <w:r>
        <w:rPr>
          <w:color w:val="231F1F"/>
          <w:w w:val="105"/>
          <w:sz w:val="20"/>
        </w:rPr>
        <w:t>17 </w:t>
      </w:r>
      <w:r>
        <w:rPr>
          <w:color w:val="231F1F"/>
          <w:w w:val="105"/>
        </w:rPr>
        <w:t>de noviembre de </w:t>
      </w:r>
      <w:r>
        <w:rPr>
          <w:color w:val="231F1F"/>
          <w:w w:val="105"/>
          <w:sz w:val="20"/>
        </w:rPr>
        <w:t>1810</w:t>
      </w:r>
      <w:r>
        <w:rPr>
          <w:color w:val="231F1F"/>
          <w:w w:val="105"/>
        </w:rPr>
        <w:t>, y otro posterior del </w:t>
      </w:r>
      <w:r>
        <w:rPr>
          <w:color w:val="231F1F"/>
          <w:w w:val="105"/>
          <w:sz w:val="20"/>
        </w:rPr>
        <w:t>29 </w:t>
      </w:r>
      <w:r>
        <w:rPr>
          <w:color w:val="231F1F"/>
          <w:w w:val="105"/>
        </w:rPr>
        <w:t>de enero</w:t>
      </w:r>
      <w:r>
        <w:rPr>
          <w:color w:val="231F1F"/>
          <w:spacing w:val="52"/>
          <w:w w:val="105"/>
        </w:rPr>
        <w:t> </w:t>
      </w:r>
      <w:r>
        <w:rPr>
          <w:color w:val="231F1F"/>
          <w:w w:val="105"/>
        </w:rPr>
        <w:t>de </w:t>
      </w:r>
      <w:r>
        <w:rPr>
          <w:color w:val="231F1F"/>
          <w:w w:val="105"/>
          <w:sz w:val="20"/>
        </w:rPr>
        <w:t>1813</w:t>
      </w:r>
      <w:r>
        <w:rPr>
          <w:color w:val="231F1F"/>
          <w:w w:val="105"/>
        </w:rPr>
        <w:t>, este último dirigido a los habitantes de la provincia de Oaxaca, Morelos establecía  </w:t>
      </w:r>
      <w:r>
        <w:rPr>
          <w:color w:val="231F1F"/>
          <w:spacing w:val="8"/>
          <w:w w:val="105"/>
        </w:rPr>
        <w:t> </w:t>
      </w:r>
      <w:r>
        <w:rPr>
          <w:color w:val="231F1F"/>
          <w:w w:val="105"/>
        </w:rPr>
        <w:t>que</w:t>
      </w:r>
    </w:p>
    <w:p>
      <w:pPr>
        <w:pStyle w:val="BodyText"/>
        <w:spacing w:line="268" w:lineRule="auto" w:before="38"/>
        <w:ind w:left="1504" w:right="1720"/>
        <w:jc w:val="both"/>
      </w:pPr>
      <w:r>
        <w:rPr>
          <w:color w:val="231F1F"/>
        </w:rPr>
        <w:t>con excepción de los “europeos” el resto de los habitantes debían ser llamados a partir de enton-  ces “americanos” y no “indios, mulatos ni otras castas”. En sus propias palabras, de forma irónica, dispuso abolida la “hermosísima jerigonza de calidades” sociales. El principio de igualdad social        se establecía para todos los pobladores considerados del grupo novohispano, mientras que la dicotomía entre “europeos” o “gachupines” y “americanos” habría de </w:t>
      </w:r>
      <w:r>
        <w:rPr>
          <w:color w:val="231F1F"/>
          <w:spacing w:val="2"/>
        </w:rPr>
        <w:t>servir </w:t>
      </w:r>
      <w:r>
        <w:rPr>
          <w:color w:val="231F1F"/>
        </w:rPr>
        <w:t>para establecer con cierta claridad la pertenencia a los bandos en conflicto, más que a su origen natal. Este principio       de igualdad social estaba acompañado, en el decreto, de la supresión jurídica que era correlativa      al establecimiento de las castas y la obligación de los naturales de prestar servicio personal (trabajo coactivo, pero retribuido) a las autoridades no    </w:t>
      </w:r>
      <w:r>
        <w:rPr>
          <w:color w:val="231F1F"/>
          <w:spacing w:val="4"/>
        </w:rPr>
        <w:t> </w:t>
      </w:r>
      <w:r>
        <w:rPr>
          <w:color w:val="231F1F"/>
        </w:rPr>
        <w:t>indias.</w:t>
      </w:r>
    </w:p>
    <w:p>
      <w:pPr>
        <w:pStyle w:val="BodyText"/>
        <w:spacing w:before="9"/>
        <w:rPr>
          <w:sz w:val="27"/>
        </w:rPr>
      </w:pPr>
    </w:p>
    <w:p>
      <w:pPr>
        <w:pStyle w:val="BodyText"/>
        <w:spacing w:line="268" w:lineRule="auto"/>
        <w:ind w:left="1504" w:right="1725"/>
        <w:jc w:val="both"/>
      </w:pPr>
      <w:r>
        <w:rPr>
          <w:color w:val="231F1F"/>
          <w:w w:val="105"/>
        </w:rPr>
        <w:t>Por un lado, se abolía la esclavitud y se ordenaba el castigo a quienes los poseyeran en esta con- dición</w:t>
      </w:r>
      <w:r>
        <w:rPr>
          <w:color w:val="231F1F"/>
          <w:spacing w:val="-14"/>
          <w:w w:val="105"/>
        </w:rPr>
        <w:t> </w:t>
      </w:r>
      <w:r>
        <w:rPr>
          <w:color w:val="231F1F"/>
          <w:w w:val="105"/>
        </w:rPr>
        <w:t>o</w:t>
      </w:r>
      <w:r>
        <w:rPr>
          <w:color w:val="231F1F"/>
          <w:spacing w:val="-14"/>
          <w:w w:val="105"/>
        </w:rPr>
        <w:t> </w:t>
      </w:r>
      <w:r>
        <w:rPr>
          <w:color w:val="231F1F"/>
          <w:w w:val="105"/>
        </w:rPr>
        <w:t>hicieran</w:t>
      </w:r>
      <w:r>
        <w:rPr>
          <w:color w:val="231F1F"/>
          <w:spacing w:val="-14"/>
          <w:w w:val="105"/>
        </w:rPr>
        <w:t> </w:t>
      </w:r>
      <w:r>
        <w:rPr>
          <w:color w:val="231F1F"/>
          <w:w w:val="105"/>
        </w:rPr>
        <w:t>compras</w:t>
      </w:r>
      <w:r>
        <w:rPr>
          <w:color w:val="231F1F"/>
          <w:spacing w:val="-14"/>
          <w:w w:val="105"/>
        </w:rPr>
        <w:t> </w:t>
      </w:r>
      <w:r>
        <w:rPr>
          <w:color w:val="231F1F"/>
          <w:w w:val="105"/>
        </w:rPr>
        <w:t>futuras</w:t>
      </w:r>
      <w:r>
        <w:rPr>
          <w:color w:val="231F1F"/>
          <w:spacing w:val="-14"/>
          <w:w w:val="105"/>
        </w:rPr>
        <w:t> </w:t>
      </w:r>
      <w:r>
        <w:rPr>
          <w:color w:val="231F1F"/>
          <w:w w:val="105"/>
        </w:rPr>
        <w:t>de</w:t>
      </w:r>
      <w:r>
        <w:rPr>
          <w:color w:val="231F1F"/>
          <w:spacing w:val="-14"/>
          <w:w w:val="105"/>
        </w:rPr>
        <w:t> </w:t>
      </w:r>
      <w:r>
        <w:rPr>
          <w:color w:val="231F1F"/>
          <w:w w:val="105"/>
        </w:rPr>
        <w:t>esclavos.</w:t>
      </w:r>
      <w:r>
        <w:rPr>
          <w:color w:val="231F1F"/>
          <w:spacing w:val="-14"/>
          <w:w w:val="105"/>
        </w:rPr>
        <w:t> </w:t>
      </w:r>
      <w:r>
        <w:rPr>
          <w:color w:val="231F1F"/>
          <w:w w:val="105"/>
        </w:rPr>
        <w:t>En</w:t>
      </w:r>
      <w:r>
        <w:rPr>
          <w:color w:val="231F1F"/>
          <w:spacing w:val="-14"/>
          <w:w w:val="105"/>
        </w:rPr>
        <w:t> </w:t>
      </w:r>
      <w:r>
        <w:rPr>
          <w:color w:val="231F1F"/>
          <w:w w:val="105"/>
        </w:rPr>
        <w:t>otras</w:t>
      </w:r>
      <w:r>
        <w:rPr>
          <w:color w:val="231F1F"/>
          <w:spacing w:val="-14"/>
          <w:w w:val="105"/>
        </w:rPr>
        <w:t> </w:t>
      </w:r>
      <w:r>
        <w:rPr>
          <w:color w:val="231F1F"/>
          <w:w w:val="105"/>
        </w:rPr>
        <w:t>dos</w:t>
      </w:r>
      <w:r>
        <w:rPr>
          <w:color w:val="231F1F"/>
          <w:spacing w:val="-14"/>
          <w:w w:val="105"/>
        </w:rPr>
        <w:t> </w:t>
      </w:r>
      <w:r>
        <w:rPr>
          <w:color w:val="231F1F"/>
          <w:w w:val="105"/>
        </w:rPr>
        <w:t>ocasiones,</w:t>
      </w:r>
      <w:r>
        <w:rPr>
          <w:color w:val="231F1F"/>
          <w:spacing w:val="-14"/>
          <w:w w:val="105"/>
        </w:rPr>
        <w:t> </w:t>
      </w:r>
      <w:r>
        <w:rPr>
          <w:color w:val="231F1F"/>
          <w:w w:val="105"/>
        </w:rPr>
        <w:t>Morelos</w:t>
      </w:r>
      <w:r>
        <w:rPr>
          <w:color w:val="231F1F"/>
          <w:spacing w:val="-14"/>
          <w:w w:val="105"/>
        </w:rPr>
        <w:t> </w:t>
      </w:r>
      <w:r>
        <w:rPr>
          <w:color w:val="231F1F"/>
          <w:w w:val="105"/>
        </w:rPr>
        <w:t>ratificó</w:t>
      </w:r>
      <w:r>
        <w:rPr>
          <w:color w:val="231F1F"/>
          <w:spacing w:val="-14"/>
          <w:w w:val="105"/>
        </w:rPr>
        <w:t> </w:t>
      </w:r>
      <w:r>
        <w:rPr>
          <w:color w:val="231F1F"/>
          <w:w w:val="105"/>
        </w:rPr>
        <w:t>la</w:t>
      </w:r>
      <w:r>
        <w:rPr>
          <w:color w:val="231F1F"/>
          <w:spacing w:val="-14"/>
          <w:w w:val="105"/>
        </w:rPr>
        <w:t> </w:t>
      </w:r>
      <w:r>
        <w:rPr>
          <w:color w:val="231F1F"/>
          <w:w w:val="105"/>
        </w:rPr>
        <w:t>abolición de la esclavitud y la supresión de las castas: en el artículo </w:t>
      </w:r>
      <w:r>
        <w:rPr>
          <w:color w:val="231F1F"/>
          <w:w w:val="105"/>
          <w:sz w:val="20"/>
        </w:rPr>
        <w:t>15 </w:t>
      </w:r>
      <w:r>
        <w:rPr>
          <w:color w:val="231F1F"/>
          <w:w w:val="105"/>
        </w:rPr>
        <w:t>de los Sentimientos de la Nación y en un bando fechado el </w:t>
      </w:r>
      <w:r>
        <w:rPr>
          <w:color w:val="231F1F"/>
          <w:w w:val="105"/>
          <w:sz w:val="20"/>
        </w:rPr>
        <w:t>5 </w:t>
      </w:r>
      <w:r>
        <w:rPr>
          <w:color w:val="231F1F"/>
          <w:w w:val="105"/>
        </w:rPr>
        <w:t>de octubre de </w:t>
      </w:r>
      <w:r>
        <w:rPr>
          <w:color w:val="231F1F"/>
          <w:w w:val="105"/>
          <w:sz w:val="20"/>
        </w:rPr>
        <w:t>1813</w:t>
      </w:r>
      <w:r>
        <w:rPr>
          <w:color w:val="231F1F"/>
          <w:w w:val="105"/>
        </w:rPr>
        <w:t>. Por otro lado, se abolían los tributos que venían pagando, en razón de vasallaje, los indios y varias castas. Además, se prescribía la extinción      de las cajas de comunidad, la disminución del servicio personal de los indios a funcionarios del gobierno</w:t>
      </w:r>
      <w:r>
        <w:rPr>
          <w:color w:val="231F1F"/>
          <w:spacing w:val="-12"/>
          <w:w w:val="105"/>
        </w:rPr>
        <w:t> </w:t>
      </w:r>
      <w:r>
        <w:rPr>
          <w:color w:val="231F1F"/>
          <w:w w:val="105"/>
        </w:rPr>
        <w:t>y</w:t>
      </w:r>
      <w:r>
        <w:rPr>
          <w:color w:val="231F1F"/>
          <w:spacing w:val="-12"/>
          <w:w w:val="105"/>
        </w:rPr>
        <w:t> </w:t>
      </w:r>
      <w:r>
        <w:rPr>
          <w:color w:val="231F1F"/>
          <w:w w:val="105"/>
        </w:rPr>
        <w:t>las</w:t>
      </w:r>
      <w:r>
        <w:rPr>
          <w:color w:val="231F1F"/>
          <w:spacing w:val="-12"/>
          <w:w w:val="105"/>
        </w:rPr>
        <w:t> </w:t>
      </w:r>
      <w:r>
        <w:rPr>
          <w:color w:val="231F1F"/>
          <w:w w:val="105"/>
        </w:rPr>
        <w:t>utilidades</w:t>
      </w:r>
      <w:r>
        <w:rPr>
          <w:color w:val="231F1F"/>
          <w:spacing w:val="-12"/>
          <w:w w:val="105"/>
        </w:rPr>
        <w:t> </w:t>
      </w:r>
      <w:r>
        <w:rPr>
          <w:color w:val="231F1F"/>
          <w:w w:val="105"/>
        </w:rPr>
        <w:t>que</w:t>
      </w:r>
      <w:r>
        <w:rPr>
          <w:color w:val="231F1F"/>
          <w:spacing w:val="-12"/>
          <w:w w:val="105"/>
        </w:rPr>
        <w:t> </w:t>
      </w:r>
      <w:r>
        <w:rPr>
          <w:color w:val="231F1F"/>
          <w:w w:val="105"/>
        </w:rPr>
        <w:t>los</w:t>
      </w:r>
      <w:r>
        <w:rPr>
          <w:color w:val="231F1F"/>
          <w:spacing w:val="-12"/>
          <w:w w:val="105"/>
        </w:rPr>
        <w:t> </w:t>
      </w:r>
      <w:r>
        <w:rPr>
          <w:color w:val="231F1F"/>
          <w:w w:val="105"/>
        </w:rPr>
        <w:t>naturales</w:t>
      </w:r>
      <w:r>
        <w:rPr>
          <w:color w:val="231F1F"/>
          <w:spacing w:val="-12"/>
          <w:w w:val="105"/>
        </w:rPr>
        <w:t> </w:t>
      </w:r>
      <w:r>
        <w:rPr>
          <w:color w:val="231F1F"/>
          <w:w w:val="105"/>
        </w:rPr>
        <w:t>habrían</w:t>
      </w:r>
      <w:r>
        <w:rPr>
          <w:color w:val="231F1F"/>
          <w:spacing w:val="-12"/>
          <w:w w:val="105"/>
        </w:rPr>
        <w:t> </w:t>
      </w:r>
      <w:r>
        <w:rPr>
          <w:color w:val="231F1F"/>
          <w:w w:val="105"/>
        </w:rPr>
        <w:t>de</w:t>
      </w:r>
      <w:r>
        <w:rPr>
          <w:color w:val="231F1F"/>
          <w:spacing w:val="-12"/>
          <w:w w:val="105"/>
        </w:rPr>
        <w:t> </w:t>
      </w:r>
      <w:r>
        <w:rPr>
          <w:color w:val="231F1F"/>
          <w:w w:val="105"/>
        </w:rPr>
        <w:t>recibir,</w:t>
      </w:r>
      <w:r>
        <w:rPr>
          <w:color w:val="231F1F"/>
          <w:spacing w:val="-12"/>
          <w:w w:val="105"/>
        </w:rPr>
        <w:t> </w:t>
      </w:r>
      <w:r>
        <w:rPr>
          <w:color w:val="231F1F"/>
          <w:w w:val="105"/>
        </w:rPr>
        <w:t>desde</w:t>
      </w:r>
      <w:r>
        <w:rPr>
          <w:color w:val="231F1F"/>
          <w:spacing w:val="-12"/>
          <w:w w:val="105"/>
        </w:rPr>
        <w:t> </w:t>
      </w:r>
      <w:r>
        <w:rPr>
          <w:color w:val="231F1F"/>
          <w:w w:val="105"/>
        </w:rPr>
        <w:t>ese</w:t>
      </w:r>
      <w:r>
        <w:rPr>
          <w:color w:val="231F1F"/>
          <w:spacing w:val="-12"/>
          <w:w w:val="105"/>
        </w:rPr>
        <w:t> </w:t>
      </w:r>
      <w:r>
        <w:rPr>
          <w:color w:val="231F1F"/>
          <w:w w:val="105"/>
        </w:rPr>
        <w:t>momento,</w:t>
      </w:r>
      <w:r>
        <w:rPr>
          <w:color w:val="231F1F"/>
          <w:spacing w:val="-12"/>
          <w:w w:val="105"/>
        </w:rPr>
        <w:t> </w:t>
      </w:r>
      <w:r>
        <w:rPr>
          <w:color w:val="231F1F"/>
          <w:w w:val="105"/>
        </w:rPr>
        <w:t>por</w:t>
      </w:r>
      <w:r>
        <w:rPr>
          <w:color w:val="231F1F"/>
          <w:spacing w:val="-12"/>
          <w:w w:val="105"/>
        </w:rPr>
        <w:t> </w:t>
      </w:r>
      <w:r>
        <w:rPr>
          <w:color w:val="231F1F"/>
          <w:w w:val="105"/>
        </w:rPr>
        <w:t>las</w:t>
      </w:r>
      <w:r>
        <w:rPr>
          <w:color w:val="231F1F"/>
          <w:spacing w:val="-12"/>
          <w:w w:val="105"/>
        </w:rPr>
        <w:t> </w:t>
      </w:r>
      <w:r>
        <w:rPr>
          <w:color w:val="231F1F"/>
          <w:w w:val="105"/>
        </w:rPr>
        <w:t>rentas</w:t>
      </w:r>
      <w:r>
        <w:rPr>
          <w:color w:val="231F1F"/>
          <w:spacing w:val="-12"/>
          <w:w w:val="105"/>
        </w:rPr>
        <w:t> </w:t>
      </w:r>
      <w:r>
        <w:rPr>
          <w:color w:val="231F1F"/>
          <w:w w:val="105"/>
        </w:rPr>
        <w:t>y las tierras de comunidad como si fueran propias (Herrejón, </w:t>
      </w:r>
      <w:r>
        <w:rPr>
          <w:color w:val="231F1F"/>
          <w:w w:val="105"/>
          <w:sz w:val="20"/>
        </w:rPr>
        <w:t>1985: 65, 109 -111, 133-136</w:t>
      </w:r>
      <w:r>
        <w:rPr>
          <w:color w:val="231F1F"/>
          <w:w w:val="105"/>
        </w:rPr>
        <w:t>; Lemoine, </w:t>
      </w:r>
      <w:r>
        <w:rPr>
          <w:color w:val="231F1F"/>
          <w:w w:val="105"/>
          <w:sz w:val="20"/>
        </w:rPr>
        <w:t>1991:</w:t>
      </w:r>
      <w:r>
        <w:rPr>
          <w:color w:val="231F1F"/>
          <w:spacing w:val="-4"/>
          <w:w w:val="105"/>
          <w:sz w:val="20"/>
        </w:rPr>
        <w:t> </w:t>
      </w:r>
      <w:r>
        <w:rPr>
          <w:color w:val="231F1F"/>
          <w:w w:val="105"/>
          <w:sz w:val="20"/>
        </w:rPr>
        <w:t>175-176</w:t>
      </w:r>
      <w:r>
        <w:rPr>
          <w:color w:val="231F1F"/>
          <w:w w:val="105"/>
        </w:rPr>
        <w:t>).</w:t>
      </w:r>
      <w:r>
        <w:rPr>
          <w:color w:val="231F1F"/>
          <w:spacing w:val="-4"/>
          <w:w w:val="105"/>
        </w:rPr>
        <w:t> </w:t>
      </w:r>
      <w:r>
        <w:rPr>
          <w:color w:val="231F1F"/>
          <w:w w:val="105"/>
        </w:rPr>
        <w:t>La</w:t>
      </w:r>
      <w:r>
        <w:rPr>
          <w:color w:val="231F1F"/>
          <w:spacing w:val="-4"/>
          <w:w w:val="105"/>
        </w:rPr>
        <w:t> </w:t>
      </w:r>
      <w:r>
        <w:rPr>
          <w:color w:val="231F1F"/>
          <w:w w:val="105"/>
        </w:rPr>
        <w:t>cita</w:t>
      </w:r>
      <w:r>
        <w:rPr>
          <w:color w:val="231F1F"/>
          <w:spacing w:val="-4"/>
          <w:w w:val="105"/>
        </w:rPr>
        <w:t> </w:t>
      </w:r>
      <w:r>
        <w:rPr>
          <w:color w:val="231F1F"/>
          <w:w w:val="105"/>
        </w:rPr>
        <w:t>textual</w:t>
      </w:r>
      <w:r>
        <w:rPr>
          <w:color w:val="231F1F"/>
          <w:spacing w:val="-4"/>
          <w:w w:val="105"/>
        </w:rPr>
        <w:t> </w:t>
      </w:r>
      <w:r>
        <w:rPr>
          <w:color w:val="231F1F"/>
          <w:w w:val="105"/>
        </w:rPr>
        <w:t>sobre</w:t>
      </w:r>
      <w:r>
        <w:rPr>
          <w:color w:val="231F1F"/>
          <w:spacing w:val="-4"/>
          <w:w w:val="105"/>
        </w:rPr>
        <w:t> </w:t>
      </w:r>
      <w:r>
        <w:rPr>
          <w:color w:val="231F1F"/>
          <w:w w:val="105"/>
        </w:rPr>
        <w:t>la</w:t>
      </w:r>
      <w:r>
        <w:rPr>
          <w:color w:val="231F1F"/>
          <w:spacing w:val="-4"/>
          <w:w w:val="105"/>
        </w:rPr>
        <w:t> </w:t>
      </w:r>
      <w:r>
        <w:rPr>
          <w:color w:val="231F1F"/>
          <w:w w:val="105"/>
        </w:rPr>
        <w:t>supresión</w:t>
      </w:r>
      <w:r>
        <w:rPr>
          <w:color w:val="231F1F"/>
          <w:spacing w:val="-4"/>
          <w:w w:val="105"/>
        </w:rPr>
        <w:t> </w:t>
      </w:r>
      <w:r>
        <w:rPr>
          <w:color w:val="231F1F"/>
          <w:w w:val="105"/>
        </w:rPr>
        <w:t>parcial</w:t>
      </w:r>
      <w:r>
        <w:rPr>
          <w:color w:val="231F1F"/>
          <w:spacing w:val="-4"/>
          <w:w w:val="105"/>
        </w:rPr>
        <w:t> </w:t>
      </w:r>
      <w:r>
        <w:rPr>
          <w:color w:val="231F1F"/>
          <w:w w:val="105"/>
        </w:rPr>
        <w:t>del</w:t>
      </w:r>
      <w:r>
        <w:rPr>
          <w:color w:val="231F1F"/>
          <w:spacing w:val="-4"/>
          <w:w w:val="105"/>
        </w:rPr>
        <w:t> </w:t>
      </w:r>
      <w:r>
        <w:rPr>
          <w:color w:val="231F1F"/>
          <w:w w:val="105"/>
        </w:rPr>
        <w:t>servicio</w:t>
      </w:r>
      <w:r>
        <w:rPr>
          <w:color w:val="231F1F"/>
          <w:spacing w:val="-4"/>
          <w:w w:val="105"/>
        </w:rPr>
        <w:t> </w:t>
      </w:r>
      <w:r>
        <w:rPr>
          <w:color w:val="231F1F"/>
          <w:w w:val="105"/>
        </w:rPr>
        <w:t>personal</w:t>
      </w:r>
      <w:r>
        <w:rPr>
          <w:color w:val="231F1F"/>
          <w:spacing w:val="-4"/>
          <w:w w:val="105"/>
        </w:rPr>
        <w:t> </w:t>
      </w:r>
      <w:r>
        <w:rPr>
          <w:color w:val="231F1F"/>
          <w:w w:val="105"/>
        </w:rPr>
        <w:t>de</w:t>
      </w:r>
      <w:r>
        <w:rPr>
          <w:color w:val="231F1F"/>
          <w:spacing w:val="-4"/>
          <w:w w:val="105"/>
        </w:rPr>
        <w:t> </w:t>
      </w:r>
      <w:r>
        <w:rPr>
          <w:color w:val="231F1F"/>
          <w:w w:val="105"/>
        </w:rPr>
        <w:t>los</w:t>
      </w:r>
      <w:r>
        <w:rPr>
          <w:color w:val="231F1F"/>
          <w:spacing w:val="-4"/>
          <w:w w:val="105"/>
        </w:rPr>
        <w:t> </w:t>
      </w:r>
      <w:r>
        <w:rPr>
          <w:color w:val="231F1F"/>
          <w:w w:val="105"/>
        </w:rPr>
        <w:t>pueblos,</w:t>
      </w:r>
      <w:r>
        <w:rPr>
          <w:color w:val="231F1F"/>
          <w:spacing w:val="-4"/>
          <w:w w:val="105"/>
        </w:rPr>
        <w:t> </w:t>
      </w:r>
      <w:r>
        <w:rPr>
          <w:color w:val="231F1F"/>
          <w:w w:val="105"/>
        </w:rPr>
        <w:t>pero su inclusión en ella a los dueños de empresas agropecuarias, es la</w:t>
      </w:r>
      <w:r>
        <w:rPr>
          <w:color w:val="231F1F"/>
          <w:spacing w:val="-7"/>
          <w:w w:val="105"/>
        </w:rPr>
        <w:t> </w:t>
      </w:r>
      <w:r>
        <w:rPr>
          <w:color w:val="231F1F"/>
          <w:w w:val="105"/>
        </w:rPr>
        <w:t>siguiente:</w:t>
      </w:r>
    </w:p>
    <w:p>
      <w:pPr>
        <w:pStyle w:val="BodyText"/>
        <w:spacing w:before="8"/>
        <w:rPr>
          <w:sz w:val="27"/>
        </w:rPr>
      </w:pPr>
    </w:p>
    <w:p>
      <w:pPr>
        <w:spacing w:line="276" w:lineRule="auto" w:before="1"/>
        <w:ind w:left="3772" w:right="1722" w:firstLine="0"/>
        <w:jc w:val="both"/>
        <w:rPr>
          <w:sz w:val="20"/>
        </w:rPr>
      </w:pPr>
      <w:r>
        <w:rPr>
          <w:color w:val="383434"/>
          <w:w w:val="105"/>
          <w:sz w:val="20"/>
        </w:rPr>
        <w:t>[Se previene a] las repúblicas y jueces no esclavicen a los hijos de los pueblos con</w:t>
      </w:r>
      <w:r>
        <w:rPr>
          <w:color w:val="383434"/>
          <w:spacing w:val="-7"/>
          <w:w w:val="105"/>
          <w:sz w:val="20"/>
        </w:rPr>
        <w:t> </w:t>
      </w:r>
      <w:r>
        <w:rPr>
          <w:color w:val="383434"/>
          <w:w w:val="105"/>
          <w:sz w:val="20"/>
        </w:rPr>
        <w:t>servicios</w:t>
      </w:r>
      <w:r>
        <w:rPr>
          <w:color w:val="383434"/>
          <w:spacing w:val="-7"/>
          <w:w w:val="105"/>
          <w:sz w:val="20"/>
        </w:rPr>
        <w:t> </w:t>
      </w:r>
      <w:r>
        <w:rPr>
          <w:color w:val="383434"/>
          <w:w w:val="105"/>
          <w:sz w:val="20"/>
        </w:rPr>
        <w:t>personales</w:t>
      </w:r>
      <w:r>
        <w:rPr>
          <w:color w:val="383434"/>
          <w:spacing w:val="-7"/>
          <w:w w:val="105"/>
          <w:sz w:val="20"/>
        </w:rPr>
        <w:t> </w:t>
      </w:r>
      <w:r>
        <w:rPr>
          <w:color w:val="383434"/>
          <w:w w:val="105"/>
          <w:sz w:val="20"/>
        </w:rPr>
        <w:t>que</w:t>
      </w:r>
      <w:r>
        <w:rPr>
          <w:color w:val="383434"/>
          <w:spacing w:val="-7"/>
          <w:w w:val="105"/>
          <w:sz w:val="20"/>
        </w:rPr>
        <w:t> </w:t>
      </w:r>
      <w:r>
        <w:rPr>
          <w:color w:val="383434"/>
          <w:w w:val="105"/>
          <w:sz w:val="20"/>
        </w:rPr>
        <w:t>sólo</w:t>
      </w:r>
      <w:r>
        <w:rPr>
          <w:color w:val="383434"/>
          <w:spacing w:val="-7"/>
          <w:w w:val="105"/>
          <w:sz w:val="20"/>
        </w:rPr>
        <w:t> </w:t>
      </w:r>
      <w:r>
        <w:rPr>
          <w:color w:val="383434"/>
          <w:w w:val="105"/>
          <w:sz w:val="20"/>
        </w:rPr>
        <w:t>deben</w:t>
      </w:r>
      <w:r>
        <w:rPr>
          <w:color w:val="383434"/>
          <w:spacing w:val="-7"/>
          <w:w w:val="105"/>
          <w:sz w:val="20"/>
        </w:rPr>
        <w:t> </w:t>
      </w:r>
      <w:r>
        <w:rPr>
          <w:color w:val="383434"/>
          <w:w w:val="105"/>
          <w:sz w:val="20"/>
        </w:rPr>
        <w:t>a</w:t>
      </w:r>
      <w:r>
        <w:rPr>
          <w:color w:val="383434"/>
          <w:spacing w:val="-7"/>
          <w:w w:val="105"/>
          <w:sz w:val="20"/>
        </w:rPr>
        <w:t> </w:t>
      </w:r>
      <w:r>
        <w:rPr>
          <w:color w:val="383434"/>
          <w:w w:val="105"/>
          <w:sz w:val="20"/>
        </w:rPr>
        <w:t>la</w:t>
      </w:r>
      <w:r>
        <w:rPr>
          <w:color w:val="383434"/>
          <w:spacing w:val="-7"/>
          <w:w w:val="105"/>
          <w:sz w:val="20"/>
        </w:rPr>
        <w:t> </w:t>
      </w:r>
      <w:r>
        <w:rPr>
          <w:color w:val="383434"/>
          <w:w w:val="105"/>
          <w:sz w:val="20"/>
        </w:rPr>
        <w:t>nación</w:t>
      </w:r>
      <w:r>
        <w:rPr>
          <w:color w:val="383434"/>
          <w:spacing w:val="-7"/>
          <w:w w:val="105"/>
          <w:sz w:val="20"/>
        </w:rPr>
        <w:t> </w:t>
      </w:r>
      <w:r>
        <w:rPr>
          <w:color w:val="383434"/>
          <w:w w:val="105"/>
          <w:sz w:val="20"/>
        </w:rPr>
        <w:t>y</w:t>
      </w:r>
      <w:r>
        <w:rPr>
          <w:color w:val="383434"/>
          <w:spacing w:val="-7"/>
          <w:w w:val="105"/>
          <w:sz w:val="20"/>
        </w:rPr>
        <w:t> </w:t>
      </w:r>
      <w:r>
        <w:rPr>
          <w:color w:val="383434"/>
          <w:w w:val="105"/>
          <w:sz w:val="20"/>
        </w:rPr>
        <w:t>soberanía</w:t>
      </w:r>
      <w:r>
        <w:rPr>
          <w:color w:val="383434"/>
          <w:spacing w:val="-7"/>
          <w:w w:val="105"/>
          <w:sz w:val="20"/>
        </w:rPr>
        <w:t> </w:t>
      </w:r>
      <w:r>
        <w:rPr>
          <w:color w:val="383434"/>
          <w:w w:val="105"/>
          <w:sz w:val="20"/>
        </w:rPr>
        <w:t>y</w:t>
      </w:r>
      <w:r>
        <w:rPr>
          <w:color w:val="383434"/>
          <w:spacing w:val="-7"/>
          <w:w w:val="105"/>
          <w:sz w:val="20"/>
        </w:rPr>
        <w:t> </w:t>
      </w:r>
      <w:r>
        <w:rPr>
          <w:color w:val="383434"/>
          <w:w w:val="105"/>
          <w:sz w:val="20"/>
        </w:rPr>
        <w:t>no</w:t>
      </w:r>
      <w:r>
        <w:rPr>
          <w:color w:val="383434"/>
          <w:spacing w:val="-7"/>
          <w:w w:val="105"/>
          <w:sz w:val="20"/>
        </w:rPr>
        <w:t> </w:t>
      </w:r>
      <w:r>
        <w:rPr>
          <w:color w:val="383434"/>
          <w:w w:val="105"/>
          <w:sz w:val="20"/>
        </w:rPr>
        <w:t>al</w:t>
      </w:r>
      <w:r>
        <w:rPr>
          <w:color w:val="383434"/>
          <w:spacing w:val="-7"/>
          <w:w w:val="105"/>
          <w:sz w:val="20"/>
        </w:rPr>
        <w:t> </w:t>
      </w:r>
      <w:r>
        <w:rPr>
          <w:color w:val="383434"/>
          <w:w w:val="105"/>
          <w:sz w:val="20"/>
        </w:rPr>
        <w:t>individuo como tal, por lo que bastará con dar un topil o alguacil al subdelegado o juez y nada</w:t>
      </w:r>
      <w:r>
        <w:rPr>
          <w:color w:val="383434"/>
          <w:spacing w:val="-18"/>
          <w:w w:val="105"/>
          <w:sz w:val="20"/>
        </w:rPr>
        <w:t> </w:t>
      </w:r>
      <w:r>
        <w:rPr>
          <w:color w:val="383434"/>
          <w:w w:val="105"/>
          <w:sz w:val="20"/>
        </w:rPr>
        <w:t>más,</w:t>
      </w:r>
      <w:r>
        <w:rPr>
          <w:color w:val="383434"/>
          <w:spacing w:val="-18"/>
          <w:w w:val="105"/>
          <w:sz w:val="20"/>
        </w:rPr>
        <w:t> </w:t>
      </w:r>
      <w:r>
        <w:rPr>
          <w:color w:val="383434"/>
          <w:w w:val="105"/>
          <w:sz w:val="20"/>
        </w:rPr>
        <w:t>para</w:t>
      </w:r>
      <w:r>
        <w:rPr>
          <w:color w:val="383434"/>
          <w:spacing w:val="-18"/>
          <w:w w:val="105"/>
          <w:sz w:val="20"/>
        </w:rPr>
        <w:t> </w:t>
      </w:r>
      <w:r>
        <w:rPr>
          <w:color w:val="383434"/>
          <w:w w:val="105"/>
          <w:sz w:val="20"/>
        </w:rPr>
        <w:t>el</w:t>
      </w:r>
      <w:r>
        <w:rPr>
          <w:color w:val="383434"/>
          <w:spacing w:val="-18"/>
          <w:w w:val="105"/>
          <w:sz w:val="20"/>
        </w:rPr>
        <w:t> </w:t>
      </w:r>
      <w:r>
        <w:rPr>
          <w:color w:val="383434"/>
          <w:w w:val="105"/>
          <w:sz w:val="20"/>
        </w:rPr>
        <w:t>año;</w:t>
      </w:r>
      <w:r>
        <w:rPr>
          <w:color w:val="383434"/>
          <w:spacing w:val="-18"/>
          <w:w w:val="105"/>
          <w:sz w:val="20"/>
        </w:rPr>
        <w:t> </w:t>
      </w:r>
      <w:r>
        <w:rPr>
          <w:color w:val="383434"/>
          <w:w w:val="105"/>
          <w:sz w:val="20"/>
        </w:rPr>
        <w:t>alternando</w:t>
      </w:r>
      <w:r>
        <w:rPr>
          <w:color w:val="383434"/>
          <w:spacing w:val="-18"/>
          <w:w w:val="105"/>
          <w:sz w:val="20"/>
        </w:rPr>
        <w:t> </w:t>
      </w:r>
      <w:r>
        <w:rPr>
          <w:color w:val="383434"/>
          <w:w w:val="105"/>
          <w:sz w:val="20"/>
        </w:rPr>
        <w:t>este</w:t>
      </w:r>
      <w:r>
        <w:rPr>
          <w:color w:val="383434"/>
          <w:spacing w:val="-18"/>
          <w:w w:val="105"/>
          <w:sz w:val="20"/>
        </w:rPr>
        <w:t> </w:t>
      </w:r>
      <w:r>
        <w:rPr>
          <w:color w:val="383434"/>
          <w:w w:val="105"/>
          <w:sz w:val="20"/>
        </w:rPr>
        <w:t>servicio</w:t>
      </w:r>
      <w:r>
        <w:rPr>
          <w:color w:val="383434"/>
          <w:spacing w:val="-18"/>
          <w:w w:val="105"/>
          <w:sz w:val="20"/>
        </w:rPr>
        <w:t> </w:t>
      </w:r>
      <w:r>
        <w:rPr>
          <w:color w:val="383434"/>
          <w:w w:val="105"/>
          <w:sz w:val="20"/>
        </w:rPr>
        <w:t>los</w:t>
      </w:r>
      <w:r>
        <w:rPr>
          <w:color w:val="383434"/>
          <w:spacing w:val="-18"/>
          <w:w w:val="105"/>
          <w:sz w:val="20"/>
        </w:rPr>
        <w:t> </w:t>
      </w:r>
      <w:r>
        <w:rPr>
          <w:color w:val="383434"/>
          <w:w w:val="105"/>
          <w:sz w:val="20"/>
        </w:rPr>
        <w:t>pueblos</w:t>
      </w:r>
      <w:r>
        <w:rPr>
          <w:color w:val="383434"/>
          <w:spacing w:val="-18"/>
          <w:w w:val="105"/>
          <w:sz w:val="20"/>
        </w:rPr>
        <w:t> </w:t>
      </w:r>
      <w:r>
        <w:rPr>
          <w:color w:val="383434"/>
          <w:w w:val="105"/>
          <w:sz w:val="20"/>
        </w:rPr>
        <w:t>y</w:t>
      </w:r>
      <w:r>
        <w:rPr>
          <w:color w:val="383434"/>
          <w:spacing w:val="-18"/>
          <w:w w:val="105"/>
          <w:sz w:val="20"/>
        </w:rPr>
        <w:t> </w:t>
      </w:r>
      <w:r>
        <w:rPr>
          <w:color w:val="383434"/>
          <w:w w:val="105"/>
          <w:sz w:val="20"/>
        </w:rPr>
        <w:t>hombres</w:t>
      </w:r>
      <w:r>
        <w:rPr>
          <w:color w:val="383434"/>
          <w:spacing w:val="-18"/>
          <w:w w:val="105"/>
          <w:sz w:val="20"/>
        </w:rPr>
        <w:t> </w:t>
      </w:r>
      <w:r>
        <w:rPr>
          <w:color w:val="383434"/>
          <w:w w:val="105"/>
          <w:sz w:val="20"/>
        </w:rPr>
        <w:t>que</w:t>
      </w:r>
      <w:r>
        <w:rPr>
          <w:color w:val="383434"/>
          <w:spacing w:val="-18"/>
          <w:w w:val="105"/>
          <w:sz w:val="20"/>
        </w:rPr>
        <w:t> </w:t>
      </w:r>
      <w:r>
        <w:rPr>
          <w:color w:val="383434"/>
          <w:w w:val="105"/>
          <w:sz w:val="20"/>
        </w:rPr>
        <w:t>tengan haciendas con doce sirvientes (Herrejón, </w:t>
      </w:r>
      <w:r>
        <w:rPr>
          <w:color w:val="383434"/>
          <w:w w:val="105"/>
          <w:sz w:val="18"/>
        </w:rPr>
        <w:t>1985:  </w:t>
      </w:r>
      <w:r>
        <w:rPr>
          <w:color w:val="383434"/>
          <w:spacing w:val="9"/>
          <w:w w:val="105"/>
          <w:sz w:val="18"/>
        </w:rPr>
        <w:t> </w:t>
      </w:r>
      <w:r>
        <w:rPr>
          <w:color w:val="383434"/>
          <w:w w:val="105"/>
          <w:sz w:val="18"/>
        </w:rPr>
        <w:t>136</w:t>
      </w:r>
      <w:r>
        <w:rPr>
          <w:color w:val="383434"/>
          <w:w w:val="105"/>
          <w:sz w:val="20"/>
        </w:rPr>
        <w:t>).</w:t>
      </w:r>
    </w:p>
    <w:p>
      <w:pPr>
        <w:pStyle w:val="BodyText"/>
        <w:spacing w:before="10"/>
        <w:rPr>
          <w:sz w:val="27"/>
        </w:rPr>
      </w:pPr>
    </w:p>
    <w:p>
      <w:pPr>
        <w:pStyle w:val="BodyText"/>
        <w:spacing w:line="268" w:lineRule="auto"/>
        <w:ind w:left="1504" w:right="1721"/>
        <w:jc w:val="both"/>
      </w:pPr>
      <w:r>
        <w:rPr>
          <w:color w:val="231F1F"/>
        </w:rPr>
        <w:t>Desde el punto de vista histórico, en la década de </w:t>
      </w:r>
      <w:r>
        <w:rPr>
          <w:color w:val="231F1F"/>
          <w:sz w:val="20"/>
        </w:rPr>
        <w:t>1560  </w:t>
      </w:r>
      <w:r>
        <w:rPr>
          <w:color w:val="231F1F"/>
        </w:rPr>
        <w:t>se establecieron las “cajas de comunidad”    en cada uno de los pueblos de indios como parte de las más importantes reformas emprendidas    por el gobierno novohispano de aquella época. Estas cajas no eran otra cosa que las tesorerías municipales de los pueblos donde se administraban los ingresos y egresos locales con la finalidad de afrontar el pago del tributo real y los gastos corporativos, así como hacer directamente responsable al gobernador y al cabildo de su manejo. Una de las fuentes de ingreso más significativas de estas tesorerías eran los tributos en especie y el dinero que pagaban, per cápita cada uno de los indios  que estaban matriculados como tributarios. El jefe de familia con tierras asignadas por el cabildo     de indios pagaba una cuota completa; los solteros con tierras, las viudas y los viudos pagaban la mitad de la misma. Sólo los niños menores de doce años, los ancianos mayores de </w:t>
      </w:r>
      <w:r>
        <w:rPr>
          <w:color w:val="231F1F"/>
          <w:sz w:val="20"/>
        </w:rPr>
        <w:t>50 </w:t>
      </w:r>
      <w:r>
        <w:rPr>
          <w:color w:val="231F1F"/>
        </w:rPr>
        <w:t>años, los enfermos e impedidos físicamente estaban exentos de dicha   </w:t>
      </w:r>
      <w:r>
        <w:rPr>
          <w:color w:val="231F1F"/>
          <w:spacing w:val="6"/>
        </w:rPr>
        <w:t> </w:t>
      </w:r>
      <w:r>
        <w:rPr>
          <w:color w:val="231F1F"/>
        </w:rPr>
        <w:t>contribución.</w:t>
      </w:r>
    </w:p>
    <w:p>
      <w:pPr>
        <w:spacing w:after="0" w:line="268" w:lineRule="auto"/>
        <w:jc w:val="both"/>
        <w:sectPr>
          <w:pgSz w:w="13100" w:h="17920"/>
          <w:pgMar w:top="1660" w:bottom="280" w:left="820" w:right="0"/>
        </w:sectPr>
      </w:pPr>
    </w:p>
    <w:p>
      <w:pPr>
        <w:pStyle w:val="BodyText"/>
        <w:spacing w:line="268" w:lineRule="auto" w:before="48"/>
        <w:ind w:left="105"/>
        <w:jc w:val="both"/>
      </w:pPr>
      <w:r>
        <w:rPr>
          <w:color w:val="231F1F"/>
        </w:rPr>
        <w:t>Otra</w:t>
      </w:r>
      <w:r>
        <w:rPr>
          <w:color w:val="231F1F"/>
          <w:spacing w:val="-7"/>
        </w:rPr>
        <w:t> </w:t>
      </w:r>
      <w:r>
        <w:rPr>
          <w:color w:val="231F1F"/>
        </w:rPr>
        <w:t>fuente</w:t>
      </w:r>
      <w:r>
        <w:rPr>
          <w:color w:val="231F1F"/>
          <w:spacing w:val="-7"/>
        </w:rPr>
        <w:t> </w:t>
      </w:r>
      <w:r>
        <w:rPr>
          <w:color w:val="231F1F"/>
        </w:rPr>
        <w:t>de</w:t>
      </w:r>
      <w:r>
        <w:rPr>
          <w:color w:val="231F1F"/>
          <w:spacing w:val="-7"/>
        </w:rPr>
        <w:t> </w:t>
      </w:r>
      <w:r>
        <w:rPr>
          <w:color w:val="231F1F"/>
        </w:rPr>
        <w:t>ingreso</w:t>
      </w:r>
      <w:r>
        <w:rPr>
          <w:color w:val="231F1F"/>
          <w:spacing w:val="-7"/>
        </w:rPr>
        <w:t> </w:t>
      </w:r>
      <w:r>
        <w:rPr>
          <w:color w:val="231F1F"/>
        </w:rPr>
        <w:t>importante,</w:t>
      </w:r>
      <w:r>
        <w:rPr>
          <w:color w:val="231F1F"/>
          <w:spacing w:val="-7"/>
        </w:rPr>
        <w:t> </w:t>
      </w:r>
      <w:r>
        <w:rPr>
          <w:color w:val="231F1F"/>
        </w:rPr>
        <w:t>en</w:t>
      </w:r>
      <w:r>
        <w:rPr>
          <w:color w:val="231F1F"/>
          <w:spacing w:val="-7"/>
        </w:rPr>
        <w:t> </w:t>
      </w:r>
      <w:r>
        <w:rPr>
          <w:color w:val="231F1F"/>
        </w:rPr>
        <w:t>estas</w:t>
      </w:r>
      <w:r>
        <w:rPr>
          <w:color w:val="231F1F"/>
          <w:spacing w:val="-7"/>
        </w:rPr>
        <w:t> </w:t>
      </w:r>
      <w:r>
        <w:rPr>
          <w:color w:val="231F1F"/>
        </w:rPr>
        <w:t>tesorerías</w:t>
      </w:r>
      <w:r>
        <w:rPr>
          <w:color w:val="231F1F"/>
          <w:spacing w:val="-7"/>
        </w:rPr>
        <w:t> </w:t>
      </w:r>
      <w:r>
        <w:rPr>
          <w:color w:val="231F1F"/>
        </w:rPr>
        <w:t>locales,</w:t>
      </w:r>
      <w:r>
        <w:rPr>
          <w:color w:val="231F1F"/>
          <w:spacing w:val="-7"/>
        </w:rPr>
        <w:t> </w:t>
      </w:r>
      <w:r>
        <w:rPr>
          <w:color w:val="231F1F"/>
        </w:rPr>
        <w:t>lo</w:t>
      </w:r>
      <w:r>
        <w:rPr>
          <w:color w:val="231F1F"/>
          <w:spacing w:val="-7"/>
        </w:rPr>
        <w:t> </w:t>
      </w:r>
      <w:r>
        <w:rPr>
          <w:color w:val="231F1F"/>
        </w:rPr>
        <w:t>constituía el pago de los arrendamientos de tierras corporativas o de la comunidad, hechos de manera frecuente por vecinos de otros pueblos o por</w:t>
      </w:r>
      <w:r>
        <w:rPr>
          <w:color w:val="231F1F"/>
          <w:spacing w:val="-23"/>
        </w:rPr>
        <w:t> </w:t>
      </w:r>
      <w:r>
        <w:rPr>
          <w:color w:val="231F1F"/>
        </w:rPr>
        <w:t>individuos mestizos, criollos o españoles. Otros ingresos provenían del cobro por    los derechos de piso de los tianguistas o mercaderes, las multas y ciertos arbitrios locales como el pago de peajes y licencias diversas (Miranda, </w:t>
      </w:r>
      <w:r>
        <w:rPr>
          <w:color w:val="231F1F"/>
          <w:sz w:val="20"/>
        </w:rPr>
        <w:t>1980:  9-35</w:t>
      </w:r>
      <w:r>
        <w:rPr>
          <w:color w:val="231F1F"/>
        </w:rPr>
        <w:t>;  Gibson,  </w:t>
      </w:r>
      <w:r>
        <w:rPr>
          <w:color w:val="231F1F"/>
          <w:sz w:val="20"/>
        </w:rPr>
        <w:t>1981:  196-200</w:t>
      </w:r>
      <w:r>
        <w:rPr>
          <w:color w:val="231F1F"/>
        </w:rPr>
        <w:t>).   Una   vez   deducidos   los   egresos por el pago del tributo real y los gastos comunitarios propios (entre los que se incluían los de las fiestas patronales, los pagos por litigios y los de infraestructura)</w:t>
      </w:r>
      <w:r>
        <w:rPr>
          <w:color w:val="231F1F"/>
          <w:spacing w:val="-5"/>
        </w:rPr>
        <w:t> </w:t>
      </w:r>
      <w:r>
        <w:rPr>
          <w:color w:val="231F1F"/>
        </w:rPr>
        <w:t>quedaba,</w:t>
      </w:r>
      <w:r>
        <w:rPr>
          <w:color w:val="231F1F"/>
          <w:spacing w:val="-5"/>
        </w:rPr>
        <w:t> </w:t>
      </w:r>
      <w:r>
        <w:rPr>
          <w:color w:val="231F1F"/>
        </w:rPr>
        <w:t>en</w:t>
      </w:r>
      <w:r>
        <w:rPr>
          <w:color w:val="231F1F"/>
          <w:spacing w:val="-5"/>
        </w:rPr>
        <w:t> </w:t>
      </w:r>
      <w:r>
        <w:rPr>
          <w:color w:val="231F1F"/>
        </w:rPr>
        <w:t>algunas</w:t>
      </w:r>
      <w:r>
        <w:rPr>
          <w:color w:val="231F1F"/>
          <w:spacing w:val="-5"/>
        </w:rPr>
        <w:t> </w:t>
      </w:r>
      <w:r>
        <w:rPr>
          <w:color w:val="231F1F"/>
        </w:rPr>
        <w:t>ocasiones,</w:t>
      </w:r>
      <w:r>
        <w:rPr>
          <w:color w:val="231F1F"/>
          <w:spacing w:val="-5"/>
        </w:rPr>
        <w:t> </w:t>
      </w:r>
      <w:r>
        <w:rPr>
          <w:color w:val="231F1F"/>
        </w:rPr>
        <w:t>un</w:t>
      </w:r>
      <w:r>
        <w:rPr>
          <w:color w:val="231F1F"/>
          <w:spacing w:val="-5"/>
        </w:rPr>
        <w:t> </w:t>
      </w:r>
      <w:r>
        <w:rPr>
          <w:color w:val="231F1F"/>
        </w:rPr>
        <w:t>remanente</w:t>
      </w:r>
      <w:r>
        <w:rPr>
          <w:color w:val="231F1F"/>
          <w:spacing w:val="-5"/>
        </w:rPr>
        <w:t> </w:t>
      </w:r>
      <w:r>
        <w:rPr>
          <w:color w:val="231F1F"/>
        </w:rPr>
        <w:t>en</w:t>
      </w:r>
      <w:r>
        <w:rPr>
          <w:color w:val="231F1F"/>
          <w:spacing w:val="-5"/>
        </w:rPr>
        <w:t> </w:t>
      </w:r>
      <w:r>
        <w:rPr>
          <w:color w:val="231F1F"/>
        </w:rPr>
        <w:t>efectivo, que durante el reinado de los Austrias o Habsburgo fue administrado con cierta autonomía por las autoridades  </w:t>
      </w:r>
      <w:r>
        <w:rPr>
          <w:color w:val="231F1F"/>
          <w:spacing w:val="15"/>
        </w:rPr>
        <w:t> </w:t>
      </w:r>
      <w:r>
        <w:rPr>
          <w:color w:val="231F1F"/>
        </w:rPr>
        <w:t>indígenas.</w:t>
      </w:r>
    </w:p>
    <w:p>
      <w:pPr>
        <w:pStyle w:val="BodyText"/>
        <w:spacing w:before="3"/>
        <w:rPr>
          <w:sz w:val="11"/>
        </w:rPr>
      </w:pPr>
      <w:r>
        <w:rPr/>
        <w:drawing>
          <wp:anchor distT="0" distB="0" distL="0" distR="0" allowOverlap="1" layoutInCell="1" locked="0" behindDoc="0" simplePos="0" relativeHeight="1936">
            <wp:simplePos x="0" y="0"/>
            <wp:positionH relativeFrom="page">
              <wp:posOffset>1095839</wp:posOffset>
            </wp:positionH>
            <wp:positionV relativeFrom="paragraph">
              <wp:posOffset>112224</wp:posOffset>
            </wp:positionV>
            <wp:extent cx="4222185" cy="2736342"/>
            <wp:effectExtent l="0" t="0" r="0" b="0"/>
            <wp:wrapTopAndBottom/>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33" cstate="print"/>
                    <a:stretch>
                      <a:fillRect/>
                    </a:stretch>
                  </pic:blipFill>
                  <pic:spPr>
                    <a:xfrm>
                      <a:off x="0" y="0"/>
                      <a:ext cx="4222185" cy="2736342"/>
                    </a:xfrm>
                    <a:prstGeom prst="rect">
                      <a:avLst/>
                    </a:prstGeom>
                  </pic:spPr>
                </pic:pic>
              </a:graphicData>
            </a:graphic>
          </wp:anchor>
        </w:drawing>
      </w:r>
    </w:p>
    <w:p>
      <w:pPr>
        <w:pStyle w:val="BodyText"/>
        <w:spacing w:before="10"/>
        <w:rPr>
          <w:sz w:val="29"/>
        </w:rPr>
      </w:pPr>
    </w:p>
    <w:p>
      <w:pPr>
        <w:pStyle w:val="BodyText"/>
        <w:spacing w:line="268" w:lineRule="auto"/>
        <w:ind w:left="105" w:right="1"/>
        <w:jc w:val="both"/>
      </w:pPr>
      <w:r>
        <w:rPr/>
        <w:pict>
          <v:line style="position:absolute;mso-position-horizontal-relative:page;mso-position-vertical-relative:paragraph;z-index:1984" from="433.757996pt,-18.939367pt" to="518.796996pt,-18.939367pt" stroked="true" strokeweight=".5pt" strokecolor="#a8483d">
            <w10:wrap type="none"/>
          </v:line>
        </w:pict>
      </w:r>
      <w:r>
        <w:rPr>
          <w:color w:val="231F1F"/>
        </w:rPr>
        <w:t>Sin embargo, a partir de la segunda mitad del siglo </w:t>
      </w:r>
      <w:r>
        <w:rPr>
          <w:color w:val="231F1F"/>
          <w:sz w:val="18"/>
        </w:rPr>
        <w:t>XVIII </w:t>
      </w:r>
      <w:r>
        <w:rPr>
          <w:color w:val="231F1F"/>
        </w:rPr>
        <w:t>se aplicaron las llamadas reformas borbónicas, y en particular la “Real Ordenanza para      el establecimiento e instrucción de Intendentes de exército y provincia en el reino de la Nueva España  de  </w:t>
      </w:r>
      <w:r>
        <w:rPr>
          <w:color w:val="231F1F"/>
          <w:sz w:val="20"/>
        </w:rPr>
        <w:t>1786</w:t>
      </w:r>
      <w:r>
        <w:rPr>
          <w:color w:val="231F1F"/>
        </w:rPr>
        <w:t>”,  cuya  finalidad  era  reordenar  toda la administración pública colonial. Estas disposiciones afectaron el funcionamiento de las dos antiguas corporaciones político-territoriales:  los pueblos de indios y los pueblos de españoles. A pesar de que el rey consideraba benéfica la continuidad  de  las  repúblicas  de  indios,  apli-  có cambios, en su administración interna, que las afectaría de manera drástica en su funcionamiento por el resto del período colonial. Entre las transformaciones más significativos estaba el hecho de que esta continui- dad estuvo condicionada a que las autoridades indígenas tradicionales (gobernador y cabildo) sólo atenderían el rubro económico: recolección  de tributos y administración de las cajas y bienes de comunidad. Además, todos</w:t>
      </w:r>
      <w:r>
        <w:rPr>
          <w:color w:val="231F1F"/>
          <w:spacing w:val="21"/>
        </w:rPr>
        <w:t> </w:t>
      </w:r>
      <w:r>
        <w:rPr>
          <w:color w:val="231F1F"/>
        </w:rPr>
        <w:t>los</w:t>
      </w:r>
      <w:r>
        <w:rPr>
          <w:color w:val="231F1F"/>
          <w:spacing w:val="21"/>
        </w:rPr>
        <w:t> </w:t>
      </w:r>
      <w:r>
        <w:rPr>
          <w:color w:val="231F1F"/>
        </w:rPr>
        <w:t>pueblos</w:t>
      </w:r>
      <w:r>
        <w:rPr>
          <w:color w:val="231F1F"/>
          <w:spacing w:val="21"/>
        </w:rPr>
        <w:t> </w:t>
      </w:r>
      <w:r>
        <w:rPr>
          <w:color w:val="231F1F"/>
        </w:rPr>
        <w:t>de</w:t>
      </w:r>
      <w:r>
        <w:rPr>
          <w:color w:val="231F1F"/>
          <w:spacing w:val="21"/>
        </w:rPr>
        <w:t> </w:t>
      </w:r>
      <w:r>
        <w:rPr>
          <w:color w:val="231F1F"/>
        </w:rPr>
        <w:t>indios</w:t>
      </w:r>
      <w:r>
        <w:rPr>
          <w:color w:val="231F1F"/>
          <w:spacing w:val="21"/>
        </w:rPr>
        <w:t> </w:t>
      </w:r>
      <w:r>
        <w:rPr>
          <w:color w:val="231F1F"/>
        </w:rPr>
        <w:t>tuvieron</w:t>
      </w:r>
      <w:r>
        <w:rPr>
          <w:color w:val="231F1F"/>
          <w:spacing w:val="21"/>
        </w:rPr>
        <w:t> </w:t>
      </w:r>
      <w:r>
        <w:rPr>
          <w:color w:val="231F1F"/>
        </w:rPr>
        <w:t>como</w:t>
      </w:r>
      <w:r>
        <w:rPr>
          <w:color w:val="231F1F"/>
          <w:spacing w:val="21"/>
        </w:rPr>
        <w:t> </w:t>
      </w:r>
      <w:r>
        <w:rPr>
          <w:color w:val="231F1F"/>
        </w:rPr>
        <w:t>autoridad</w:t>
      </w:r>
      <w:r>
        <w:rPr>
          <w:color w:val="231F1F"/>
          <w:spacing w:val="21"/>
        </w:rPr>
        <w:t> </w:t>
      </w:r>
      <w:r>
        <w:rPr>
          <w:color w:val="231F1F"/>
        </w:rPr>
        <w:t>superior</w:t>
      </w:r>
      <w:r>
        <w:rPr>
          <w:color w:val="231F1F"/>
          <w:spacing w:val="21"/>
        </w:rPr>
        <w:t> </w:t>
      </w:r>
      <w:r>
        <w:rPr>
          <w:color w:val="231F1F"/>
        </w:rPr>
        <w:t>inmediata</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2"/>
        </w:rPr>
      </w:pPr>
      <w:r>
        <w:rPr/>
        <w:pict>
          <v:shape style="position:absolute;margin-left:433.757996pt;margin-top:9.838094pt;width:8.950pt;height:8.950pt;mso-position-horizontal-relative:page;mso-position-vertical-relative:paragraph;z-index:1960;mso-wrap-distance-left:0;mso-wrap-distance-right:0" coordorigin="8675,197" coordsize="179,179" path="m8854,197l8675,197,8675,375,8854,197xe" filled="true" fillcolor="#a8483d" stroked="false">
            <v:path arrowok="t"/>
            <v:fill type="solid"/>
            <w10:wrap type="topAndBottom"/>
          </v:shape>
        </w:pict>
      </w:r>
    </w:p>
    <w:p>
      <w:pPr>
        <w:pStyle w:val="ListParagraph"/>
        <w:numPr>
          <w:ilvl w:val="0"/>
          <w:numId w:val="2"/>
        </w:numPr>
        <w:tabs>
          <w:tab w:pos="273" w:val="left" w:leader="none"/>
        </w:tabs>
        <w:spacing w:line="240" w:lineRule="auto" w:before="81" w:after="0"/>
        <w:ind w:left="105" w:right="951" w:firstLine="0"/>
        <w:jc w:val="left"/>
        <w:rPr>
          <w:sz w:val="16"/>
        </w:rPr>
      </w:pPr>
      <w:r>
        <w:rPr>
          <w:color w:val="383434"/>
          <w:sz w:val="16"/>
        </w:rPr>
        <w:t>Plano del pueblo de Cuautla,</w:t>
      </w:r>
      <w:r>
        <w:rPr>
          <w:color w:val="383434"/>
          <w:spacing w:val="-24"/>
          <w:sz w:val="16"/>
        </w:rPr>
        <w:t> </w:t>
      </w:r>
      <w:r>
        <w:rPr>
          <w:color w:val="383434"/>
          <w:sz w:val="16"/>
        </w:rPr>
        <w:t>1812.</w:t>
      </w:r>
    </w:p>
    <w:p>
      <w:pPr>
        <w:spacing w:after="0" w:line="240" w:lineRule="auto"/>
        <w:jc w:val="left"/>
        <w:rPr>
          <w:sz w:val="16"/>
        </w:rPr>
        <w:sectPr>
          <w:pgSz w:w="13100" w:h="17920"/>
          <w:pgMar w:top="1660" w:bottom="280" w:left="1620" w:right="1860"/>
          <w:cols w:num="2" w:equalWidth="0">
            <w:col w:w="6778" w:space="171"/>
            <w:col w:w="2671"/>
          </w:cols>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0"/>
        <w:rPr>
          <w:rFonts w:ascii="Tahoma"/>
          <w:sz w:val="26"/>
        </w:rPr>
      </w:pPr>
    </w:p>
    <w:p>
      <w:pPr>
        <w:spacing w:after="0"/>
        <w:rPr>
          <w:rFonts w:ascii="Tahoma"/>
          <w:sz w:val="26"/>
        </w:rPr>
        <w:sectPr>
          <w:type w:val="continuous"/>
          <w:pgSz w:w="13100" w:h="17920"/>
          <w:pgMar w:top="0" w:bottom="0" w:left="1620" w:right="1860"/>
        </w:sectPr>
      </w:pPr>
    </w:p>
    <w:p>
      <w:pPr>
        <w:spacing w:line="194" w:lineRule="exact" w:before="79"/>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105</w:t>
      </w:r>
    </w:p>
    <w:p>
      <w:pPr>
        <w:spacing w:after="0"/>
        <w:jc w:val="left"/>
        <w:rPr>
          <w:sz w:val="18"/>
        </w:rPr>
        <w:sectPr>
          <w:type w:val="continuous"/>
          <w:pgSz w:w="13100" w:h="17920"/>
          <w:pgMar w:top="0" w:bottom="0" w:left="1620" w:right="1860"/>
          <w:cols w:num="2" w:equalWidth="0">
            <w:col w:w="8413" w:space="40"/>
            <w:col w:w="1167"/>
          </w:cols>
        </w:sectPr>
      </w:pPr>
    </w:p>
    <w:p>
      <w:pPr>
        <w:pStyle w:val="BodyText"/>
        <w:tabs>
          <w:tab w:pos="1504" w:val="left" w:leader="none"/>
        </w:tabs>
        <w:spacing w:line="268" w:lineRule="auto" w:before="29"/>
        <w:ind w:left="1504" w:right="4104" w:hanging="1170"/>
        <w:jc w:val="both"/>
      </w:pPr>
      <w:r>
        <w:rPr/>
        <w:drawing>
          <wp:anchor distT="0" distB="0" distL="0" distR="0" allowOverlap="1" layoutInCell="1" locked="0" behindDoc="1" simplePos="0" relativeHeight="268360799">
            <wp:simplePos x="0" y="0"/>
            <wp:positionH relativeFrom="page">
              <wp:posOffset>589533</wp:posOffset>
            </wp:positionH>
            <wp:positionV relativeFrom="paragraph">
              <wp:posOffset>362513</wp:posOffset>
            </wp:positionV>
            <wp:extent cx="522296" cy="457949"/>
            <wp:effectExtent l="0" t="0" r="0" b="0"/>
            <wp:wrapNone/>
            <wp:docPr id="45" name="image24.png" descr=""/>
            <wp:cNvGraphicFramePr>
              <a:graphicFrameLocks noChangeAspect="1"/>
            </wp:cNvGraphicFramePr>
            <a:graphic>
              <a:graphicData uri="http://schemas.openxmlformats.org/drawingml/2006/picture">
                <pic:pic>
                  <pic:nvPicPr>
                    <pic:cNvPr id="46"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73346pt;width:11pt;height:76.350pt;mso-position-horizontal-relative:page;mso-position-vertical-relative:paragraph;z-index:-7463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4"/>
          <w:sz w:val="18"/>
        </w:rPr>
        <w:t>106</w:t>
        <w:tab/>
      </w:r>
      <w:r>
        <w:rPr>
          <w:color w:val="231F1F"/>
        </w:rPr>
        <w:t>a  los  subdelegados,  de  calidad  españoles,  que  tenían </w:t>
      </w:r>
      <w:r>
        <w:rPr>
          <w:color w:val="231F1F"/>
          <w:spacing w:val="24"/>
        </w:rPr>
        <w:t> </w:t>
      </w:r>
      <w:r>
        <w:rPr>
          <w:color w:val="231F1F"/>
        </w:rPr>
        <w:t>amplias </w:t>
      </w:r>
      <w:r>
        <w:rPr>
          <w:color w:val="231F1F"/>
          <w:spacing w:val="3"/>
        </w:rPr>
        <w:t> </w:t>
      </w:r>
      <w:r>
        <w:rPr>
          <w:color w:val="231F1F"/>
        </w:rPr>
        <w:t>faculta-</w:t>
      </w:r>
      <w:r>
        <w:rPr>
          <w:color w:val="231F1F"/>
          <w:w w:val="62"/>
        </w:rPr>
        <w:t> </w:t>
      </w:r>
      <w:r>
        <w:rPr>
          <w:color w:val="231F1F"/>
        </w:rPr>
        <w:t>des de  Hacienda,  Guerra,  Justicia  y  Policía.  Estos  funcionarios  </w:t>
      </w:r>
      <w:r>
        <w:rPr>
          <w:color w:val="231F1F"/>
          <w:spacing w:val="2"/>
        </w:rPr>
        <w:t>tenían  </w:t>
      </w:r>
      <w:r>
        <w:rPr>
          <w:color w:val="231F1F"/>
        </w:rPr>
        <w:t>la obligación de vigilar que los pueblos administrasen bien los ingresos    de su caja para cubrir sólo los gastos autorizados por la nueva </w:t>
      </w:r>
      <w:r>
        <w:rPr>
          <w:color w:val="231F1F"/>
          <w:spacing w:val="-4"/>
        </w:rPr>
        <w:t>ley. </w:t>
      </w:r>
      <w:r>
        <w:rPr>
          <w:color w:val="231F1F"/>
        </w:rPr>
        <w:t>Asi- mismo, tenían permitido proponer todos aquellos medios o arbitrios que generaran ingresos seguros, esto les dio amplio margen para intervenir arbitrariamente en ellas exigiendo tributo a las castas. Dentro de las obli- gaciones de los subdelegados también estaba la de verificar que cada    año se hiciera un reporte de ingresos y egresos, así como la de remitir,      al intendente respectivo, los sobrantes en efectivo. A su vez, el intendente remitía reporte y excedentes a la Contaduría General de Propios y Arbi- trios, y ésta a la Superintendencia de la Hacienda Real. Es </w:t>
      </w:r>
      <w:r>
        <w:rPr>
          <w:color w:val="231F1F"/>
          <w:spacing w:val="-3"/>
        </w:rPr>
        <w:t>decir, </w:t>
      </w:r>
      <w:r>
        <w:rPr>
          <w:color w:val="231F1F"/>
        </w:rPr>
        <w:t>esta ley centralizaba, en manos de los funcionarios españoles, la administración     y los excedentes de las cajas de comunidad de todo el reino. Como bien    lo  expresó </w:t>
      </w:r>
      <w:r>
        <w:rPr>
          <w:color w:val="231F1F"/>
          <w:spacing w:val="5"/>
        </w:rPr>
        <w:t> </w:t>
      </w:r>
      <w:r>
        <w:rPr>
          <w:color w:val="231F1F"/>
        </w:rPr>
        <w:t>Margadant:</w:t>
      </w:r>
    </w:p>
    <w:p>
      <w:pPr>
        <w:pStyle w:val="BodyText"/>
        <w:spacing w:before="8"/>
        <w:rPr>
          <w:sz w:val="27"/>
        </w:rPr>
      </w:pPr>
    </w:p>
    <w:p>
      <w:pPr>
        <w:spacing w:line="276" w:lineRule="auto" w:before="1"/>
        <w:ind w:left="2638" w:right="4106" w:firstLine="0"/>
        <w:jc w:val="both"/>
        <w:rPr>
          <w:sz w:val="20"/>
        </w:rPr>
      </w:pPr>
      <w:r>
        <w:rPr>
          <w:color w:val="383434"/>
          <w:sz w:val="20"/>
        </w:rPr>
        <w:t>[Esta ordenanza retiró] la materia fiscal municipal de la plena auto- nomía de los municipios españoles y pueblos de indios, poniendo bajo el control del superintendente los “propios” y “arbitrios” de   los municipios españoles, y bienes de comunidad de los pueblos    de indios. En opinión de la Corona, sólo así podría fomentarse la prosperidad rural, columna de la futura economía novohispana, vislumbrada  por  De  Gálvez  (</w:t>
      </w:r>
      <w:r>
        <w:rPr>
          <w:color w:val="383434"/>
          <w:sz w:val="18"/>
        </w:rPr>
        <w:t>1988:   </w:t>
      </w:r>
      <w:r>
        <w:rPr>
          <w:color w:val="383434"/>
          <w:spacing w:val="6"/>
          <w:sz w:val="18"/>
        </w:rPr>
        <w:t> </w:t>
      </w:r>
      <w:r>
        <w:rPr>
          <w:color w:val="383434"/>
          <w:sz w:val="18"/>
        </w:rPr>
        <w:t>670</w:t>
      </w:r>
      <w:r>
        <w:rPr>
          <w:color w:val="383434"/>
          <w:sz w:val="20"/>
        </w:rPr>
        <w:t>).</w:t>
      </w:r>
    </w:p>
    <w:p>
      <w:pPr>
        <w:pStyle w:val="BodyText"/>
        <w:spacing w:before="10"/>
        <w:rPr>
          <w:sz w:val="27"/>
        </w:rPr>
      </w:pPr>
    </w:p>
    <w:p>
      <w:pPr>
        <w:pStyle w:val="BodyText"/>
        <w:spacing w:line="268" w:lineRule="auto"/>
        <w:ind w:left="1504" w:right="4104"/>
        <w:jc w:val="both"/>
      </w:pPr>
      <w:r>
        <w:rPr>
          <w:color w:val="231F1F"/>
          <w:w w:val="105"/>
        </w:rPr>
        <w:t>Los subdelegados también estaban obligados a presentarse en las</w:t>
      </w:r>
      <w:r>
        <w:rPr>
          <w:color w:val="231F1F"/>
          <w:spacing w:val="-20"/>
          <w:w w:val="105"/>
        </w:rPr>
        <w:t> </w:t>
      </w:r>
      <w:r>
        <w:rPr>
          <w:color w:val="231F1F"/>
          <w:w w:val="105"/>
        </w:rPr>
        <w:t>elec- ciones anuales de las autoridades indígenas, procurando que los can- </w:t>
      </w:r>
      <w:r>
        <w:rPr>
          <w:color w:val="231F1F"/>
          <w:spacing w:val="3"/>
          <w:w w:val="105"/>
        </w:rPr>
        <w:t>didatos </w:t>
      </w:r>
      <w:r>
        <w:rPr>
          <w:color w:val="231F1F"/>
          <w:w w:val="105"/>
        </w:rPr>
        <w:t>a </w:t>
      </w:r>
      <w:r>
        <w:rPr>
          <w:color w:val="231F1F"/>
          <w:spacing w:val="2"/>
          <w:w w:val="105"/>
        </w:rPr>
        <w:t>los </w:t>
      </w:r>
      <w:r>
        <w:rPr>
          <w:color w:val="231F1F"/>
          <w:spacing w:val="3"/>
          <w:w w:val="105"/>
        </w:rPr>
        <w:t>cargos </w:t>
      </w:r>
      <w:r>
        <w:rPr>
          <w:color w:val="231F1F"/>
          <w:w w:val="105"/>
        </w:rPr>
        <w:t>de </w:t>
      </w:r>
      <w:r>
        <w:rPr>
          <w:color w:val="231F1F"/>
          <w:spacing w:val="3"/>
          <w:w w:val="105"/>
        </w:rPr>
        <w:t>gobernador </w:t>
      </w:r>
      <w:r>
        <w:rPr>
          <w:color w:val="231F1F"/>
          <w:w w:val="105"/>
        </w:rPr>
        <w:t>y </w:t>
      </w:r>
      <w:r>
        <w:rPr>
          <w:color w:val="231F1F"/>
          <w:spacing w:val="3"/>
          <w:w w:val="105"/>
        </w:rPr>
        <w:t>miembros </w:t>
      </w:r>
      <w:r>
        <w:rPr>
          <w:color w:val="231F1F"/>
          <w:spacing w:val="2"/>
          <w:w w:val="105"/>
        </w:rPr>
        <w:t>del </w:t>
      </w:r>
      <w:r>
        <w:rPr>
          <w:color w:val="231F1F"/>
          <w:spacing w:val="3"/>
          <w:w w:val="105"/>
        </w:rPr>
        <w:t>cabildo </w:t>
      </w:r>
      <w:r>
        <w:rPr>
          <w:color w:val="231F1F"/>
          <w:spacing w:val="4"/>
          <w:w w:val="105"/>
        </w:rPr>
        <w:t>fueran </w:t>
      </w:r>
      <w:r>
        <w:rPr>
          <w:color w:val="231F1F"/>
          <w:w w:val="105"/>
        </w:rPr>
        <w:t>personas</w:t>
      </w:r>
      <w:r>
        <w:rPr>
          <w:color w:val="231F1F"/>
          <w:spacing w:val="-6"/>
          <w:w w:val="105"/>
        </w:rPr>
        <w:t> </w:t>
      </w:r>
      <w:r>
        <w:rPr>
          <w:color w:val="231F1F"/>
          <w:w w:val="105"/>
        </w:rPr>
        <w:t>“idóneas”,</w:t>
      </w:r>
      <w:r>
        <w:rPr>
          <w:color w:val="231F1F"/>
          <w:spacing w:val="-6"/>
          <w:w w:val="105"/>
        </w:rPr>
        <w:t> </w:t>
      </w:r>
      <w:r>
        <w:rPr>
          <w:color w:val="231F1F"/>
          <w:w w:val="105"/>
        </w:rPr>
        <w:t>es</w:t>
      </w:r>
      <w:r>
        <w:rPr>
          <w:color w:val="231F1F"/>
          <w:spacing w:val="-6"/>
          <w:w w:val="105"/>
        </w:rPr>
        <w:t> </w:t>
      </w:r>
      <w:r>
        <w:rPr>
          <w:color w:val="231F1F"/>
          <w:w w:val="105"/>
        </w:rPr>
        <w:t>decir,</w:t>
      </w:r>
      <w:r>
        <w:rPr>
          <w:color w:val="231F1F"/>
          <w:spacing w:val="-6"/>
          <w:w w:val="105"/>
        </w:rPr>
        <w:t> </w:t>
      </w:r>
      <w:r>
        <w:rPr>
          <w:color w:val="231F1F"/>
          <w:w w:val="105"/>
        </w:rPr>
        <w:t>buenos</w:t>
      </w:r>
      <w:r>
        <w:rPr>
          <w:color w:val="231F1F"/>
          <w:spacing w:val="-6"/>
          <w:w w:val="105"/>
        </w:rPr>
        <w:t> </w:t>
      </w:r>
      <w:r>
        <w:rPr>
          <w:color w:val="231F1F"/>
          <w:w w:val="105"/>
        </w:rPr>
        <w:t>colaboradores</w:t>
      </w:r>
      <w:r>
        <w:rPr>
          <w:color w:val="231F1F"/>
          <w:spacing w:val="-6"/>
          <w:w w:val="105"/>
        </w:rPr>
        <w:t> </w:t>
      </w:r>
      <w:r>
        <w:rPr>
          <w:color w:val="231F1F"/>
          <w:w w:val="105"/>
        </w:rPr>
        <w:t>que</w:t>
      </w:r>
      <w:r>
        <w:rPr>
          <w:color w:val="231F1F"/>
          <w:spacing w:val="-6"/>
          <w:w w:val="105"/>
        </w:rPr>
        <w:t> </w:t>
      </w:r>
      <w:r>
        <w:rPr>
          <w:color w:val="231F1F"/>
          <w:w w:val="105"/>
        </w:rPr>
        <w:t>de</w:t>
      </w:r>
      <w:r>
        <w:rPr>
          <w:color w:val="231F1F"/>
          <w:spacing w:val="-6"/>
          <w:w w:val="105"/>
        </w:rPr>
        <w:t> </w:t>
      </w:r>
      <w:r>
        <w:rPr>
          <w:color w:val="231F1F"/>
          <w:w w:val="105"/>
        </w:rPr>
        <w:t>preferencia supieran hablar, leer y escribir en castellano. Como se puede imaginar, la</w:t>
      </w:r>
      <w:r>
        <w:rPr>
          <w:color w:val="231F1F"/>
          <w:spacing w:val="-7"/>
          <w:w w:val="105"/>
        </w:rPr>
        <w:t> </w:t>
      </w:r>
      <w:r>
        <w:rPr>
          <w:color w:val="231F1F"/>
          <w:w w:val="105"/>
        </w:rPr>
        <w:t>presencia</w:t>
      </w:r>
      <w:r>
        <w:rPr>
          <w:color w:val="231F1F"/>
          <w:spacing w:val="-7"/>
          <w:w w:val="105"/>
        </w:rPr>
        <w:t> </w:t>
      </w:r>
      <w:r>
        <w:rPr>
          <w:color w:val="231F1F"/>
          <w:w w:val="105"/>
        </w:rPr>
        <w:t>de</w:t>
      </w:r>
      <w:r>
        <w:rPr>
          <w:color w:val="231F1F"/>
          <w:spacing w:val="-7"/>
          <w:w w:val="105"/>
        </w:rPr>
        <w:t> </w:t>
      </w:r>
      <w:r>
        <w:rPr>
          <w:color w:val="231F1F"/>
          <w:w w:val="105"/>
        </w:rPr>
        <w:t>este</w:t>
      </w:r>
      <w:r>
        <w:rPr>
          <w:color w:val="231F1F"/>
          <w:spacing w:val="-7"/>
          <w:w w:val="105"/>
        </w:rPr>
        <w:t> </w:t>
      </w:r>
      <w:r>
        <w:rPr>
          <w:color w:val="231F1F"/>
          <w:w w:val="105"/>
        </w:rPr>
        <w:t>funcionario</w:t>
      </w:r>
      <w:r>
        <w:rPr>
          <w:color w:val="231F1F"/>
          <w:spacing w:val="-7"/>
          <w:w w:val="105"/>
        </w:rPr>
        <w:t> </w:t>
      </w:r>
      <w:r>
        <w:rPr>
          <w:color w:val="231F1F"/>
          <w:w w:val="105"/>
        </w:rPr>
        <w:t>en</w:t>
      </w:r>
      <w:r>
        <w:rPr>
          <w:color w:val="231F1F"/>
          <w:spacing w:val="-7"/>
          <w:w w:val="105"/>
        </w:rPr>
        <w:t> </w:t>
      </w:r>
      <w:r>
        <w:rPr>
          <w:color w:val="231F1F"/>
          <w:w w:val="105"/>
        </w:rPr>
        <w:t>las</w:t>
      </w:r>
      <w:r>
        <w:rPr>
          <w:color w:val="231F1F"/>
          <w:spacing w:val="-7"/>
          <w:w w:val="105"/>
        </w:rPr>
        <w:t> </w:t>
      </w:r>
      <w:r>
        <w:rPr>
          <w:color w:val="231F1F"/>
          <w:w w:val="105"/>
        </w:rPr>
        <w:t>elecciones</w:t>
      </w:r>
      <w:r>
        <w:rPr>
          <w:color w:val="231F1F"/>
          <w:spacing w:val="-7"/>
          <w:w w:val="105"/>
        </w:rPr>
        <w:t> </w:t>
      </w:r>
      <w:r>
        <w:rPr>
          <w:color w:val="231F1F"/>
          <w:w w:val="105"/>
        </w:rPr>
        <w:t>de</w:t>
      </w:r>
      <w:r>
        <w:rPr>
          <w:color w:val="231F1F"/>
          <w:spacing w:val="-7"/>
          <w:w w:val="105"/>
        </w:rPr>
        <w:t> </w:t>
      </w:r>
      <w:r>
        <w:rPr>
          <w:color w:val="231F1F"/>
          <w:w w:val="105"/>
        </w:rPr>
        <w:t>cabildo</w:t>
      </w:r>
      <w:r>
        <w:rPr>
          <w:color w:val="231F1F"/>
          <w:spacing w:val="-7"/>
          <w:w w:val="105"/>
        </w:rPr>
        <w:t> </w:t>
      </w:r>
      <w:r>
        <w:rPr>
          <w:color w:val="231F1F"/>
          <w:w w:val="105"/>
        </w:rPr>
        <w:t>le</w:t>
      </w:r>
      <w:r>
        <w:rPr>
          <w:color w:val="231F1F"/>
          <w:spacing w:val="-7"/>
          <w:w w:val="105"/>
        </w:rPr>
        <w:t> </w:t>
      </w:r>
      <w:r>
        <w:rPr>
          <w:color w:val="231F1F"/>
          <w:spacing w:val="2"/>
          <w:w w:val="105"/>
        </w:rPr>
        <w:t>permitió </w:t>
      </w:r>
      <w:r>
        <w:rPr>
          <w:color w:val="231F1F"/>
          <w:w w:val="105"/>
        </w:rPr>
        <w:t>intervenir, de manera legal y </w:t>
      </w:r>
      <w:r>
        <w:rPr>
          <w:color w:val="231F1F"/>
          <w:spacing w:val="2"/>
          <w:w w:val="105"/>
        </w:rPr>
        <w:t>abierta, </w:t>
      </w:r>
      <w:r>
        <w:rPr>
          <w:color w:val="231F1F"/>
          <w:w w:val="105"/>
        </w:rPr>
        <w:t>a favor de autoridades indígenas de</w:t>
      </w:r>
      <w:r>
        <w:rPr>
          <w:color w:val="231F1F"/>
          <w:spacing w:val="-7"/>
          <w:w w:val="105"/>
        </w:rPr>
        <w:t> </w:t>
      </w:r>
      <w:r>
        <w:rPr>
          <w:color w:val="231F1F"/>
          <w:w w:val="105"/>
        </w:rPr>
        <w:t>su</w:t>
      </w:r>
      <w:r>
        <w:rPr>
          <w:color w:val="231F1F"/>
          <w:spacing w:val="-7"/>
          <w:w w:val="105"/>
        </w:rPr>
        <w:t> </w:t>
      </w:r>
      <w:r>
        <w:rPr>
          <w:color w:val="231F1F"/>
          <w:w w:val="105"/>
        </w:rPr>
        <w:t>confianza.</w:t>
      </w:r>
      <w:r>
        <w:rPr>
          <w:color w:val="231F1F"/>
          <w:spacing w:val="-7"/>
          <w:w w:val="105"/>
        </w:rPr>
        <w:t> </w:t>
      </w:r>
      <w:r>
        <w:rPr>
          <w:color w:val="231F1F"/>
          <w:w w:val="105"/>
        </w:rPr>
        <w:t>Otra</w:t>
      </w:r>
      <w:r>
        <w:rPr>
          <w:color w:val="231F1F"/>
          <w:spacing w:val="-7"/>
          <w:w w:val="105"/>
        </w:rPr>
        <w:t> </w:t>
      </w:r>
      <w:r>
        <w:rPr>
          <w:color w:val="231F1F"/>
          <w:w w:val="105"/>
        </w:rPr>
        <w:t>de</w:t>
      </w:r>
      <w:r>
        <w:rPr>
          <w:color w:val="231F1F"/>
          <w:spacing w:val="-7"/>
          <w:w w:val="105"/>
        </w:rPr>
        <w:t> </w:t>
      </w:r>
      <w:r>
        <w:rPr>
          <w:color w:val="231F1F"/>
          <w:w w:val="105"/>
        </w:rPr>
        <w:t>las</w:t>
      </w:r>
      <w:r>
        <w:rPr>
          <w:color w:val="231F1F"/>
          <w:spacing w:val="-7"/>
          <w:w w:val="105"/>
        </w:rPr>
        <w:t> </w:t>
      </w:r>
      <w:r>
        <w:rPr>
          <w:color w:val="231F1F"/>
          <w:w w:val="105"/>
        </w:rPr>
        <w:t>tareas</w:t>
      </w:r>
      <w:r>
        <w:rPr>
          <w:color w:val="231F1F"/>
          <w:spacing w:val="-7"/>
          <w:w w:val="105"/>
        </w:rPr>
        <w:t> </w:t>
      </w:r>
      <w:r>
        <w:rPr>
          <w:color w:val="231F1F"/>
          <w:w w:val="105"/>
        </w:rPr>
        <w:t>de</w:t>
      </w:r>
      <w:r>
        <w:rPr>
          <w:color w:val="231F1F"/>
          <w:spacing w:val="-7"/>
          <w:w w:val="105"/>
        </w:rPr>
        <w:t> </w:t>
      </w:r>
      <w:r>
        <w:rPr>
          <w:color w:val="231F1F"/>
          <w:w w:val="105"/>
        </w:rPr>
        <w:t>los</w:t>
      </w:r>
      <w:r>
        <w:rPr>
          <w:color w:val="231F1F"/>
          <w:spacing w:val="-7"/>
          <w:w w:val="105"/>
        </w:rPr>
        <w:t> </w:t>
      </w:r>
      <w:r>
        <w:rPr>
          <w:color w:val="231F1F"/>
          <w:w w:val="105"/>
        </w:rPr>
        <w:t>subdelegados</w:t>
      </w:r>
      <w:r>
        <w:rPr>
          <w:color w:val="231F1F"/>
          <w:spacing w:val="-7"/>
          <w:w w:val="105"/>
        </w:rPr>
        <w:t> </w:t>
      </w:r>
      <w:r>
        <w:rPr>
          <w:color w:val="231F1F"/>
          <w:w w:val="105"/>
        </w:rPr>
        <w:t>fue</w:t>
      </w:r>
      <w:r>
        <w:rPr>
          <w:color w:val="231F1F"/>
          <w:spacing w:val="-7"/>
          <w:w w:val="105"/>
        </w:rPr>
        <w:t> </w:t>
      </w:r>
      <w:r>
        <w:rPr>
          <w:color w:val="231F1F"/>
          <w:w w:val="105"/>
        </w:rPr>
        <w:t>fungir</w:t>
      </w:r>
      <w:r>
        <w:rPr>
          <w:color w:val="231F1F"/>
          <w:spacing w:val="-7"/>
          <w:w w:val="105"/>
        </w:rPr>
        <w:t> </w:t>
      </w:r>
      <w:r>
        <w:rPr>
          <w:color w:val="231F1F"/>
          <w:w w:val="105"/>
        </w:rPr>
        <w:t>como jueces de primera instancia en sus respectivas demarcaciones, donde se </w:t>
      </w:r>
      <w:r>
        <w:rPr>
          <w:color w:val="231F1F"/>
          <w:spacing w:val="2"/>
          <w:w w:val="105"/>
        </w:rPr>
        <w:t>encontraban </w:t>
      </w:r>
      <w:r>
        <w:rPr>
          <w:color w:val="231F1F"/>
          <w:w w:val="105"/>
        </w:rPr>
        <w:t>los </w:t>
      </w:r>
      <w:r>
        <w:rPr>
          <w:color w:val="231F1F"/>
          <w:spacing w:val="2"/>
          <w:w w:val="105"/>
        </w:rPr>
        <w:t>pueblos </w:t>
      </w:r>
      <w:r>
        <w:rPr>
          <w:color w:val="231F1F"/>
          <w:w w:val="105"/>
        </w:rPr>
        <w:t>de </w:t>
      </w:r>
      <w:r>
        <w:rPr>
          <w:color w:val="231F1F"/>
          <w:spacing w:val="2"/>
          <w:w w:val="105"/>
        </w:rPr>
        <w:t>indios bajo </w:t>
      </w:r>
      <w:r>
        <w:rPr>
          <w:color w:val="231F1F"/>
          <w:w w:val="105"/>
        </w:rPr>
        <w:t>su </w:t>
      </w:r>
      <w:r>
        <w:rPr>
          <w:color w:val="231F1F"/>
          <w:spacing w:val="2"/>
          <w:w w:val="105"/>
        </w:rPr>
        <w:t>jurisdicción. </w:t>
      </w:r>
      <w:r>
        <w:rPr>
          <w:color w:val="231F1F"/>
          <w:w w:val="105"/>
        </w:rPr>
        <w:t>Con </w:t>
      </w:r>
      <w:r>
        <w:rPr>
          <w:color w:val="231F1F"/>
          <w:spacing w:val="3"/>
          <w:w w:val="105"/>
        </w:rPr>
        <w:t>esta </w:t>
      </w:r>
      <w:r>
        <w:rPr>
          <w:color w:val="231F1F"/>
          <w:w w:val="105"/>
        </w:rPr>
        <w:t>atribución</w:t>
      </w:r>
      <w:r>
        <w:rPr>
          <w:color w:val="231F1F"/>
          <w:spacing w:val="-12"/>
          <w:w w:val="105"/>
        </w:rPr>
        <w:t> </w:t>
      </w:r>
      <w:r>
        <w:rPr>
          <w:color w:val="231F1F"/>
          <w:w w:val="105"/>
        </w:rPr>
        <w:t>el</w:t>
      </w:r>
      <w:r>
        <w:rPr>
          <w:color w:val="231F1F"/>
          <w:spacing w:val="-12"/>
          <w:w w:val="105"/>
        </w:rPr>
        <w:t> </w:t>
      </w:r>
      <w:r>
        <w:rPr>
          <w:color w:val="231F1F"/>
          <w:w w:val="105"/>
        </w:rPr>
        <w:t>funcionario</w:t>
      </w:r>
      <w:r>
        <w:rPr>
          <w:color w:val="231F1F"/>
          <w:spacing w:val="-12"/>
          <w:w w:val="105"/>
        </w:rPr>
        <w:t> </w:t>
      </w:r>
      <w:r>
        <w:rPr>
          <w:color w:val="231F1F"/>
          <w:w w:val="105"/>
        </w:rPr>
        <w:t>podía,</w:t>
      </w:r>
      <w:r>
        <w:rPr>
          <w:color w:val="231F1F"/>
          <w:spacing w:val="-12"/>
          <w:w w:val="105"/>
        </w:rPr>
        <w:t> </w:t>
      </w:r>
      <w:r>
        <w:rPr>
          <w:color w:val="231F1F"/>
          <w:w w:val="105"/>
        </w:rPr>
        <w:t>y</w:t>
      </w:r>
      <w:r>
        <w:rPr>
          <w:color w:val="231F1F"/>
          <w:spacing w:val="-12"/>
          <w:w w:val="105"/>
        </w:rPr>
        <w:t> </w:t>
      </w:r>
      <w:r>
        <w:rPr>
          <w:color w:val="231F1F"/>
          <w:w w:val="105"/>
        </w:rPr>
        <w:t>debió,</w:t>
      </w:r>
      <w:r>
        <w:rPr>
          <w:color w:val="231F1F"/>
          <w:spacing w:val="-12"/>
          <w:w w:val="105"/>
        </w:rPr>
        <w:t> </w:t>
      </w:r>
      <w:r>
        <w:rPr>
          <w:color w:val="231F1F"/>
          <w:w w:val="105"/>
        </w:rPr>
        <w:t>entrometerse</w:t>
      </w:r>
      <w:r>
        <w:rPr>
          <w:color w:val="231F1F"/>
          <w:spacing w:val="-12"/>
          <w:w w:val="105"/>
        </w:rPr>
        <w:t> </w:t>
      </w:r>
      <w:r>
        <w:rPr>
          <w:color w:val="231F1F"/>
          <w:w w:val="105"/>
        </w:rPr>
        <w:t>en</w:t>
      </w:r>
      <w:r>
        <w:rPr>
          <w:color w:val="231F1F"/>
          <w:spacing w:val="-12"/>
          <w:w w:val="105"/>
        </w:rPr>
        <w:t> </w:t>
      </w:r>
      <w:r>
        <w:rPr>
          <w:color w:val="231F1F"/>
          <w:w w:val="105"/>
        </w:rPr>
        <w:t>los</w:t>
      </w:r>
      <w:r>
        <w:rPr>
          <w:color w:val="231F1F"/>
          <w:spacing w:val="-12"/>
          <w:w w:val="105"/>
        </w:rPr>
        <w:t> </w:t>
      </w:r>
      <w:r>
        <w:rPr>
          <w:color w:val="231F1F"/>
          <w:w w:val="105"/>
        </w:rPr>
        <w:t>asuntos</w:t>
      </w:r>
      <w:r>
        <w:rPr>
          <w:color w:val="231F1F"/>
          <w:spacing w:val="-12"/>
          <w:w w:val="105"/>
        </w:rPr>
        <w:t> </w:t>
      </w:r>
      <w:r>
        <w:rPr>
          <w:color w:val="231F1F"/>
          <w:w w:val="105"/>
        </w:rPr>
        <w:t>de justicia local, haciendo que los antiguos alcaldes indígenas vieran redu- cida su función a meros auxiliares. No obstante, esta ley u ordenanza mandó</w:t>
      </w:r>
      <w:r>
        <w:rPr>
          <w:color w:val="231F1F"/>
          <w:spacing w:val="-18"/>
          <w:w w:val="105"/>
        </w:rPr>
        <w:t> </w:t>
      </w:r>
      <w:r>
        <w:rPr>
          <w:color w:val="231F1F"/>
          <w:w w:val="105"/>
        </w:rPr>
        <w:t>que</w:t>
      </w:r>
      <w:r>
        <w:rPr>
          <w:color w:val="231F1F"/>
          <w:spacing w:val="-18"/>
          <w:w w:val="105"/>
        </w:rPr>
        <w:t> </w:t>
      </w:r>
      <w:r>
        <w:rPr>
          <w:color w:val="231F1F"/>
          <w:w w:val="105"/>
        </w:rPr>
        <w:t>los</w:t>
      </w:r>
      <w:r>
        <w:rPr>
          <w:color w:val="231F1F"/>
          <w:spacing w:val="-18"/>
          <w:w w:val="105"/>
        </w:rPr>
        <w:t> </w:t>
      </w:r>
      <w:r>
        <w:rPr>
          <w:color w:val="231F1F"/>
          <w:w w:val="105"/>
        </w:rPr>
        <w:t>subdelegados</w:t>
      </w:r>
      <w:r>
        <w:rPr>
          <w:color w:val="231F1F"/>
          <w:spacing w:val="-18"/>
          <w:w w:val="105"/>
        </w:rPr>
        <w:t> </w:t>
      </w:r>
      <w:r>
        <w:rPr>
          <w:color w:val="231F1F"/>
          <w:w w:val="105"/>
        </w:rPr>
        <w:t>tuvieran</w:t>
      </w:r>
      <w:r>
        <w:rPr>
          <w:color w:val="231F1F"/>
          <w:spacing w:val="-18"/>
          <w:w w:val="105"/>
        </w:rPr>
        <w:t> </w:t>
      </w:r>
      <w:r>
        <w:rPr>
          <w:color w:val="231F1F"/>
          <w:w w:val="105"/>
        </w:rPr>
        <w:t>estrictamente</w:t>
      </w:r>
      <w:r>
        <w:rPr>
          <w:color w:val="231F1F"/>
          <w:spacing w:val="-18"/>
          <w:w w:val="105"/>
        </w:rPr>
        <w:t> </w:t>
      </w:r>
      <w:r>
        <w:rPr>
          <w:color w:val="231F1F"/>
          <w:w w:val="105"/>
        </w:rPr>
        <w:t>prohibido</w:t>
      </w:r>
      <w:r>
        <w:rPr>
          <w:color w:val="231F1F"/>
          <w:spacing w:val="-18"/>
          <w:w w:val="105"/>
        </w:rPr>
        <w:t> </w:t>
      </w:r>
      <w:r>
        <w:rPr>
          <w:color w:val="231F1F"/>
          <w:w w:val="105"/>
        </w:rPr>
        <w:t>practicar el</w:t>
      </w:r>
      <w:r>
        <w:rPr>
          <w:color w:val="231F1F"/>
          <w:spacing w:val="-19"/>
          <w:w w:val="105"/>
        </w:rPr>
        <w:t> </w:t>
      </w:r>
      <w:r>
        <w:rPr>
          <w:color w:val="231F1F"/>
          <w:w w:val="105"/>
        </w:rPr>
        <w:t>llamado</w:t>
      </w:r>
      <w:r>
        <w:rPr>
          <w:color w:val="231F1F"/>
          <w:spacing w:val="-19"/>
          <w:w w:val="105"/>
        </w:rPr>
        <w:t> </w:t>
      </w:r>
      <w:r>
        <w:rPr>
          <w:color w:val="231F1F"/>
          <w:spacing w:val="2"/>
          <w:w w:val="105"/>
        </w:rPr>
        <w:t>“repartimiento</w:t>
      </w:r>
      <w:r>
        <w:rPr>
          <w:color w:val="231F1F"/>
          <w:spacing w:val="-19"/>
          <w:w w:val="105"/>
        </w:rPr>
        <w:t> </w:t>
      </w:r>
      <w:r>
        <w:rPr>
          <w:color w:val="231F1F"/>
          <w:w w:val="105"/>
        </w:rPr>
        <w:t>de</w:t>
      </w:r>
      <w:r>
        <w:rPr>
          <w:color w:val="231F1F"/>
          <w:spacing w:val="-19"/>
          <w:w w:val="105"/>
        </w:rPr>
        <w:t> </w:t>
      </w:r>
      <w:r>
        <w:rPr>
          <w:color w:val="231F1F"/>
          <w:w w:val="105"/>
        </w:rPr>
        <w:t>mercancías</w:t>
      </w:r>
      <w:r>
        <w:rPr>
          <w:color w:val="231F1F"/>
          <w:spacing w:val="-19"/>
          <w:w w:val="105"/>
        </w:rPr>
        <w:t> </w:t>
      </w:r>
      <w:r>
        <w:rPr>
          <w:color w:val="231F1F"/>
          <w:w w:val="105"/>
        </w:rPr>
        <w:t>y</w:t>
      </w:r>
      <w:r>
        <w:rPr>
          <w:color w:val="231F1F"/>
          <w:spacing w:val="-19"/>
          <w:w w:val="105"/>
        </w:rPr>
        <w:t> </w:t>
      </w:r>
      <w:r>
        <w:rPr>
          <w:color w:val="231F1F"/>
          <w:w w:val="105"/>
        </w:rPr>
        <w:t>dinero”,</w:t>
      </w:r>
      <w:r>
        <w:rPr>
          <w:color w:val="231F1F"/>
          <w:spacing w:val="-19"/>
          <w:w w:val="105"/>
        </w:rPr>
        <w:t> </w:t>
      </w:r>
      <w:r>
        <w:rPr>
          <w:color w:val="231F1F"/>
          <w:w w:val="105"/>
        </w:rPr>
        <w:t>bajo</w:t>
      </w:r>
      <w:r>
        <w:rPr>
          <w:color w:val="231F1F"/>
          <w:spacing w:val="-19"/>
          <w:w w:val="105"/>
        </w:rPr>
        <w:t> </w:t>
      </w:r>
      <w:r>
        <w:rPr>
          <w:color w:val="231F1F"/>
          <w:w w:val="105"/>
        </w:rPr>
        <w:t>estrictas</w:t>
      </w:r>
      <w:r>
        <w:rPr>
          <w:color w:val="231F1F"/>
          <w:spacing w:val="-19"/>
          <w:w w:val="105"/>
        </w:rPr>
        <w:t> </w:t>
      </w:r>
      <w:r>
        <w:rPr>
          <w:color w:val="231F1F"/>
          <w:spacing w:val="2"/>
          <w:w w:val="105"/>
        </w:rPr>
        <w:t>penas, </w:t>
      </w:r>
      <w:r>
        <w:rPr>
          <w:color w:val="231F1F"/>
          <w:w w:val="105"/>
        </w:rPr>
        <w:t>si incurrían en ello. Lo que se buscaba, en teoría, era evitar los circuitos comerciales cautivos e iniciar con una nueva política comercial de libre acceso  al</w:t>
      </w:r>
      <w:r>
        <w:rPr>
          <w:color w:val="231F1F"/>
          <w:spacing w:val="15"/>
          <w:w w:val="105"/>
        </w:rPr>
        <w:t> </w:t>
      </w:r>
      <w:r>
        <w:rPr>
          <w:color w:val="231F1F"/>
          <w:w w:val="105"/>
        </w:rPr>
        <w:t>mercado.</w:t>
      </w:r>
    </w:p>
    <w:p>
      <w:pPr>
        <w:spacing w:after="0" w:line="268" w:lineRule="auto"/>
        <w:jc w:val="both"/>
        <w:sectPr>
          <w:pgSz w:w="13100" w:h="17920"/>
          <w:pgMar w:top="1660" w:bottom="280" w:left="820" w:right="0"/>
        </w:sectPr>
      </w:pPr>
    </w:p>
    <w:p>
      <w:pPr>
        <w:pStyle w:val="BodyText"/>
        <w:spacing w:line="268" w:lineRule="auto" w:before="36"/>
        <w:ind w:left="2519" w:right="461"/>
        <w:jc w:val="both"/>
      </w:pPr>
      <w:r>
        <w:rPr>
          <w:color w:val="231F1F"/>
        </w:rPr>
        <w:t>Al  decretar  Morelos  el  </w:t>
      </w:r>
      <w:r>
        <w:rPr>
          <w:color w:val="231F1F"/>
          <w:sz w:val="20"/>
        </w:rPr>
        <w:t>17  </w:t>
      </w:r>
      <w:r>
        <w:rPr>
          <w:color w:val="231F1F"/>
        </w:rPr>
        <w:t>de  noviembre  de  </w:t>
      </w:r>
      <w:r>
        <w:rPr>
          <w:color w:val="231F1F"/>
          <w:sz w:val="20"/>
        </w:rPr>
        <w:t>1810</w:t>
      </w:r>
      <w:r>
        <w:rPr>
          <w:color w:val="231F1F"/>
        </w:rPr>
        <w:t>,  y  el  </w:t>
      </w:r>
      <w:r>
        <w:rPr>
          <w:color w:val="231F1F"/>
          <w:sz w:val="20"/>
        </w:rPr>
        <w:t>29  </w:t>
      </w:r>
      <w:r>
        <w:rPr>
          <w:color w:val="231F1F"/>
        </w:rPr>
        <w:t>de  enero  de </w:t>
      </w:r>
      <w:r>
        <w:rPr>
          <w:color w:val="231F1F"/>
          <w:sz w:val="20"/>
        </w:rPr>
        <w:t>1813</w:t>
      </w:r>
      <w:r>
        <w:rPr>
          <w:color w:val="231F1F"/>
        </w:rPr>
        <w:t>,  la  </w:t>
      </w:r>
      <w:r>
        <w:rPr>
          <w:color w:val="231F1F"/>
          <w:spacing w:val="2"/>
        </w:rPr>
        <w:t>supresión  </w:t>
      </w:r>
      <w:r>
        <w:rPr>
          <w:color w:val="231F1F"/>
        </w:rPr>
        <w:t>del  </w:t>
      </w:r>
      <w:r>
        <w:rPr>
          <w:color w:val="231F1F"/>
          <w:spacing w:val="2"/>
        </w:rPr>
        <w:t>tributo,  </w:t>
      </w:r>
      <w:r>
        <w:rPr>
          <w:color w:val="231F1F"/>
        </w:rPr>
        <w:t>la  </w:t>
      </w:r>
      <w:r>
        <w:rPr>
          <w:color w:val="231F1F"/>
          <w:spacing w:val="2"/>
        </w:rPr>
        <w:t>reducción  </w:t>
      </w:r>
      <w:r>
        <w:rPr>
          <w:color w:val="231F1F"/>
        </w:rPr>
        <w:t>del  </w:t>
      </w:r>
      <w:r>
        <w:rPr>
          <w:color w:val="231F1F"/>
          <w:spacing w:val="3"/>
        </w:rPr>
        <w:t>servicio  </w:t>
      </w:r>
      <w:r>
        <w:rPr>
          <w:color w:val="231F1F"/>
          <w:spacing w:val="2"/>
        </w:rPr>
        <w:t>personal  </w:t>
      </w:r>
      <w:r>
        <w:rPr>
          <w:color w:val="231F1F"/>
        </w:rPr>
        <w:t>y la extinción tanto de las cajas de comunidad como de las tierras de comunidad, se estaba destruyendo todo el sistema de finanzas internas    y obligaciones comunitarias: uno de los pilares jurídicos e instituciona-   les que originó  las  llamadas  “repúblicas  de  indios”.  De  alguna  forma, el caudillo del sur estaba proponiendo la extinción total de una de las principales entidades corporativas básicas del régimen colonial. Como todos sabemos, este asunto sólo se pudo ventilar con mayor fuerza al triunfo de los liberales en el México republicano de mediados del siglo    </w:t>
      </w:r>
      <w:r>
        <w:rPr>
          <w:color w:val="231F1F"/>
          <w:sz w:val="18"/>
        </w:rPr>
        <w:t>XIX </w:t>
      </w:r>
      <w:r>
        <w:rPr>
          <w:color w:val="231F1F"/>
        </w:rPr>
        <w:t>con la llamada Ley Lerdo o leyes desamortizadoras. Además, regre- sando a nuestros documentos, con estas medidas se estaba cancelando toda la ayuda económica que  pudiera  recibir  la  corona  española,  vía los excedentes en forma de donaciones o préstamos forzosos del dinero de los pueblos. No sabemos con exactitud lo que sucedió al interior de cada uno de los pueblos de indios de la zona insurgente del sur al aca-    tar estas disposiciones. En especial, las autoridades de los cabildos de indios</w:t>
      </w:r>
      <w:r>
        <w:rPr>
          <w:color w:val="231F1F"/>
          <w:spacing w:val="38"/>
        </w:rPr>
        <w:t> </w:t>
      </w:r>
      <w:r>
        <w:rPr>
          <w:color w:val="231F1F"/>
        </w:rPr>
        <w:t>debieron</w:t>
      </w:r>
      <w:r>
        <w:rPr>
          <w:color w:val="231F1F"/>
          <w:spacing w:val="38"/>
        </w:rPr>
        <w:t> </w:t>
      </w:r>
      <w:r>
        <w:rPr>
          <w:color w:val="231F1F"/>
        </w:rPr>
        <w:t>haber</w:t>
      </w:r>
      <w:r>
        <w:rPr>
          <w:color w:val="231F1F"/>
          <w:spacing w:val="38"/>
        </w:rPr>
        <w:t> </w:t>
      </w:r>
      <w:r>
        <w:rPr>
          <w:color w:val="231F1F"/>
        </w:rPr>
        <w:t>resentido</w:t>
      </w:r>
      <w:r>
        <w:rPr>
          <w:color w:val="231F1F"/>
          <w:spacing w:val="38"/>
        </w:rPr>
        <w:t> </w:t>
      </w:r>
      <w:r>
        <w:rPr>
          <w:color w:val="231F1F"/>
        </w:rPr>
        <w:t>de</w:t>
      </w:r>
      <w:r>
        <w:rPr>
          <w:color w:val="231F1F"/>
          <w:spacing w:val="38"/>
        </w:rPr>
        <w:t> </w:t>
      </w:r>
      <w:r>
        <w:rPr>
          <w:color w:val="231F1F"/>
        </w:rPr>
        <w:t>forma</w:t>
      </w:r>
      <w:r>
        <w:rPr>
          <w:color w:val="231F1F"/>
          <w:spacing w:val="38"/>
        </w:rPr>
        <w:t> </w:t>
      </w:r>
      <w:r>
        <w:rPr>
          <w:color w:val="231F1F"/>
        </w:rPr>
        <w:t>sensible</w:t>
      </w:r>
      <w:r>
        <w:rPr>
          <w:color w:val="231F1F"/>
          <w:spacing w:val="38"/>
        </w:rPr>
        <w:t> </w:t>
      </w:r>
      <w:r>
        <w:rPr>
          <w:color w:val="231F1F"/>
        </w:rPr>
        <w:t>estas</w:t>
      </w:r>
      <w:r>
        <w:rPr>
          <w:color w:val="231F1F"/>
          <w:spacing w:val="38"/>
        </w:rPr>
        <w:t> </w:t>
      </w:r>
      <w:r>
        <w:rPr>
          <w:color w:val="231F1F"/>
        </w:rPr>
        <w:t>disposiciones,</w:t>
      </w:r>
    </w:p>
    <w:p>
      <w:pPr>
        <w:pStyle w:val="BodyText"/>
        <w:spacing w:line="268" w:lineRule="auto"/>
        <w:ind w:left="4787" w:right="460"/>
        <w:jc w:val="both"/>
      </w:pPr>
      <w:r>
        <w:rPr/>
        <w:drawing>
          <wp:anchor distT="0" distB="0" distL="0" distR="0" allowOverlap="1" layoutInCell="1" locked="0" behindDoc="0" simplePos="0" relativeHeight="2080">
            <wp:simplePos x="0" y="0"/>
            <wp:positionH relativeFrom="page">
              <wp:posOffset>1098003</wp:posOffset>
            </wp:positionH>
            <wp:positionV relativeFrom="paragraph">
              <wp:posOffset>161463</wp:posOffset>
            </wp:positionV>
            <wp:extent cx="2790719" cy="4101071"/>
            <wp:effectExtent l="0" t="0" r="0" b="0"/>
            <wp:wrapNone/>
            <wp:docPr id="47" name="image29.jpeg" descr=""/>
            <wp:cNvGraphicFramePr>
              <a:graphicFrameLocks noChangeAspect="1"/>
            </wp:cNvGraphicFramePr>
            <a:graphic>
              <a:graphicData uri="http://schemas.openxmlformats.org/drawingml/2006/picture">
                <pic:pic>
                  <pic:nvPicPr>
                    <pic:cNvPr id="48" name="image29.jpeg"/>
                    <pic:cNvPicPr/>
                  </pic:nvPicPr>
                  <pic:blipFill>
                    <a:blip r:embed="rId34" cstate="print"/>
                    <a:stretch>
                      <a:fillRect/>
                    </a:stretch>
                  </pic:blipFill>
                  <pic:spPr>
                    <a:xfrm>
                      <a:off x="0" y="0"/>
                      <a:ext cx="2790719" cy="4101071"/>
                    </a:xfrm>
                    <a:prstGeom prst="rect">
                      <a:avLst/>
                    </a:prstGeom>
                  </pic:spPr>
                </pic:pic>
              </a:graphicData>
            </a:graphic>
          </wp:anchor>
        </w:drawing>
      </w:r>
      <w:r>
        <w:rPr>
          <w:color w:val="231F1F"/>
          <w:w w:val="105"/>
        </w:rPr>
        <w:t>pues</w:t>
      </w:r>
      <w:r>
        <w:rPr>
          <w:color w:val="231F1F"/>
          <w:spacing w:val="-7"/>
          <w:w w:val="105"/>
        </w:rPr>
        <w:t> </w:t>
      </w:r>
      <w:r>
        <w:rPr>
          <w:color w:val="231F1F"/>
          <w:w w:val="105"/>
        </w:rPr>
        <w:t>les</w:t>
      </w:r>
      <w:r>
        <w:rPr>
          <w:color w:val="231F1F"/>
          <w:spacing w:val="-7"/>
          <w:w w:val="105"/>
        </w:rPr>
        <w:t> </w:t>
      </w:r>
      <w:r>
        <w:rPr>
          <w:color w:val="231F1F"/>
          <w:w w:val="105"/>
        </w:rPr>
        <w:t>afectaban</w:t>
      </w:r>
      <w:r>
        <w:rPr>
          <w:color w:val="231F1F"/>
          <w:spacing w:val="-7"/>
          <w:w w:val="105"/>
        </w:rPr>
        <w:t> </w:t>
      </w:r>
      <w:r>
        <w:rPr>
          <w:color w:val="231F1F"/>
          <w:w w:val="105"/>
        </w:rPr>
        <w:t>en</w:t>
      </w:r>
      <w:r>
        <w:rPr>
          <w:color w:val="231F1F"/>
          <w:spacing w:val="-7"/>
          <w:w w:val="105"/>
        </w:rPr>
        <w:t> </w:t>
      </w:r>
      <w:r>
        <w:rPr>
          <w:color w:val="231F1F"/>
          <w:w w:val="105"/>
        </w:rPr>
        <w:t>el</w:t>
      </w:r>
      <w:r>
        <w:rPr>
          <w:color w:val="231F1F"/>
          <w:spacing w:val="-7"/>
          <w:w w:val="105"/>
        </w:rPr>
        <w:t> </w:t>
      </w:r>
      <w:r>
        <w:rPr>
          <w:color w:val="231F1F"/>
          <w:w w:val="105"/>
        </w:rPr>
        <w:t>manejo</w:t>
      </w:r>
      <w:r>
        <w:rPr>
          <w:color w:val="231F1F"/>
          <w:spacing w:val="-7"/>
          <w:w w:val="105"/>
        </w:rPr>
        <w:t> </w:t>
      </w:r>
      <w:r>
        <w:rPr>
          <w:color w:val="231F1F"/>
          <w:w w:val="105"/>
        </w:rPr>
        <w:t>de</w:t>
      </w:r>
      <w:r>
        <w:rPr>
          <w:color w:val="231F1F"/>
          <w:spacing w:val="-7"/>
          <w:w w:val="105"/>
        </w:rPr>
        <w:t> </w:t>
      </w:r>
      <w:r>
        <w:rPr>
          <w:color w:val="231F1F"/>
          <w:w w:val="105"/>
        </w:rPr>
        <w:t>sus</w:t>
      </w:r>
      <w:r>
        <w:rPr>
          <w:color w:val="231F1F"/>
          <w:spacing w:val="-7"/>
          <w:w w:val="105"/>
        </w:rPr>
        <w:t> </w:t>
      </w:r>
      <w:r>
        <w:rPr>
          <w:color w:val="231F1F"/>
          <w:w w:val="105"/>
        </w:rPr>
        <w:t>propios recursos. Algunos autores afirman que más de </w:t>
      </w:r>
      <w:r>
        <w:rPr>
          <w:color w:val="231F1F"/>
        </w:rPr>
        <w:t>tres</w:t>
      </w:r>
      <w:r>
        <w:rPr>
          <w:color w:val="231F1F"/>
          <w:spacing w:val="-16"/>
        </w:rPr>
        <w:t> </w:t>
      </w:r>
      <w:r>
        <w:rPr>
          <w:color w:val="231F1F"/>
        </w:rPr>
        <w:t>cuartas</w:t>
      </w:r>
      <w:r>
        <w:rPr>
          <w:color w:val="231F1F"/>
          <w:spacing w:val="-16"/>
        </w:rPr>
        <w:t> </w:t>
      </w:r>
      <w:r>
        <w:rPr>
          <w:color w:val="231F1F"/>
        </w:rPr>
        <w:t>partes</w:t>
      </w:r>
      <w:r>
        <w:rPr>
          <w:color w:val="231F1F"/>
          <w:spacing w:val="-16"/>
        </w:rPr>
        <w:t> </w:t>
      </w:r>
      <w:r>
        <w:rPr>
          <w:color w:val="231F1F"/>
        </w:rPr>
        <w:t>de</w:t>
      </w:r>
      <w:r>
        <w:rPr>
          <w:color w:val="231F1F"/>
          <w:spacing w:val="-16"/>
        </w:rPr>
        <w:t> </w:t>
      </w:r>
      <w:r>
        <w:rPr>
          <w:color w:val="231F1F"/>
        </w:rPr>
        <w:t>los</w:t>
      </w:r>
      <w:r>
        <w:rPr>
          <w:color w:val="231F1F"/>
          <w:spacing w:val="-16"/>
        </w:rPr>
        <w:t> </w:t>
      </w:r>
      <w:r>
        <w:rPr>
          <w:color w:val="231F1F"/>
        </w:rPr>
        <w:t>tributarios</w:t>
      </w:r>
      <w:r>
        <w:rPr>
          <w:color w:val="231F1F"/>
          <w:spacing w:val="-16"/>
        </w:rPr>
        <w:t> </w:t>
      </w:r>
      <w:r>
        <w:rPr>
          <w:color w:val="231F1F"/>
        </w:rPr>
        <w:t>que</w:t>
      </w:r>
      <w:r>
        <w:rPr>
          <w:color w:val="231F1F"/>
          <w:spacing w:val="-16"/>
        </w:rPr>
        <w:t> </w:t>
      </w:r>
      <w:r>
        <w:rPr>
          <w:color w:val="231F1F"/>
        </w:rPr>
        <w:t>vivían</w:t>
      </w:r>
      <w:r>
        <w:rPr>
          <w:color w:val="231F1F"/>
          <w:spacing w:val="-16"/>
        </w:rPr>
        <w:t> </w:t>
      </w:r>
      <w:r>
        <w:rPr>
          <w:color w:val="231F1F"/>
        </w:rPr>
        <w:t>en </w:t>
      </w:r>
      <w:r>
        <w:rPr>
          <w:color w:val="231F1F"/>
          <w:w w:val="105"/>
        </w:rPr>
        <w:t>la Costa Grande, en </w:t>
      </w:r>
      <w:r>
        <w:rPr>
          <w:color w:val="231F1F"/>
          <w:w w:val="105"/>
          <w:sz w:val="20"/>
        </w:rPr>
        <w:t>1810, </w:t>
      </w:r>
      <w:r>
        <w:rPr>
          <w:color w:val="231F1F"/>
          <w:w w:val="105"/>
        </w:rPr>
        <w:t>se alistaron en las huestes</w:t>
      </w:r>
      <w:r>
        <w:rPr>
          <w:color w:val="231F1F"/>
          <w:spacing w:val="-22"/>
          <w:w w:val="105"/>
        </w:rPr>
        <w:t> </w:t>
      </w:r>
      <w:r>
        <w:rPr>
          <w:color w:val="231F1F"/>
          <w:w w:val="105"/>
        </w:rPr>
        <w:t>de</w:t>
      </w:r>
      <w:r>
        <w:rPr>
          <w:color w:val="231F1F"/>
          <w:spacing w:val="-22"/>
          <w:w w:val="105"/>
        </w:rPr>
        <w:t> </w:t>
      </w:r>
      <w:r>
        <w:rPr>
          <w:color w:val="231F1F"/>
          <w:w w:val="105"/>
        </w:rPr>
        <w:t>Morelos</w:t>
      </w:r>
      <w:r>
        <w:rPr>
          <w:color w:val="231F1F"/>
          <w:spacing w:val="-22"/>
          <w:w w:val="105"/>
        </w:rPr>
        <w:t> </w:t>
      </w:r>
      <w:r>
        <w:rPr>
          <w:color w:val="231F1F"/>
          <w:w w:val="105"/>
        </w:rPr>
        <w:t>y</w:t>
      </w:r>
      <w:r>
        <w:rPr>
          <w:color w:val="231F1F"/>
          <w:spacing w:val="-22"/>
          <w:w w:val="105"/>
        </w:rPr>
        <w:t> </w:t>
      </w:r>
      <w:r>
        <w:rPr>
          <w:color w:val="231F1F"/>
          <w:w w:val="105"/>
        </w:rPr>
        <w:t>se</w:t>
      </w:r>
      <w:r>
        <w:rPr>
          <w:color w:val="231F1F"/>
          <w:spacing w:val="-22"/>
          <w:w w:val="105"/>
        </w:rPr>
        <w:t> </w:t>
      </w:r>
      <w:r>
        <w:rPr>
          <w:color w:val="231F1F"/>
          <w:w w:val="105"/>
        </w:rPr>
        <w:t>fueron</w:t>
      </w:r>
      <w:r>
        <w:rPr>
          <w:color w:val="231F1F"/>
          <w:spacing w:val="-22"/>
          <w:w w:val="105"/>
        </w:rPr>
        <w:t> </w:t>
      </w:r>
      <w:r>
        <w:rPr>
          <w:color w:val="231F1F"/>
          <w:w w:val="105"/>
        </w:rPr>
        <w:t>con</w:t>
      </w:r>
      <w:r>
        <w:rPr>
          <w:color w:val="231F1F"/>
          <w:spacing w:val="-22"/>
          <w:w w:val="105"/>
        </w:rPr>
        <w:t> </w:t>
      </w:r>
      <w:r>
        <w:rPr>
          <w:color w:val="231F1F"/>
          <w:w w:val="105"/>
        </w:rPr>
        <w:t>él</w:t>
      </w:r>
      <w:r>
        <w:rPr>
          <w:color w:val="231F1F"/>
          <w:spacing w:val="-22"/>
          <w:w w:val="105"/>
        </w:rPr>
        <w:t> </w:t>
      </w:r>
      <w:r>
        <w:rPr>
          <w:color w:val="231F1F"/>
          <w:w w:val="105"/>
        </w:rPr>
        <w:t>a</w:t>
      </w:r>
      <w:r>
        <w:rPr>
          <w:color w:val="231F1F"/>
          <w:spacing w:val="-22"/>
          <w:w w:val="105"/>
        </w:rPr>
        <w:t> </w:t>
      </w:r>
      <w:r>
        <w:rPr>
          <w:color w:val="231F1F"/>
          <w:w w:val="105"/>
        </w:rPr>
        <w:t>la</w:t>
      </w:r>
      <w:r>
        <w:rPr>
          <w:color w:val="231F1F"/>
          <w:spacing w:val="-22"/>
          <w:w w:val="105"/>
        </w:rPr>
        <w:t> </w:t>
      </w:r>
      <w:r>
        <w:rPr>
          <w:color w:val="231F1F"/>
          <w:w w:val="105"/>
        </w:rPr>
        <w:t>sierra, </w:t>
      </w:r>
      <w:r>
        <w:rPr>
          <w:color w:val="231F1F"/>
          <w:spacing w:val="2"/>
          <w:w w:val="105"/>
        </w:rPr>
        <w:t>dejando casi despoblados </w:t>
      </w:r>
      <w:r>
        <w:rPr>
          <w:color w:val="231F1F"/>
          <w:w w:val="105"/>
        </w:rPr>
        <w:t>los </w:t>
      </w:r>
      <w:r>
        <w:rPr>
          <w:color w:val="231F1F"/>
          <w:spacing w:val="2"/>
          <w:w w:val="105"/>
        </w:rPr>
        <w:t>pueblos </w:t>
      </w:r>
      <w:r>
        <w:rPr>
          <w:color w:val="231F1F"/>
          <w:w w:val="105"/>
        </w:rPr>
        <w:t>y ran- cherías, que por cierto, en su mayoría, eran de población mulata libre y de castas, dedicadas al cultivo de subsistencia y algodón comercial (Gerhard, </w:t>
      </w:r>
      <w:r>
        <w:rPr>
          <w:color w:val="231F1F"/>
          <w:w w:val="105"/>
          <w:sz w:val="20"/>
        </w:rPr>
        <w:t>1986: 405; </w:t>
      </w:r>
      <w:r>
        <w:rPr>
          <w:color w:val="231F1F"/>
          <w:w w:val="105"/>
        </w:rPr>
        <w:t>Guardino, </w:t>
      </w:r>
      <w:r>
        <w:rPr>
          <w:color w:val="231F1F"/>
          <w:w w:val="105"/>
          <w:sz w:val="20"/>
        </w:rPr>
        <w:t>2004: 33-57</w:t>
      </w:r>
      <w:r>
        <w:rPr>
          <w:color w:val="231F1F"/>
          <w:w w:val="105"/>
        </w:rPr>
        <w:t>). Este</w:t>
      </w:r>
      <w:r>
        <w:rPr>
          <w:color w:val="231F1F"/>
          <w:spacing w:val="-8"/>
          <w:w w:val="105"/>
        </w:rPr>
        <w:t> </w:t>
      </w:r>
      <w:r>
        <w:rPr>
          <w:color w:val="231F1F"/>
          <w:w w:val="105"/>
        </w:rPr>
        <w:t>abandono</w:t>
      </w:r>
      <w:r>
        <w:rPr>
          <w:color w:val="231F1F"/>
          <w:spacing w:val="-8"/>
          <w:w w:val="105"/>
        </w:rPr>
        <w:t> </w:t>
      </w:r>
      <w:r>
        <w:rPr>
          <w:color w:val="231F1F"/>
          <w:w w:val="105"/>
        </w:rPr>
        <w:t>de</w:t>
      </w:r>
      <w:r>
        <w:rPr>
          <w:color w:val="231F1F"/>
          <w:spacing w:val="-8"/>
          <w:w w:val="105"/>
        </w:rPr>
        <w:t> </w:t>
      </w:r>
      <w:r>
        <w:rPr>
          <w:color w:val="231F1F"/>
          <w:w w:val="105"/>
        </w:rPr>
        <w:t>los</w:t>
      </w:r>
      <w:r>
        <w:rPr>
          <w:color w:val="231F1F"/>
          <w:spacing w:val="-8"/>
          <w:w w:val="105"/>
        </w:rPr>
        <w:t> </w:t>
      </w:r>
      <w:r>
        <w:rPr>
          <w:color w:val="231F1F"/>
          <w:w w:val="105"/>
        </w:rPr>
        <w:t>pueblos</w:t>
      </w:r>
      <w:r>
        <w:rPr>
          <w:color w:val="231F1F"/>
          <w:spacing w:val="-8"/>
          <w:w w:val="105"/>
        </w:rPr>
        <w:t> </w:t>
      </w:r>
      <w:r>
        <w:rPr>
          <w:color w:val="231F1F"/>
          <w:w w:val="105"/>
        </w:rPr>
        <w:t>debió</w:t>
      </w:r>
      <w:r>
        <w:rPr>
          <w:color w:val="231F1F"/>
          <w:spacing w:val="-8"/>
          <w:w w:val="105"/>
        </w:rPr>
        <w:t> </w:t>
      </w:r>
      <w:r>
        <w:rPr>
          <w:color w:val="231F1F"/>
          <w:w w:val="105"/>
        </w:rPr>
        <w:t>afectar</w:t>
      </w:r>
      <w:r>
        <w:rPr>
          <w:color w:val="231F1F"/>
          <w:spacing w:val="-8"/>
          <w:w w:val="105"/>
        </w:rPr>
        <w:t> </w:t>
      </w:r>
      <w:r>
        <w:rPr>
          <w:color w:val="231F1F"/>
          <w:w w:val="105"/>
        </w:rPr>
        <w:t>los ingresos de las cajas de comunidad y toda la vida al interior de los mismos (gobernabilidad, </w:t>
      </w:r>
      <w:r>
        <w:rPr>
          <w:color w:val="231F1F"/>
        </w:rPr>
        <w:t>producción,</w:t>
      </w:r>
      <w:r>
        <w:rPr>
          <w:color w:val="231F1F"/>
          <w:spacing w:val="32"/>
        </w:rPr>
        <w:t> </w:t>
      </w:r>
      <w:r>
        <w:rPr>
          <w:color w:val="231F1F"/>
        </w:rPr>
        <w:t>etcétera).</w:t>
      </w:r>
    </w:p>
    <w:p>
      <w:pPr>
        <w:pStyle w:val="BodyText"/>
        <w:rPr>
          <w:sz w:val="23"/>
        </w:rPr>
      </w:pPr>
    </w:p>
    <w:p>
      <w:pPr>
        <w:spacing w:after="0"/>
        <w:rPr>
          <w:sz w:val="23"/>
        </w:rPr>
        <w:sectPr>
          <w:pgSz w:w="13100" w:h="17920"/>
          <w:pgMar w:top="1660" w:bottom="280" w:left="1620" w:right="18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line="126" w:lineRule="exact"/>
        <w:ind w:left="109"/>
        <w:rPr>
          <w:sz w:val="12"/>
        </w:rPr>
      </w:pPr>
      <w:r>
        <w:rPr>
          <w:position w:val="-2"/>
          <w:sz w:val="12"/>
        </w:rPr>
        <w:pict>
          <v:group style="width:12.65pt;height:6.35pt;mso-position-horizontal-relative:char;mso-position-vertical-relative:line" coordorigin="0,0" coordsize="253,127">
            <v:shape style="position:absolute;left:0;top:0;width:253;height:127" coordorigin="0,0" coordsize="253,127" path="m126,0l0,126,252,126,126,0xe" filled="true" fillcolor="#a8483d" stroked="false">
              <v:path arrowok="t"/>
              <v:fill type="solid"/>
            </v:shape>
          </v:group>
        </w:pict>
      </w:r>
      <w:r>
        <w:rPr>
          <w:position w:val="-2"/>
          <w:sz w:val="12"/>
        </w:rPr>
      </w:r>
    </w:p>
    <w:p>
      <w:pPr>
        <w:pStyle w:val="ListParagraph"/>
        <w:numPr>
          <w:ilvl w:val="0"/>
          <w:numId w:val="2"/>
        </w:numPr>
        <w:tabs>
          <w:tab w:pos="276" w:val="left" w:leader="none"/>
        </w:tabs>
        <w:spacing w:line="193" w:lineRule="exact" w:before="103" w:after="0"/>
        <w:ind w:left="275" w:right="0" w:hanging="166"/>
        <w:jc w:val="left"/>
        <w:rPr>
          <w:sz w:val="16"/>
        </w:rPr>
      </w:pPr>
      <w:r>
        <w:rPr>
          <w:color w:val="383434"/>
          <w:w w:val="105"/>
          <w:sz w:val="16"/>
        </w:rPr>
        <w:t>Timbre</w:t>
      </w:r>
      <w:r>
        <w:rPr>
          <w:color w:val="383434"/>
          <w:spacing w:val="-26"/>
          <w:w w:val="105"/>
          <w:sz w:val="16"/>
        </w:rPr>
        <w:t> </w:t>
      </w:r>
      <w:r>
        <w:rPr>
          <w:color w:val="383434"/>
          <w:w w:val="105"/>
          <w:sz w:val="16"/>
        </w:rPr>
        <w:t>fiscal</w:t>
      </w:r>
      <w:r>
        <w:rPr>
          <w:color w:val="383434"/>
          <w:spacing w:val="-26"/>
          <w:w w:val="105"/>
          <w:sz w:val="16"/>
        </w:rPr>
        <w:t> </w:t>
      </w:r>
      <w:r>
        <w:rPr>
          <w:color w:val="383434"/>
          <w:w w:val="105"/>
          <w:sz w:val="16"/>
        </w:rPr>
        <w:t>de</w:t>
      </w:r>
    </w:p>
    <w:p>
      <w:pPr>
        <w:spacing w:line="193" w:lineRule="exact" w:before="0"/>
        <w:ind w:left="109" w:right="0" w:firstLine="0"/>
        <w:jc w:val="left"/>
        <w:rPr>
          <w:rFonts w:ascii="Tahoma"/>
          <w:sz w:val="16"/>
        </w:rPr>
      </w:pPr>
      <w:r>
        <w:rPr/>
        <w:pict>
          <v:line style="position:absolute;mso-position-horizontal-relative:page;mso-position-vertical-relative:paragraph;z-index:2104" from="86.456703pt,19.564781pt" to="171.495703pt,19.564781pt" stroked="true" strokeweight=".5pt" strokecolor="#a8483d">
            <w10:wrap type="none"/>
          </v:line>
        </w:pict>
      </w:r>
      <w:r>
        <w:rPr>
          <w:rFonts w:ascii="Tahoma"/>
          <w:color w:val="383434"/>
          <w:sz w:val="16"/>
        </w:rPr>
        <w:t>Morelos, 10 centavos.</w:t>
      </w:r>
    </w:p>
    <w:p>
      <w:pPr>
        <w:pStyle w:val="BodyText"/>
        <w:spacing w:line="268" w:lineRule="auto" w:before="58"/>
        <w:ind w:left="109" w:right="455"/>
        <w:jc w:val="both"/>
      </w:pPr>
      <w:r>
        <w:rPr/>
        <w:br w:type="column"/>
      </w:r>
      <w:r>
        <w:rPr>
          <w:color w:val="231F1F"/>
        </w:rPr>
        <w:t>En los pronunciamientos citados existen disposi- ciones que </w:t>
      </w:r>
      <w:r>
        <w:rPr>
          <w:color w:val="231F1F"/>
          <w:spacing w:val="2"/>
        </w:rPr>
        <w:t>pertenecen </w:t>
      </w:r>
      <w:r>
        <w:rPr>
          <w:color w:val="231F1F"/>
        </w:rPr>
        <w:t>a los nuevos principios de justicia social divulgados en la época. </w:t>
      </w:r>
      <w:r>
        <w:rPr>
          <w:color w:val="231F1F"/>
          <w:spacing w:val="2"/>
        </w:rPr>
        <w:t>Por </w:t>
      </w:r>
      <w:r>
        <w:rPr>
          <w:color w:val="231F1F"/>
        </w:rPr>
        <w:t>ejemplo, el cura de Carácuaro decretó que todo aquel “americano” que tuviera una deuda eco- nómica con un acreedor “europeo”, contraída antes de la fecha de los decretos, no </w:t>
      </w:r>
      <w:r>
        <w:rPr>
          <w:color w:val="231F1F"/>
          <w:spacing w:val="2"/>
        </w:rPr>
        <w:t>estaba </w:t>
      </w:r>
      <w:r>
        <w:rPr>
          <w:color w:val="231F1F"/>
          <w:spacing w:val="3"/>
        </w:rPr>
        <w:t>obligado, </w:t>
      </w:r>
      <w:r>
        <w:rPr>
          <w:color w:val="231F1F"/>
        </w:rPr>
        <w:t>a  </w:t>
      </w:r>
      <w:r>
        <w:rPr>
          <w:color w:val="231F1F"/>
          <w:spacing w:val="4"/>
        </w:rPr>
        <w:t>partir  </w:t>
      </w:r>
      <w:r>
        <w:rPr>
          <w:color w:val="231F1F"/>
        </w:rPr>
        <w:t>de  </w:t>
      </w:r>
      <w:r>
        <w:rPr>
          <w:color w:val="231F1F"/>
          <w:spacing w:val="3"/>
        </w:rPr>
        <w:t>entonces,  </w:t>
      </w:r>
      <w:r>
        <w:rPr>
          <w:color w:val="231F1F"/>
        </w:rPr>
        <w:t>a  </w:t>
      </w:r>
      <w:r>
        <w:rPr>
          <w:color w:val="231F1F"/>
          <w:spacing w:val="4"/>
        </w:rPr>
        <w:t>liquidarla.  </w:t>
      </w:r>
      <w:r>
        <w:rPr>
          <w:color w:val="231F1F"/>
        </w:rPr>
        <w:t>A </w:t>
      </w:r>
      <w:r>
        <w:rPr>
          <w:color w:val="231F1F"/>
          <w:spacing w:val="2"/>
        </w:rPr>
        <w:t>la </w:t>
      </w:r>
      <w:r>
        <w:rPr>
          <w:color w:val="231F1F"/>
          <w:spacing w:val="4"/>
        </w:rPr>
        <w:t>inversa, </w:t>
      </w:r>
      <w:r>
        <w:rPr>
          <w:color w:val="231F1F"/>
          <w:spacing w:val="2"/>
        </w:rPr>
        <w:t>si  </w:t>
      </w:r>
      <w:r>
        <w:rPr>
          <w:color w:val="231F1F"/>
          <w:spacing w:val="4"/>
        </w:rPr>
        <w:t>algún  “europeo”  </w:t>
      </w:r>
      <w:r>
        <w:rPr>
          <w:color w:val="231F1F"/>
          <w:spacing w:val="3"/>
        </w:rPr>
        <w:t>era  </w:t>
      </w:r>
      <w:r>
        <w:rPr>
          <w:color w:val="231F1F"/>
          <w:spacing w:val="4"/>
        </w:rPr>
        <w:t>deudor </w:t>
      </w:r>
      <w:r>
        <w:rPr>
          <w:color w:val="231F1F"/>
        </w:rPr>
        <w:t>de capitales o bienes de algún “americano” la deuda permanecería vigente y sería  </w:t>
      </w:r>
      <w:r>
        <w:rPr>
          <w:color w:val="231F1F"/>
          <w:spacing w:val="28"/>
        </w:rPr>
        <w:t> </w:t>
      </w:r>
      <w:r>
        <w:rPr>
          <w:color w:val="231F1F"/>
        </w:rPr>
        <w:t>apremiado</w:t>
      </w:r>
    </w:p>
    <w:p>
      <w:pPr>
        <w:spacing w:after="0" w:line="268" w:lineRule="auto"/>
        <w:jc w:val="both"/>
        <w:sectPr>
          <w:type w:val="continuous"/>
          <w:pgSz w:w="13100" w:h="17920"/>
          <w:pgMar w:top="0" w:bottom="0" w:left="1620" w:right="1860"/>
          <w:cols w:num="2" w:equalWidth="0">
            <w:col w:w="4504" w:space="174"/>
            <w:col w:w="4942"/>
          </w:cols>
        </w:sectPr>
      </w:pPr>
    </w:p>
    <w:p>
      <w:pPr>
        <w:pStyle w:val="BodyText"/>
        <w:rPr>
          <w:sz w:val="20"/>
        </w:rPr>
      </w:pPr>
    </w:p>
    <w:p>
      <w:pPr>
        <w:pStyle w:val="BodyText"/>
        <w:rPr>
          <w:sz w:val="20"/>
        </w:rPr>
      </w:pPr>
    </w:p>
    <w:p>
      <w:pPr>
        <w:pStyle w:val="BodyText"/>
        <w:rPr>
          <w:sz w:val="20"/>
        </w:rPr>
      </w:pPr>
    </w:p>
    <w:p>
      <w:pPr>
        <w:pStyle w:val="BodyText"/>
        <w:spacing w:before="1"/>
        <w:rPr>
          <w:sz w:val="26"/>
        </w:rPr>
      </w:pPr>
    </w:p>
    <w:p>
      <w:pPr>
        <w:spacing w:after="0"/>
        <w:rPr>
          <w:sz w:val="26"/>
        </w:rPr>
        <w:sectPr>
          <w:type w:val="continuous"/>
          <w:pgSz w:w="13100" w:h="17920"/>
          <w:pgMar w:top="0" w:bottom="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107</w:t>
      </w:r>
    </w:p>
    <w:p>
      <w:pPr>
        <w:spacing w:after="0"/>
        <w:jc w:val="left"/>
        <w:rPr>
          <w:sz w:val="18"/>
        </w:rPr>
        <w:sectPr>
          <w:type w:val="continuous"/>
          <w:pgSz w:w="13100" w:h="17920"/>
          <w:pgMar w:top="0" w:bottom="0" w:left="1620" w:right="1860"/>
          <w:cols w:num="2" w:equalWidth="0">
            <w:col w:w="8413" w:space="40"/>
            <w:col w:w="1167"/>
          </w:cols>
        </w:sectPr>
      </w:pPr>
    </w:p>
    <w:p>
      <w:pPr>
        <w:pStyle w:val="BodyText"/>
        <w:tabs>
          <w:tab w:pos="1504" w:val="left" w:leader="none"/>
        </w:tabs>
        <w:spacing w:line="268" w:lineRule="auto" w:before="29"/>
        <w:ind w:left="1504" w:right="1724" w:hanging="1170"/>
        <w:jc w:val="both"/>
      </w:pPr>
      <w:r>
        <w:rPr/>
        <w:drawing>
          <wp:anchor distT="0" distB="0" distL="0" distR="0" allowOverlap="1" layoutInCell="1" locked="0" behindDoc="1" simplePos="0" relativeHeight="268360943">
            <wp:simplePos x="0" y="0"/>
            <wp:positionH relativeFrom="page">
              <wp:posOffset>589533</wp:posOffset>
            </wp:positionH>
            <wp:positionV relativeFrom="paragraph">
              <wp:posOffset>362513</wp:posOffset>
            </wp:positionV>
            <wp:extent cx="522296" cy="457949"/>
            <wp:effectExtent l="0" t="0" r="0" b="0"/>
            <wp:wrapNone/>
            <wp:docPr id="49" name="image24.png" descr=""/>
            <wp:cNvGraphicFramePr>
              <a:graphicFrameLocks noChangeAspect="1"/>
            </wp:cNvGraphicFramePr>
            <a:graphic>
              <a:graphicData uri="http://schemas.openxmlformats.org/drawingml/2006/picture">
                <pic:pic>
                  <pic:nvPicPr>
                    <pic:cNvPr id="50"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73346pt;width:11pt;height:76.350pt;mso-position-horizontal-relative:page;mso-position-vertical-relative:paragraph;z-index:-74440"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4"/>
          <w:sz w:val="18"/>
        </w:rPr>
        <w:t>108</w:t>
        <w:tab/>
      </w:r>
      <w:r>
        <w:rPr>
          <w:color w:val="231F1F"/>
        </w:rPr>
        <w:t>a</w:t>
      </w:r>
      <w:r>
        <w:rPr>
          <w:color w:val="231F1F"/>
          <w:spacing w:val="45"/>
        </w:rPr>
        <w:t> </w:t>
      </w:r>
      <w:r>
        <w:rPr>
          <w:color w:val="231F1F"/>
        </w:rPr>
        <w:t>hacer</w:t>
      </w:r>
      <w:r>
        <w:rPr>
          <w:color w:val="231F1F"/>
          <w:spacing w:val="44"/>
        </w:rPr>
        <w:t> </w:t>
      </w:r>
      <w:r>
        <w:rPr>
          <w:color w:val="231F1F"/>
        </w:rPr>
        <w:t>los</w:t>
      </w:r>
      <w:r>
        <w:rPr>
          <w:color w:val="231F1F"/>
          <w:spacing w:val="44"/>
        </w:rPr>
        <w:t> </w:t>
      </w:r>
      <w:r>
        <w:rPr>
          <w:color w:val="231F1F"/>
        </w:rPr>
        <w:t>pagos</w:t>
      </w:r>
      <w:r>
        <w:rPr>
          <w:color w:val="231F1F"/>
          <w:spacing w:val="45"/>
        </w:rPr>
        <w:t> </w:t>
      </w:r>
      <w:r>
        <w:rPr>
          <w:color w:val="231F1F"/>
        </w:rPr>
        <w:t>con</w:t>
      </w:r>
      <w:r>
        <w:rPr>
          <w:color w:val="231F1F"/>
          <w:spacing w:val="44"/>
        </w:rPr>
        <w:t> </w:t>
      </w:r>
      <w:r>
        <w:rPr>
          <w:color w:val="231F1F"/>
        </w:rPr>
        <w:t>el</w:t>
      </w:r>
      <w:r>
        <w:rPr>
          <w:color w:val="231F1F"/>
          <w:spacing w:val="45"/>
        </w:rPr>
        <w:t> </w:t>
      </w:r>
      <w:r>
        <w:rPr>
          <w:color w:val="231F1F"/>
        </w:rPr>
        <w:t>mayor</w:t>
      </w:r>
      <w:r>
        <w:rPr>
          <w:color w:val="231F1F"/>
          <w:spacing w:val="44"/>
        </w:rPr>
        <w:t> </w:t>
      </w:r>
      <w:r>
        <w:rPr>
          <w:color w:val="231F1F"/>
        </w:rPr>
        <w:t>rigor.</w:t>
      </w:r>
      <w:r>
        <w:rPr>
          <w:color w:val="231F1F"/>
          <w:spacing w:val="44"/>
        </w:rPr>
        <w:t> </w:t>
      </w:r>
      <w:r>
        <w:rPr>
          <w:color w:val="231F1F"/>
        </w:rPr>
        <w:t>Las</w:t>
      </w:r>
      <w:r>
        <w:rPr>
          <w:color w:val="231F1F"/>
          <w:spacing w:val="45"/>
        </w:rPr>
        <w:t> </w:t>
      </w:r>
      <w:r>
        <w:rPr>
          <w:color w:val="231F1F"/>
        </w:rPr>
        <w:t>deudas</w:t>
      </w:r>
      <w:r>
        <w:rPr>
          <w:color w:val="231F1F"/>
          <w:spacing w:val="44"/>
        </w:rPr>
        <w:t> </w:t>
      </w:r>
      <w:r>
        <w:rPr>
          <w:color w:val="231F1F"/>
        </w:rPr>
        <w:t>entre</w:t>
      </w:r>
      <w:r>
        <w:rPr>
          <w:color w:val="231F1F"/>
          <w:spacing w:val="45"/>
        </w:rPr>
        <w:t> </w:t>
      </w:r>
      <w:r>
        <w:rPr>
          <w:color w:val="231F1F"/>
        </w:rPr>
        <w:t>un</w:t>
      </w:r>
      <w:r>
        <w:rPr>
          <w:color w:val="231F1F"/>
          <w:spacing w:val="44"/>
        </w:rPr>
        <w:t> </w:t>
      </w:r>
      <w:r>
        <w:rPr>
          <w:color w:val="231F1F"/>
        </w:rPr>
        <w:t>“americano”</w:t>
      </w:r>
      <w:r>
        <w:rPr>
          <w:color w:val="231F1F"/>
          <w:spacing w:val="45"/>
        </w:rPr>
        <w:t> </w:t>
      </w:r>
      <w:r>
        <w:rPr>
          <w:color w:val="231F1F"/>
        </w:rPr>
        <w:t>y</w:t>
      </w:r>
      <w:r>
        <w:rPr>
          <w:color w:val="231F1F"/>
          <w:spacing w:val="44"/>
        </w:rPr>
        <w:t> </w:t>
      </w:r>
      <w:r>
        <w:rPr>
          <w:color w:val="231F1F"/>
        </w:rPr>
        <w:t>otro</w:t>
      </w:r>
      <w:r>
        <w:rPr>
          <w:color w:val="231F1F"/>
          <w:spacing w:val="45"/>
        </w:rPr>
        <w:t> </w:t>
      </w:r>
      <w:r>
        <w:rPr>
          <w:color w:val="231F1F"/>
        </w:rPr>
        <w:t>“americano”</w:t>
      </w:r>
      <w:r>
        <w:rPr>
          <w:color w:val="231F1F"/>
          <w:spacing w:val="44"/>
        </w:rPr>
        <w:t> </w:t>
      </w:r>
      <w:r>
        <w:rPr>
          <w:color w:val="231F1F"/>
        </w:rPr>
        <w:t>se</w:t>
      </w:r>
      <w:r>
        <w:rPr>
          <w:color w:val="231F1F"/>
          <w:spacing w:val="2"/>
          <w:w w:val="99"/>
        </w:rPr>
        <w:t> </w:t>
      </w:r>
      <w:r>
        <w:rPr>
          <w:color w:val="231F1F"/>
        </w:rPr>
        <w:t>mantenían vigentes. La primera disposición que se refiere a la no liquidación de las deudas de </w:t>
      </w:r>
      <w:r>
        <w:rPr>
          <w:color w:val="231F1F"/>
          <w:spacing w:val="2"/>
        </w:rPr>
        <w:t>los  </w:t>
      </w:r>
      <w:r>
        <w:rPr>
          <w:color w:val="231F1F"/>
        </w:rPr>
        <w:t>“americanos” con sus acreedores “españoles” o “europeos” tiene como sustento, seguramente, la penosa historia de todas aquellas deudas económicas contraídas por los habitantes de los pueblos     y rancherías con los agentes locales de los grandes comercios de la Ciudad de México. Es decir,      esta medida iba en contra de los odiosos agentes del comercio coactivo, quienes casi siempre       eran españoles peninsulares que habían vendido productos, por la fuerza y a créditos alzados, a      los indios de los pueblos, pero que también les compraban a bajos precios su producción </w:t>
      </w:r>
      <w:r>
        <w:rPr>
          <w:color w:val="231F1F"/>
          <w:spacing w:val="2"/>
        </w:rPr>
        <w:t>local,      </w:t>
      </w:r>
      <w:r>
        <w:rPr>
          <w:color w:val="231F1F"/>
          <w:spacing w:val="53"/>
        </w:rPr>
        <w:t> </w:t>
      </w:r>
      <w:r>
        <w:rPr>
          <w:color w:val="231F1F"/>
        </w:rPr>
        <w:t>tal y como lo hacían en su momento los antiguos alcaldes mayores y corregidores. Por lo anterior,   es entendible la disposición de mantener la deuda de los “europeos” a los “americanos”. Sin em- bargo, suponemos que la  aplicación  práctica  de  todas  estas  disposiciones  y  categorías  sociales no debió ser clara ni fácil, pues los instrumentos de estas deudas estaban casi siempre registrados   en muchos protocolos de escribanía y los juzgados basaban sus fallos en ellos. En  esta  </w:t>
      </w:r>
      <w:r>
        <w:rPr>
          <w:color w:val="231F1F"/>
          <w:spacing w:val="2"/>
        </w:rPr>
        <w:t>línea,  </w:t>
      </w:r>
      <w:r>
        <w:rPr>
          <w:color w:val="231F1F"/>
        </w:rPr>
        <w:t>también se incluye la disposición de otorgar todas las plazas y empleos de alta categoría, tanto         en el gobierno civil como en el eclesiástico, a los “americanos” y no a los “europeos”, resolvien-       do así una vieja rencilla social que adjudicaba a los peninsulares los mejores trabajos y salarios  dentro  del  sistema</w:t>
      </w:r>
      <w:r>
        <w:rPr>
          <w:color w:val="231F1F"/>
          <w:spacing w:val="-22"/>
        </w:rPr>
        <w:t> </w:t>
      </w:r>
      <w:r>
        <w:rPr>
          <w:color w:val="231F1F"/>
        </w:rPr>
        <w:t>colonial.</w:t>
      </w:r>
    </w:p>
    <w:p>
      <w:pPr>
        <w:pStyle w:val="BodyText"/>
        <w:spacing w:before="9"/>
        <w:rPr>
          <w:sz w:val="27"/>
        </w:rPr>
      </w:pPr>
    </w:p>
    <w:p>
      <w:pPr>
        <w:pStyle w:val="BodyText"/>
        <w:spacing w:line="268" w:lineRule="auto"/>
        <w:ind w:left="6181" w:right="1725" w:firstLine="1"/>
        <w:jc w:val="both"/>
      </w:pPr>
      <w:r>
        <w:rPr/>
        <w:drawing>
          <wp:anchor distT="0" distB="0" distL="0" distR="0" allowOverlap="1" layoutInCell="1" locked="0" behindDoc="0" simplePos="0" relativeHeight="2176">
            <wp:simplePos x="0" y="0"/>
            <wp:positionH relativeFrom="page">
              <wp:posOffset>1652397</wp:posOffset>
            </wp:positionH>
            <wp:positionV relativeFrom="paragraph">
              <wp:posOffset>-23969</wp:posOffset>
            </wp:positionV>
            <wp:extent cx="2566949" cy="4279823"/>
            <wp:effectExtent l="0" t="0" r="0" b="0"/>
            <wp:wrapNone/>
            <wp:docPr id="51" name="image30.jpeg" descr=""/>
            <wp:cNvGraphicFramePr>
              <a:graphicFrameLocks noChangeAspect="1"/>
            </wp:cNvGraphicFramePr>
            <a:graphic>
              <a:graphicData uri="http://schemas.openxmlformats.org/drawingml/2006/picture">
                <pic:pic>
                  <pic:nvPicPr>
                    <pic:cNvPr id="52" name="image30.jpeg"/>
                    <pic:cNvPicPr/>
                  </pic:nvPicPr>
                  <pic:blipFill>
                    <a:blip r:embed="rId35" cstate="print"/>
                    <a:stretch>
                      <a:fillRect/>
                    </a:stretch>
                  </pic:blipFill>
                  <pic:spPr>
                    <a:xfrm>
                      <a:off x="0" y="0"/>
                      <a:ext cx="2566949" cy="4279823"/>
                    </a:xfrm>
                    <a:prstGeom prst="rect">
                      <a:avLst/>
                    </a:prstGeom>
                  </pic:spPr>
                </pic:pic>
              </a:graphicData>
            </a:graphic>
          </wp:anchor>
        </w:drawing>
      </w:r>
      <w:r>
        <w:rPr>
          <w:color w:val="231F1F"/>
        </w:rPr>
        <w:t>En cambio, la disposición de liberar reos de las cárceles de los poblados tomados era sobre</w:t>
      </w:r>
      <w:r>
        <w:rPr>
          <w:color w:val="231F1F"/>
          <w:spacing w:val="-18"/>
        </w:rPr>
        <w:t> </w:t>
      </w:r>
      <w:r>
        <w:rPr>
          <w:color w:val="231F1F"/>
        </w:rPr>
        <w:t>todo una medida política más que de justicia social.  La justificación ideológica para liberar a los in- fractores era simple: eran presos del antiguo ré- gimen que merecerían una nueva oportunidad bajo el estado nacional que se estaba constru- yendo; además, muchos de ellos no dudaban en alistarse en las huestes insurgentes. No obstan- te, Morelos advierte en el documento de </w:t>
      </w:r>
      <w:r>
        <w:rPr>
          <w:color w:val="231F1F"/>
          <w:sz w:val="20"/>
        </w:rPr>
        <w:t>1810</w:t>
      </w:r>
      <w:r>
        <w:rPr>
          <w:color w:val="231F1F"/>
        </w:rPr>
        <w:t>, que si los ex reos volvieran a reincidir en infrac- ciones a la ley y las buenas costumbres serían, de  forma  irremediable,</w:t>
      </w:r>
      <w:r>
        <w:rPr>
          <w:color w:val="231F1F"/>
          <w:spacing w:val="3"/>
        </w:rPr>
        <w:t> </w:t>
      </w:r>
      <w:r>
        <w:rPr>
          <w:color w:val="231F1F"/>
        </w:rPr>
        <w:t>castigados.</w:t>
      </w:r>
    </w:p>
    <w:p>
      <w:pPr>
        <w:pStyle w:val="BodyText"/>
        <w:rPr>
          <w:sz w:val="23"/>
        </w:rPr>
      </w:pPr>
    </w:p>
    <w:p>
      <w:pPr>
        <w:spacing w:after="0"/>
        <w:rPr>
          <w:sz w:val="23"/>
        </w:rPr>
        <w:sectPr>
          <w:pgSz w:w="13100" w:h="17920"/>
          <w:pgMar w:top="1660" w:bottom="280" w:left="82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BodyText"/>
        <w:spacing w:line="126" w:lineRule="exact"/>
        <w:ind w:left="1787"/>
        <w:rPr>
          <w:sz w:val="12"/>
        </w:rPr>
      </w:pPr>
      <w:r>
        <w:rPr>
          <w:position w:val="-2"/>
          <w:sz w:val="12"/>
        </w:rPr>
        <w:pict>
          <v:group style="width:12.65pt;height:6.35pt;mso-position-horizontal-relative:char;mso-position-vertical-relative:line" coordorigin="0,0" coordsize="253,127">
            <v:shape style="position:absolute;left:0;top:0;width:253;height:127" coordorigin="0,0" coordsize="253,127" path="m126,0l0,126,252,126,126,0xe" filled="true" fillcolor="#a8483d" stroked="false">
              <v:path arrowok="t"/>
              <v:fill type="solid"/>
            </v:shape>
          </v:group>
        </w:pict>
      </w:r>
      <w:r>
        <w:rPr>
          <w:position w:val="-2"/>
          <w:sz w:val="12"/>
        </w:rPr>
      </w:r>
    </w:p>
    <w:p>
      <w:pPr>
        <w:pStyle w:val="ListParagraph"/>
        <w:numPr>
          <w:ilvl w:val="0"/>
          <w:numId w:val="2"/>
        </w:numPr>
        <w:tabs>
          <w:tab w:pos="1955" w:val="left" w:leader="none"/>
        </w:tabs>
        <w:spacing w:line="193" w:lineRule="exact" w:before="109" w:after="0"/>
        <w:ind w:left="1954" w:right="0" w:hanging="167"/>
        <w:jc w:val="left"/>
        <w:rPr>
          <w:sz w:val="16"/>
        </w:rPr>
      </w:pPr>
      <w:r>
        <w:rPr>
          <w:color w:val="383434"/>
          <w:w w:val="105"/>
          <w:sz w:val="16"/>
        </w:rPr>
        <w:t>Timbre</w:t>
      </w:r>
      <w:r>
        <w:rPr>
          <w:color w:val="383434"/>
          <w:spacing w:val="-26"/>
          <w:w w:val="105"/>
          <w:sz w:val="16"/>
        </w:rPr>
        <w:t> </w:t>
      </w:r>
      <w:r>
        <w:rPr>
          <w:color w:val="383434"/>
          <w:w w:val="105"/>
          <w:sz w:val="16"/>
        </w:rPr>
        <w:t>fiscal</w:t>
      </w:r>
      <w:r>
        <w:rPr>
          <w:color w:val="383434"/>
          <w:spacing w:val="-26"/>
          <w:w w:val="105"/>
          <w:sz w:val="16"/>
        </w:rPr>
        <w:t> </w:t>
      </w:r>
      <w:r>
        <w:rPr>
          <w:color w:val="383434"/>
          <w:w w:val="105"/>
          <w:sz w:val="16"/>
        </w:rPr>
        <w:t>de</w:t>
      </w:r>
    </w:p>
    <w:p>
      <w:pPr>
        <w:spacing w:line="193" w:lineRule="exact" w:before="0"/>
        <w:ind w:left="1787" w:right="0" w:firstLine="0"/>
        <w:jc w:val="left"/>
        <w:rPr>
          <w:rFonts w:ascii="Tahoma"/>
          <w:sz w:val="16"/>
        </w:rPr>
      </w:pPr>
      <w:r>
        <w:rPr/>
        <w:pict>
          <v:line style="position:absolute;mso-position-horizontal-relative:page;mso-position-vertical-relative:paragraph;z-index:2200" from="130.393997pt,19.564781pt" to="215.432997pt,19.564781pt" stroked="true" strokeweight=".5pt" strokecolor="#a8483d">
            <w10:wrap type="none"/>
          </v:line>
        </w:pict>
      </w:r>
      <w:r>
        <w:rPr>
          <w:rFonts w:ascii="Tahoma"/>
          <w:color w:val="383434"/>
          <w:sz w:val="16"/>
        </w:rPr>
        <w:t>Morelos, 5 centavos.</w:t>
      </w:r>
    </w:p>
    <w:p>
      <w:pPr>
        <w:pStyle w:val="BodyText"/>
        <w:spacing w:line="268" w:lineRule="auto" w:before="58"/>
        <w:ind w:left="316" w:right="1721"/>
        <w:jc w:val="both"/>
      </w:pPr>
      <w:r>
        <w:rPr/>
        <w:br w:type="column"/>
      </w:r>
      <w:r>
        <w:rPr>
          <w:color w:val="231F1F"/>
        </w:rPr>
        <w:t>Finalmente, en estos pronunciamientos de Mo- </w:t>
      </w:r>
      <w:r>
        <w:rPr>
          <w:color w:val="231F1F"/>
          <w:spacing w:val="3"/>
        </w:rPr>
        <w:t>relos </w:t>
      </w:r>
      <w:r>
        <w:rPr>
          <w:color w:val="231F1F"/>
        </w:rPr>
        <w:t>se </w:t>
      </w:r>
      <w:r>
        <w:rPr>
          <w:color w:val="231F1F"/>
          <w:spacing w:val="3"/>
        </w:rPr>
        <w:t>contienen </w:t>
      </w:r>
      <w:r>
        <w:rPr>
          <w:color w:val="231F1F"/>
          <w:spacing w:val="2"/>
        </w:rPr>
        <w:t>dos </w:t>
      </w:r>
      <w:r>
        <w:rPr>
          <w:color w:val="231F1F"/>
          <w:spacing w:val="3"/>
        </w:rPr>
        <w:t>medidas distintas </w:t>
      </w:r>
      <w:r>
        <w:rPr>
          <w:color w:val="231F1F"/>
          <w:spacing w:val="4"/>
        </w:rPr>
        <w:t>con </w:t>
      </w:r>
      <w:r>
        <w:rPr>
          <w:color w:val="231F1F"/>
        </w:rPr>
        <w:t>respecto a los “estancos” o monopolios del im- perio español: una de economía liberal y otra    de igualdad social. Por un lado, se decretó la abolición del monopolio estatal de la fabrica- ción de la pólvora, permitiendo la extracción de azufre, salitre y la elaboración de ésta pólvora     a los </w:t>
      </w:r>
      <w:r>
        <w:rPr>
          <w:color w:val="231F1F"/>
          <w:spacing w:val="2"/>
        </w:rPr>
        <w:t>particulares </w:t>
      </w:r>
      <w:r>
        <w:rPr>
          <w:color w:val="231F1F"/>
        </w:rPr>
        <w:t>con la condición de venderla temporalmente a la “nación”, en manos de </w:t>
      </w:r>
      <w:r>
        <w:rPr>
          <w:color w:val="231F1F"/>
          <w:spacing w:val="2"/>
        </w:rPr>
        <w:t>los </w:t>
      </w:r>
      <w:r>
        <w:rPr>
          <w:color w:val="231F1F"/>
        </w:rPr>
        <w:t>insurgentes. Medida estratégica que permitió el abastecimiento</w:t>
      </w:r>
      <w:r>
        <w:rPr>
          <w:color w:val="231F1F"/>
          <w:spacing w:val="-17"/>
        </w:rPr>
        <w:t> </w:t>
      </w:r>
      <w:r>
        <w:rPr>
          <w:color w:val="231F1F"/>
        </w:rPr>
        <w:t>de</w:t>
      </w:r>
      <w:r>
        <w:rPr>
          <w:color w:val="231F1F"/>
          <w:spacing w:val="-17"/>
        </w:rPr>
        <w:t> </w:t>
      </w:r>
      <w:r>
        <w:rPr>
          <w:color w:val="231F1F"/>
        </w:rPr>
        <w:t>este</w:t>
      </w:r>
      <w:r>
        <w:rPr>
          <w:color w:val="231F1F"/>
          <w:spacing w:val="-17"/>
        </w:rPr>
        <w:t> </w:t>
      </w:r>
      <w:r>
        <w:rPr>
          <w:color w:val="231F1F"/>
        </w:rPr>
        <w:t>importante</w:t>
      </w:r>
      <w:r>
        <w:rPr>
          <w:color w:val="231F1F"/>
          <w:spacing w:val="-17"/>
        </w:rPr>
        <w:t> </w:t>
      </w:r>
      <w:r>
        <w:rPr>
          <w:color w:val="231F1F"/>
        </w:rPr>
        <w:t>insumo</w:t>
      </w:r>
      <w:r>
        <w:rPr>
          <w:color w:val="231F1F"/>
          <w:spacing w:val="-17"/>
        </w:rPr>
        <w:t> </w:t>
      </w:r>
      <w:r>
        <w:rPr>
          <w:color w:val="231F1F"/>
        </w:rPr>
        <w:t>bélico</w:t>
      </w:r>
    </w:p>
    <w:p>
      <w:pPr>
        <w:spacing w:after="0" w:line="268" w:lineRule="auto"/>
        <w:jc w:val="both"/>
        <w:sectPr>
          <w:type w:val="continuous"/>
          <w:pgSz w:w="13100" w:h="17920"/>
          <w:pgMar w:top="0" w:bottom="0" w:left="820" w:right="0"/>
          <w:cols w:num="2" w:equalWidth="0">
            <w:col w:w="5825" w:space="40"/>
            <w:col w:w="6415"/>
          </w:cols>
        </w:sectPr>
      </w:pPr>
    </w:p>
    <w:p>
      <w:pPr>
        <w:pStyle w:val="BodyText"/>
        <w:spacing w:line="268" w:lineRule="auto" w:before="32"/>
        <w:ind w:left="109" w:right="2319"/>
        <w:jc w:val="both"/>
      </w:pPr>
      <w:r>
        <w:rPr>
          <w:color w:val="231F1F"/>
        </w:rPr>
        <w:t>a los ejércitos insurgentes. Por otro lado, se dispuso la </w:t>
      </w:r>
      <w:r>
        <w:rPr>
          <w:color w:val="231F1F"/>
          <w:spacing w:val="2"/>
        </w:rPr>
        <w:t>conservación </w:t>
      </w:r>
      <w:r>
        <w:rPr>
          <w:color w:val="231F1F"/>
        </w:rPr>
        <w:t>temporal de los pagos de impuestos en los ramos de tabacos y alcabalas, con el fin de destinarlos al sostenimiento de la   tropa. En este orden, el caudillo fue muy claro al señalar, en el bando de </w:t>
      </w:r>
      <w:r>
        <w:rPr>
          <w:color w:val="231F1F"/>
          <w:sz w:val="20"/>
        </w:rPr>
        <w:t>1813</w:t>
      </w:r>
      <w:r>
        <w:rPr>
          <w:color w:val="231F1F"/>
        </w:rPr>
        <w:t>, que con la aboli-     ción de los tributos y la extinción de las cajas de comunidad, los “naturales” quedaban en </w:t>
      </w:r>
      <w:r>
        <w:rPr>
          <w:color w:val="231F1F"/>
          <w:spacing w:val="2"/>
        </w:rPr>
        <w:t>libertad   </w:t>
      </w:r>
      <w:r>
        <w:rPr>
          <w:color w:val="231F1F"/>
        </w:rPr>
        <w:t>de producir y vender sus productos sin más restricción y con la misma igualdad que el resto de la población americana. Lo cual implicaba que, a </w:t>
      </w:r>
      <w:r>
        <w:rPr>
          <w:color w:val="231F1F"/>
          <w:spacing w:val="2"/>
        </w:rPr>
        <w:t>partir </w:t>
      </w:r>
      <w:r>
        <w:rPr>
          <w:color w:val="231F1F"/>
        </w:rPr>
        <w:t>de entonces, todos los “naturales” </w:t>
      </w:r>
      <w:r>
        <w:rPr>
          <w:color w:val="231F1F"/>
          <w:spacing w:val="2"/>
        </w:rPr>
        <w:t>debían</w:t>
      </w:r>
      <w:r>
        <w:rPr>
          <w:color w:val="231F1F"/>
          <w:spacing w:val="53"/>
        </w:rPr>
        <w:t> </w:t>
      </w:r>
      <w:r>
        <w:rPr>
          <w:color w:val="231F1F"/>
        </w:rPr>
        <w:t>pagar  la  contribución  de  alcabala  reducida  al  cuatro  por  ciento  (Moreno,  </w:t>
      </w:r>
      <w:r>
        <w:rPr>
          <w:color w:val="231F1F"/>
          <w:sz w:val="20"/>
        </w:rPr>
        <w:t>2014:   </w:t>
      </w:r>
      <w:r>
        <w:rPr>
          <w:color w:val="231F1F"/>
          <w:spacing w:val="24"/>
          <w:sz w:val="20"/>
        </w:rPr>
        <w:t> </w:t>
      </w:r>
      <w:r>
        <w:rPr>
          <w:color w:val="231F1F"/>
          <w:sz w:val="20"/>
        </w:rPr>
        <w:t>135-153</w:t>
      </w:r>
      <w:r>
        <w:rPr>
          <w:color w:val="231F1F"/>
        </w:rPr>
        <w:t>).</w:t>
      </w:r>
    </w:p>
    <w:p>
      <w:pPr>
        <w:pStyle w:val="BodyText"/>
      </w:pPr>
    </w:p>
    <w:p>
      <w:pPr>
        <w:pStyle w:val="BodyText"/>
        <w:spacing w:before="184"/>
        <w:ind w:left="109"/>
        <w:jc w:val="both"/>
      </w:pPr>
      <w:r>
        <w:rPr>
          <w:color w:val="231F1F"/>
          <w:w w:val="105"/>
        </w:rPr>
        <w:t>Los principios de seguridad y    justicia</w:t>
      </w:r>
    </w:p>
    <w:p>
      <w:pPr>
        <w:pStyle w:val="BodyText"/>
        <w:spacing w:before="2"/>
        <w:rPr>
          <w:sz w:val="28"/>
        </w:rPr>
      </w:pPr>
      <w:r>
        <w:rPr/>
        <w:drawing>
          <wp:anchor distT="0" distB="0" distL="0" distR="0" allowOverlap="1" layoutInCell="1" locked="0" behindDoc="0" simplePos="0" relativeHeight="2248">
            <wp:simplePos x="0" y="0"/>
            <wp:positionH relativeFrom="page">
              <wp:posOffset>1098000</wp:posOffset>
            </wp:positionH>
            <wp:positionV relativeFrom="paragraph">
              <wp:posOffset>243559</wp:posOffset>
            </wp:positionV>
            <wp:extent cx="7184170" cy="4775930"/>
            <wp:effectExtent l="0" t="0" r="0" b="0"/>
            <wp:wrapTopAndBottom/>
            <wp:docPr id="53" name="image31.jpeg" descr=""/>
            <wp:cNvGraphicFramePr>
              <a:graphicFrameLocks noChangeAspect="1"/>
            </wp:cNvGraphicFramePr>
            <a:graphic>
              <a:graphicData uri="http://schemas.openxmlformats.org/drawingml/2006/picture">
                <pic:pic>
                  <pic:nvPicPr>
                    <pic:cNvPr id="54" name="image31.jpeg"/>
                    <pic:cNvPicPr/>
                  </pic:nvPicPr>
                  <pic:blipFill>
                    <a:blip r:embed="rId36" cstate="print"/>
                    <a:stretch>
                      <a:fillRect/>
                    </a:stretch>
                  </pic:blipFill>
                  <pic:spPr>
                    <a:xfrm>
                      <a:off x="0" y="0"/>
                      <a:ext cx="7184170" cy="4775930"/>
                    </a:xfrm>
                    <a:prstGeom prst="rect">
                      <a:avLst/>
                    </a:prstGeom>
                  </pic:spPr>
                </pic:pic>
              </a:graphicData>
            </a:graphic>
          </wp:anchor>
        </w:drawing>
      </w:r>
    </w:p>
    <w:p>
      <w:pPr>
        <w:pStyle w:val="BodyText"/>
        <w:spacing w:before="9" w:after="1"/>
        <w:rPr>
          <w:sz w:val="19"/>
        </w:rPr>
      </w:pPr>
    </w:p>
    <w:p>
      <w:pPr>
        <w:pStyle w:val="BodyText"/>
        <w:spacing w:line="126" w:lineRule="exact"/>
        <w:ind w:left="7055"/>
        <w:rPr>
          <w:sz w:val="12"/>
        </w:rPr>
      </w:pPr>
      <w:r>
        <w:rPr>
          <w:position w:val="-2"/>
          <w:sz w:val="12"/>
        </w:rPr>
        <w:pict>
          <v:group style="width:12.65pt;height:6.35pt;mso-position-horizontal-relative:char;mso-position-vertical-relative:line" coordorigin="0,0" coordsize="253,127">
            <v:shape style="position:absolute;left:0;top:0;width:253;height:127" coordorigin="0,0" coordsize="253,127" path="m126,0l0,126,252,126,126,0xe" filled="true" fillcolor="#a8483d" stroked="false">
              <v:path arrowok="t"/>
              <v:fill type="solid"/>
            </v:shape>
          </v:group>
        </w:pict>
      </w:r>
      <w:r>
        <w:rPr>
          <w:position w:val="-2"/>
          <w:sz w:val="12"/>
        </w:rPr>
      </w:r>
    </w:p>
    <w:p>
      <w:pPr>
        <w:spacing w:after="0" w:line="126" w:lineRule="exact"/>
        <w:rPr>
          <w:sz w:val="12"/>
        </w:rPr>
        <w:sectPr>
          <w:pgSz w:w="13100" w:h="17920"/>
          <w:pgMar w:top="1640" w:bottom="280" w:left="1620" w:right="0"/>
        </w:sectPr>
      </w:pPr>
    </w:p>
    <w:p>
      <w:pPr>
        <w:pStyle w:val="BodyText"/>
        <w:spacing w:line="268" w:lineRule="auto" w:before="57"/>
        <w:ind w:left="109"/>
        <w:jc w:val="both"/>
      </w:pPr>
      <w:r>
        <w:rPr>
          <w:color w:val="231F1F"/>
        </w:rPr>
        <w:t>Casi un año después del pronunciamiento de </w:t>
      </w:r>
      <w:r>
        <w:rPr>
          <w:color w:val="231F1F"/>
          <w:sz w:val="20"/>
        </w:rPr>
        <w:t>1810</w:t>
      </w:r>
      <w:r>
        <w:rPr>
          <w:color w:val="231F1F"/>
        </w:rPr>
        <w:t>, Morelos emitió el </w:t>
      </w:r>
      <w:r>
        <w:rPr>
          <w:color w:val="231F1F"/>
          <w:sz w:val="20"/>
        </w:rPr>
        <w:t>13  </w:t>
      </w:r>
      <w:r>
        <w:rPr>
          <w:color w:val="231F1F"/>
        </w:rPr>
        <w:t>de</w:t>
      </w:r>
      <w:r>
        <w:rPr>
          <w:color w:val="231F1F"/>
          <w:spacing w:val="-5"/>
        </w:rPr>
        <w:t> </w:t>
      </w:r>
      <w:r>
        <w:rPr>
          <w:color w:val="231F1F"/>
        </w:rPr>
        <w:t>octubre</w:t>
      </w:r>
      <w:r>
        <w:rPr>
          <w:color w:val="231F1F"/>
          <w:spacing w:val="-5"/>
        </w:rPr>
        <w:t> </w:t>
      </w:r>
      <w:r>
        <w:rPr>
          <w:color w:val="231F1F"/>
        </w:rPr>
        <w:t>de</w:t>
      </w:r>
      <w:r>
        <w:rPr>
          <w:color w:val="231F1F"/>
          <w:spacing w:val="-5"/>
        </w:rPr>
        <w:t> </w:t>
      </w:r>
      <w:r>
        <w:rPr>
          <w:color w:val="231F1F"/>
          <w:sz w:val="20"/>
        </w:rPr>
        <w:t>1811 </w:t>
      </w:r>
      <w:r>
        <w:rPr>
          <w:color w:val="231F1F"/>
        </w:rPr>
        <w:t>un</w:t>
      </w:r>
      <w:r>
        <w:rPr>
          <w:color w:val="231F1F"/>
          <w:spacing w:val="-5"/>
        </w:rPr>
        <w:t> </w:t>
      </w:r>
      <w:r>
        <w:rPr>
          <w:color w:val="231F1F"/>
        </w:rPr>
        <w:t>interesante</w:t>
      </w:r>
      <w:r>
        <w:rPr>
          <w:color w:val="231F1F"/>
          <w:spacing w:val="-5"/>
        </w:rPr>
        <w:t> </w:t>
      </w:r>
      <w:r>
        <w:rPr>
          <w:color w:val="231F1F"/>
        </w:rPr>
        <w:t>decreto</w:t>
      </w:r>
      <w:r>
        <w:rPr>
          <w:color w:val="231F1F"/>
          <w:spacing w:val="-5"/>
        </w:rPr>
        <w:t> </w:t>
      </w:r>
      <w:r>
        <w:rPr>
          <w:color w:val="231F1F"/>
        </w:rPr>
        <w:t>que</w:t>
      </w:r>
      <w:r>
        <w:rPr>
          <w:color w:val="231F1F"/>
          <w:spacing w:val="-5"/>
        </w:rPr>
        <w:t> </w:t>
      </w:r>
      <w:r>
        <w:rPr>
          <w:color w:val="231F1F"/>
        </w:rPr>
        <w:t>tenía</w:t>
      </w:r>
      <w:r>
        <w:rPr>
          <w:color w:val="231F1F"/>
          <w:spacing w:val="-5"/>
        </w:rPr>
        <w:t> </w:t>
      </w:r>
      <w:r>
        <w:rPr>
          <w:color w:val="231F1F"/>
        </w:rPr>
        <w:t>como</w:t>
      </w:r>
      <w:r>
        <w:rPr>
          <w:color w:val="231F1F"/>
          <w:spacing w:val="-5"/>
        </w:rPr>
        <w:t> </w:t>
      </w:r>
      <w:r>
        <w:rPr>
          <w:color w:val="231F1F"/>
        </w:rPr>
        <w:t>finalidad</w:t>
      </w:r>
      <w:r>
        <w:rPr>
          <w:color w:val="231F1F"/>
          <w:spacing w:val="-5"/>
        </w:rPr>
        <w:t> </w:t>
      </w:r>
      <w:r>
        <w:rPr>
          <w:color w:val="231F1F"/>
        </w:rPr>
        <w:t>frenar la insubordinación, la guerra de castas y la rapiña entre los simpatizantes   y las dirigencias intermedias de la insurgencia. El Caudillo del Sur tuvo   que trasladarse de emergencia a la flamante ciudad de Nuestra Señora   de Guadalupe, capital de la provincia de Tecpan,  para  sofocar  </w:t>
      </w:r>
      <w:r>
        <w:rPr>
          <w:color w:val="231F1F"/>
          <w:spacing w:val="2"/>
        </w:rPr>
        <w:t>una  </w:t>
      </w:r>
      <w:r>
        <w:rPr>
          <w:color w:val="231F1F"/>
        </w:rPr>
        <w:t>guerra  de  castas  provocada  por  la  impertinencia  de  algunos</w:t>
      </w:r>
      <w:r>
        <w:rPr>
          <w:color w:val="231F1F"/>
          <w:spacing w:val="-9"/>
        </w:rPr>
        <w:t> </w:t>
      </w:r>
      <w:r>
        <w:rPr>
          <w:color w:val="231F1F"/>
        </w:rPr>
        <w:t>dirigentes</w:t>
      </w:r>
    </w:p>
    <w:p>
      <w:pPr>
        <w:pStyle w:val="ListParagraph"/>
        <w:numPr>
          <w:ilvl w:val="0"/>
          <w:numId w:val="2"/>
        </w:numPr>
        <w:tabs>
          <w:tab w:pos="276" w:val="left" w:leader="none"/>
        </w:tabs>
        <w:spacing w:line="240" w:lineRule="auto" w:before="112" w:after="0"/>
        <w:ind w:left="109" w:right="2936" w:firstLine="0"/>
        <w:jc w:val="left"/>
        <w:rPr>
          <w:sz w:val="16"/>
        </w:rPr>
      </w:pPr>
      <w:r>
        <w:rPr>
          <w:color w:val="383434"/>
          <w:w w:val="100"/>
          <w:sz w:val="16"/>
        </w:rPr>
        <w:br w:type="column"/>
      </w:r>
      <w:r>
        <w:rPr>
          <w:color w:val="383434"/>
          <w:sz w:val="16"/>
        </w:rPr>
        <w:t>Plaza central de Oaxaca, capital de la insurgencia</w:t>
      </w:r>
    </w:p>
    <w:p>
      <w:pPr>
        <w:spacing w:line="192" w:lineRule="exact" w:before="0"/>
        <w:ind w:left="109" w:right="0" w:firstLine="0"/>
        <w:jc w:val="left"/>
        <w:rPr>
          <w:rFonts w:ascii="Tahoma"/>
          <w:sz w:val="16"/>
        </w:rPr>
      </w:pPr>
      <w:r>
        <w:rPr/>
        <w:pict>
          <v:line style="position:absolute;mso-position-horizontal-relative:page;mso-position-vertical-relative:paragraph;z-index:2296" from="433.757996pt,19.535656pt" to="523.048996pt,19.535656pt" stroked="true" strokeweight=".5pt" strokecolor="#a8483d">
            <w10:wrap type="none"/>
          </v:line>
        </w:pict>
      </w:r>
      <w:r>
        <w:rPr>
          <w:rFonts w:ascii="Tahoma"/>
          <w:color w:val="383434"/>
          <w:sz w:val="16"/>
        </w:rPr>
        <w:t>en 1813.</w:t>
      </w:r>
    </w:p>
    <w:p>
      <w:pPr>
        <w:spacing w:after="0" w:line="192" w:lineRule="exact"/>
        <w:jc w:val="left"/>
        <w:rPr>
          <w:rFonts w:ascii="Tahoma"/>
          <w:sz w:val="16"/>
        </w:rPr>
        <w:sectPr>
          <w:type w:val="continuous"/>
          <w:pgSz w:w="13100" w:h="17920"/>
          <w:pgMar w:top="0" w:bottom="0" w:left="1620" w:right="0"/>
          <w:cols w:num="2" w:equalWidth="0">
            <w:col w:w="6778" w:space="168"/>
            <w:col w:w="4534"/>
          </w:cols>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1"/>
        <w:rPr>
          <w:rFonts w:ascii="Tahoma"/>
          <w:sz w:val="24"/>
        </w:rPr>
      </w:pPr>
    </w:p>
    <w:p>
      <w:pPr>
        <w:spacing w:after="0"/>
        <w:rPr>
          <w:rFonts w:ascii="Tahoma"/>
          <w:sz w:val="24"/>
        </w:rPr>
        <w:sectPr>
          <w:type w:val="continuous"/>
          <w:pgSz w:w="13100" w:h="17920"/>
          <w:pgMar w:top="0" w:bottom="0" w:left="1620" w:right="0"/>
        </w:sectPr>
      </w:pPr>
    </w:p>
    <w:p>
      <w:pPr>
        <w:spacing w:line="194" w:lineRule="exact" w:before="79"/>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109</w:t>
      </w:r>
    </w:p>
    <w:p>
      <w:pPr>
        <w:spacing w:after="0"/>
        <w:jc w:val="left"/>
        <w:rPr>
          <w:sz w:val="18"/>
        </w:rPr>
        <w:sectPr>
          <w:type w:val="continuous"/>
          <w:pgSz w:w="13100" w:h="17920"/>
          <w:pgMar w:top="0" w:bottom="0" w:left="1620" w:right="0"/>
          <w:cols w:num="2" w:equalWidth="0">
            <w:col w:w="8413" w:space="40"/>
            <w:col w:w="3027"/>
          </w:cols>
        </w:sectPr>
      </w:pPr>
    </w:p>
    <w:p>
      <w:pPr>
        <w:pStyle w:val="BodyText"/>
        <w:tabs>
          <w:tab w:pos="3885" w:val="left" w:leader="none"/>
        </w:tabs>
        <w:spacing w:line="268" w:lineRule="auto" w:before="29"/>
        <w:ind w:left="3885" w:right="1721" w:hanging="3552"/>
        <w:jc w:val="both"/>
      </w:pPr>
      <w:r>
        <w:rPr/>
        <w:drawing>
          <wp:anchor distT="0" distB="0" distL="0" distR="0" allowOverlap="1" layoutInCell="1" locked="0" behindDoc="1" simplePos="0" relativeHeight="268361111">
            <wp:simplePos x="0" y="0"/>
            <wp:positionH relativeFrom="page">
              <wp:posOffset>589533</wp:posOffset>
            </wp:positionH>
            <wp:positionV relativeFrom="paragraph">
              <wp:posOffset>362513</wp:posOffset>
            </wp:positionV>
            <wp:extent cx="522296" cy="457949"/>
            <wp:effectExtent l="0" t="0" r="0" b="0"/>
            <wp:wrapNone/>
            <wp:docPr id="55" name="image24.png" descr=""/>
            <wp:cNvGraphicFramePr>
              <a:graphicFrameLocks noChangeAspect="1"/>
            </wp:cNvGraphicFramePr>
            <a:graphic>
              <a:graphicData uri="http://schemas.openxmlformats.org/drawingml/2006/picture">
                <pic:pic>
                  <pic:nvPicPr>
                    <pic:cNvPr id="56"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73346pt;width:11pt;height:76.350pt;mso-position-horizontal-relative:page;mso-position-vertical-relative:paragraph;z-index:-74320"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4"/>
          <w:sz w:val="18"/>
        </w:rPr>
        <w:t>110</w:t>
        <w:tab/>
      </w:r>
      <w:r>
        <w:rPr>
          <w:color w:val="231F1F"/>
        </w:rPr>
        <w:t>insurgentes y por la insubordinación de los inferiores, compuestos </w:t>
      </w:r>
      <w:r>
        <w:rPr>
          <w:color w:val="231F1F"/>
          <w:spacing w:val="11"/>
        </w:rPr>
        <w:t> </w:t>
      </w:r>
      <w:r>
        <w:rPr>
          <w:color w:val="231F1F"/>
        </w:rPr>
        <w:t>los</w:t>
      </w:r>
      <w:r>
        <w:rPr>
          <w:color w:val="231F1F"/>
          <w:spacing w:val="6"/>
        </w:rPr>
        <w:t> </w:t>
      </w:r>
      <w:r>
        <w:rPr>
          <w:color w:val="231F1F"/>
        </w:rPr>
        <w:t>pri-</w:t>
      </w:r>
      <w:r>
        <w:rPr>
          <w:color w:val="231F1F"/>
          <w:w w:val="62"/>
        </w:rPr>
        <w:t> </w:t>
      </w:r>
      <w:r>
        <w:rPr>
          <w:color w:val="231F1F"/>
        </w:rPr>
        <w:t>meros</w:t>
      </w:r>
      <w:r>
        <w:rPr>
          <w:color w:val="231F1F"/>
          <w:spacing w:val="-6"/>
        </w:rPr>
        <w:t> </w:t>
      </w:r>
      <w:r>
        <w:rPr>
          <w:color w:val="231F1F"/>
        </w:rPr>
        <w:t>por</w:t>
      </w:r>
      <w:r>
        <w:rPr>
          <w:color w:val="231F1F"/>
          <w:spacing w:val="-6"/>
        </w:rPr>
        <w:t> </w:t>
      </w:r>
      <w:r>
        <w:rPr>
          <w:color w:val="231F1F"/>
        </w:rPr>
        <w:t>criollos</w:t>
      </w:r>
      <w:r>
        <w:rPr>
          <w:color w:val="231F1F"/>
          <w:spacing w:val="-6"/>
        </w:rPr>
        <w:t> </w:t>
      </w:r>
      <w:r>
        <w:rPr>
          <w:color w:val="231F1F"/>
        </w:rPr>
        <w:t>o</w:t>
      </w:r>
      <w:r>
        <w:rPr>
          <w:color w:val="231F1F"/>
          <w:spacing w:val="-6"/>
        </w:rPr>
        <w:t> </w:t>
      </w:r>
      <w:r>
        <w:rPr>
          <w:color w:val="231F1F"/>
        </w:rPr>
        <w:t>“blancos”</w:t>
      </w:r>
      <w:r>
        <w:rPr>
          <w:color w:val="231F1F"/>
          <w:spacing w:val="-6"/>
        </w:rPr>
        <w:t> </w:t>
      </w:r>
      <w:r>
        <w:rPr>
          <w:color w:val="231F1F"/>
        </w:rPr>
        <w:t>y</w:t>
      </w:r>
      <w:r>
        <w:rPr>
          <w:color w:val="231F1F"/>
          <w:spacing w:val="-6"/>
        </w:rPr>
        <w:t> </w:t>
      </w:r>
      <w:r>
        <w:rPr>
          <w:color w:val="231F1F"/>
        </w:rPr>
        <w:t>los</w:t>
      </w:r>
      <w:r>
        <w:rPr>
          <w:color w:val="231F1F"/>
          <w:spacing w:val="-6"/>
        </w:rPr>
        <w:t> </w:t>
      </w:r>
      <w:r>
        <w:rPr>
          <w:color w:val="231F1F"/>
        </w:rPr>
        <w:t>últimos</w:t>
      </w:r>
      <w:r>
        <w:rPr>
          <w:color w:val="231F1F"/>
          <w:spacing w:val="-6"/>
        </w:rPr>
        <w:t> </w:t>
      </w:r>
      <w:r>
        <w:rPr>
          <w:color w:val="231F1F"/>
        </w:rPr>
        <w:t>en</w:t>
      </w:r>
      <w:r>
        <w:rPr>
          <w:color w:val="231F1F"/>
          <w:spacing w:val="-6"/>
        </w:rPr>
        <w:t> </w:t>
      </w:r>
      <w:r>
        <w:rPr>
          <w:color w:val="231F1F"/>
        </w:rPr>
        <w:t>su</w:t>
      </w:r>
      <w:r>
        <w:rPr>
          <w:color w:val="231F1F"/>
          <w:spacing w:val="-6"/>
        </w:rPr>
        <w:t> </w:t>
      </w:r>
      <w:r>
        <w:rPr>
          <w:color w:val="231F1F"/>
        </w:rPr>
        <w:t>mayoría</w:t>
      </w:r>
      <w:r>
        <w:rPr>
          <w:color w:val="231F1F"/>
          <w:spacing w:val="-6"/>
        </w:rPr>
        <w:t> </w:t>
      </w:r>
      <w:r>
        <w:rPr>
          <w:color w:val="231F1F"/>
        </w:rPr>
        <w:t>por</w:t>
      </w:r>
      <w:r>
        <w:rPr>
          <w:color w:val="231F1F"/>
          <w:spacing w:val="-6"/>
        </w:rPr>
        <w:t> </w:t>
      </w:r>
      <w:r>
        <w:rPr>
          <w:color w:val="231F1F"/>
        </w:rPr>
        <w:t>afromestizos e indígenas de la zona, o sea, “castas”. En este valioso documento, el    líder del sur señalaba de manera clara que la intención del movimiento insurgente era la sustitución de los gobernantes europeos por los criollos americanos, con la finalidad de salvaguardar los derechos del rey Fernan- do </w:t>
      </w:r>
      <w:r>
        <w:rPr>
          <w:color w:val="231F1F"/>
          <w:sz w:val="18"/>
        </w:rPr>
        <w:t>VII</w:t>
      </w:r>
      <w:r>
        <w:rPr>
          <w:color w:val="231F1F"/>
        </w:rPr>
        <w:t>, y que de ninguna manera se trataba de que las castas buscaran destruir o aniquilar a todos los criollos “blancos”, sino de establecer una sociedad de convivencia pacífica entre todos los llamados “americanos”. Incluso, les recuerda a las castas insubordinadas que fueron los “blancos” quienes primero representaron al reino y también los primeros en tomar las armas en defensa de los naturales de los pueblos y demás castas. Ese hecho era suficiente para reconocerles ese mérito y otorgarles gratitud y no odio como se  </w:t>
      </w:r>
      <w:r>
        <w:rPr>
          <w:color w:val="231F1F"/>
          <w:spacing w:val="16"/>
        </w:rPr>
        <w:t> </w:t>
      </w:r>
      <w:r>
        <w:rPr>
          <w:color w:val="231F1F"/>
        </w:rPr>
        <w:t>pretendía.</w:t>
      </w:r>
    </w:p>
    <w:p>
      <w:pPr>
        <w:pStyle w:val="BodyText"/>
        <w:spacing w:before="8"/>
        <w:rPr>
          <w:sz w:val="27"/>
        </w:rPr>
      </w:pPr>
    </w:p>
    <w:p>
      <w:pPr>
        <w:spacing w:line="276" w:lineRule="auto" w:before="1"/>
        <w:ind w:left="5019" w:right="1725" w:firstLine="0"/>
        <w:jc w:val="both"/>
        <w:rPr>
          <w:sz w:val="20"/>
        </w:rPr>
      </w:pPr>
      <w:r>
        <w:rPr>
          <w:color w:val="383434"/>
          <w:sz w:val="20"/>
        </w:rPr>
        <w:t>Que nuestro sistema sólo se encamina a que el gobierno político y militar que reside en los europeos, recaiga en los criollos, quienes guardarán mejor los derechos del señor don Fernando </w:t>
      </w:r>
      <w:r>
        <w:rPr>
          <w:color w:val="383434"/>
          <w:sz w:val="16"/>
        </w:rPr>
        <w:t>VII</w:t>
      </w:r>
      <w:r>
        <w:rPr>
          <w:color w:val="383434"/>
          <w:sz w:val="20"/>
        </w:rPr>
        <w:t>; y en con- secuencia, de que no haya distinción de calidades, sino que todos generalmente nos nombremos americanos, para que mirándonos como hermanos vivamos en la santa paz […], que no hay motivo para que las que se llaman castas quieran destruirse unos con</w:t>
      </w:r>
      <w:r>
        <w:rPr>
          <w:color w:val="383434"/>
          <w:spacing w:val="-12"/>
          <w:sz w:val="20"/>
        </w:rPr>
        <w:t> </w:t>
      </w:r>
      <w:r>
        <w:rPr>
          <w:color w:val="383434"/>
          <w:sz w:val="20"/>
        </w:rPr>
        <w:t>otros, los</w:t>
      </w:r>
      <w:r>
        <w:rPr>
          <w:color w:val="383434"/>
          <w:spacing w:val="-7"/>
          <w:sz w:val="20"/>
        </w:rPr>
        <w:t> </w:t>
      </w:r>
      <w:r>
        <w:rPr>
          <w:color w:val="383434"/>
          <w:sz w:val="20"/>
        </w:rPr>
        <w:t>blancos</w:t>
      </w:r>
      <w:r>
        <w:rPr>
          <w:color w:val="383434"/>
          <w:spacing w:val="-7"/>
          <w:sz w:val="20"/>
        </w:rPr>
        <w:t> </w:t>
      </w:r>
      <w:r>
        <w:rPr>
          <w:color w:val="383434"/>
          <w:sz w:val="20"/>
        </w:rPr>
        <w:t>contra</w:t>
      </w:r>
      <w:r>
        <w:rPr>
          <w:color w:val="383434"/>
          <w:spacing w:val="-7"/>
          <w:sz w:val="20"/>
        </w:rPr>
        <w:t> </w:t>
      </w:r>
      <w:r>
        <w:rPr>
          <w:color w:val="383434"/>
          <w:sz w:val="20"/>
        </w:rPr>
        <w:t>los</w:t>
      </w:r>
      <w:r>
        <w:rPr>
          <w:color w:val="383434"/>
          <w:spacing w:val="-7"/>
          <w:sz w:val="20"/>
        </w:rPr>
        <w:t> </w:t>
      </w:r>
      <w:r>
        <w:rPr>
          <w:color w:val="383434"/>
          <w:sz w:val="20"/>
        </w:rPr>
        <w:t>negros,</w:t>
      </w:r>
      <w:r>
        <w:rPr>
          <w:color w:val="383434"/>
          <w:spacing w:val="-7"/>
          <w:sz w:val="20"/>
        </w:rPr>
        <w:t> </w:t>
      </w:r>
      <w:r>
        <w:rPr>
          <w:color w:val="383434"/>
          <w:sz w:val="20"/>
        </w:rPr>
        <w:t>o</w:t>
      </w:r>
      <w:r>
        <w:rPr>
          <w:color w:val="383434"/>
          <w:spacing w:val="-7"/>
          <w:sz w:val="20"/>
        </w:rPr>
        <w:t> </w:t>
      </w:r>
      <w:r>
        <w:rPr>
          <w:color w:val="383434"/>
          <w:sz w:val="20"/>
        </w:rPr>
        <w:t>éstos</w:t>
      </w:r>
      <w:r>
        <w:rPr>
          <w:color w:val="383434"/>
          <w:spacing w:val="-7"/>
          <w:sz w:val="20"/>
        </w:rPr>
        <w:t> </w:t>
      </w:r>
      <w:r>
        <w:rPr>
          <w:color w:val="383434"/>
          <w:sz w:val="20"/>
        </w:rPr>
        <w:t>contra</w:t>
      </w:r>
      <w:r>
        <w:rPr>
          <w:color w:val="383434"/>
          <w:spacing w:val="-7"/>
          <w:sz w:val="20"/>
        </w:rPr>
        <w:t> </w:t>
      </w:r>
      <w:r>
        <w:rPr>
          <w:color w:val="383434"/>
          <w:sz w:val="20"/>
        </w:rPr>
        <w:t>los</w:t>
      </w:r>
      <w:r>
        <w:rPr>
          <w:color w:val="383434"/>
          <w:spacing w:val="-7"/>
          <w:sz w:val="20"/>
        </w:rPr>
        <w:t> </w:t>
      </w:r>
      <w:r>
        <w:rPr>
          <w:color w:val="383434"/>
          <w:sz w:val="20"/>
        </w:rPr>
        <w:t>naturales,</w:t>
      </w:r>
      <w:r>
        <w:rPr>
          <w:color w:val="383434"/>
          <w:spacing w:val="-7"/>
          <w:sz w:val="20"/>
        </w:rPr>
        <w:t> </w:t>
      </w:r>
      <w:r>
        <w:rPr>
          <w:color w:val="383434"/>
          <w:sz w:val="20"/>
        </w:rPr>
        <w:t>pues</w:t>
      </w:r>
      <w:r>
        <w:rPr>
          <w:color w:val="383434"/>
          <w:spacing w:val="-7"/>
          <w:sz w:val="20"/>
        </w:rPr>
        <w:t> </w:t>
      </w:r>
      <w:r>
        <w:rPr>
          <w:color w:val="383434"/>
          <w:sz w:val="20"/>
        </w:rPr>
        <w:t>sería el yerro mayor que podían cometer los hombres, cuyo hecho no   ha tenido ejemplar en todos los siglos y naciones, y mucho menos debíamos permitirlo en la presente época, porque sería la causa    de nuestra total perdición, espiritual y </w:t>
      </w:r>
      <w:r>
        <w:rPr>
          <w:color w:val="383434"/>
          <w:spacing w:val="6"/>
          <w:sz w:val="20"/>
        </w:rPr>
        <w:t> </w:t>
      </w:r>
      <w:r>
        <w:rPr>
          <w:color w:val="383434"/>
          <w:sz w:val="20"/>
        </w:rPr>
        <w:t>temporal.</w:t>
      </w:r>
    </w:p>
    <w:p>
      <w:pPr>
        <w:pStyle w:val="BodyText"/>
        <w:spacing w:before="9"/>
        <w:rPr>
          <w:sz w:val="27"/>
        </w:rPr>
      </w:pPr>
    </w:p>
    <w:p>
      <w:pPr>
        <w:spacing w:line="276" w:lineRule="auto" w:before="1"/>
        <w:ind w:left="5019" w:right="1725" w:firstLine="0"/>
        <w:jc w:val="both"/>
        <w:rPr>
          <w:sz w:val="20"/>
        </w:rPr>
      </w:pPr>
      <w:r>
        <w:rPr>
          <w:color w:val="383434"/>
          <w:sz w:val="20"/>
        </w:rPr>
        <w:t>Que siendo los blancos los primeros representantes del reino y los primeros que tomaron las armas en defensa de los naturales de    los pueblos y demás castas, uniformándose con ello, deben ser los blancos por este mérito el objeto de nuestra gratitud y no del odio que</w:t>
      </w:r>
      <w:r>
        <w:rPr>
          <w:color w:val="383434"/>
          <w:spacing w:val="30"/>
          <w:sz w:val="20"/>
        </w:rPr>
        <w:t> </w:t>
      </w:r>
      <w:r>
        <w:rPr>
          <w:color w:val="383434"/>
          <w:sz w:val="20"/>
        </w:rPr>
        <w:t>se</w:t>
      </w:r>
      <w:r>
        <w:rPr>
          <w:color w:val="383434"/>
          <w:spacing w:val="30"/>
          <w:sz w:val="20"/>
        </w:rPr>
        <w:t> </w:t>
      </w:r>
      <w:r>
        <w:rPr>
          <w:color w:val="383434"/>
          <w:sz w:val="20"/>
        </w:rPr>
        <w:t>quiere</w:t>
      </w:r>
      <w:r>
        <w:rPr>
          <w:color w:val="383434"/>
          <w:spacing w:val="30"/>
          <w:sz w:val="20"/>
        </w:rPr>
        <w:t> </w:t>
      </w:r>
      <w:r>
        <w:rPr>
          <w:color w:val="383434"/>
          <w:sz w:val="20"/>
        </w:rPr>
        <w:t>formar</w:t>
      </w:r>
      <w:r>
        <w:rPr>
          <w:color w:val="383434"/>
          <w:spacing w:val="30"/>
          <w:sz w:val="20"/>
        </w:rPr>
        <w:t> </w:t>
      </w:r>
      <w:r>
        <w:rPr>
          <w:color w:val="383434"/>
          <w:sz w:val="20"/>
        </w:rPr>
        <w:t>contra</w:t>
      </w:r>
      <w:r>
        <w:rPr>
          <w:color w:val="383434"/>
          <w:spacing w:val="30"/>
          <w:sz w:val="20"/>
        </w:rPr>
        <w:t> </w:t>
      </w:r>
      <w:r>
        <w:rPr>
          <w:color w:val="383434"/>
          <w:sz w:val="20"/>
        </w:rPr>
        <w:t>ellos</w:t>
      </w:r>
      <w:r>
        <w:rPr>
          <w:color w:val="383434"/>
          <w:spacing w:val="30"/>
          <w:sz w:val="20"/>
        </w:rPr>
        <w:t> </w:t>
      </w:r>
      <w:r>
        <w:rPr>
          <w:color w:val="383434"/>
          <w:sz w:val="20"/>
        </w:rPr>
        <w:t>(Herrejón,</w:t>
      </w:r>
      <w:r>
        <w:rPr>
          <w:color w:val="383434"/>
          <w:spacing w:val="30"/>
          <w:sz w:val="20"/>
        </w:rPr>
        <w:t> </w:t>
      </w:r>
      <w:r>
        <w:rPr>
          <w:color w:val="383434"/>
          <w:sz w:val="18"/>
        </w:rPr>
        <w:t>1985:</w:t>
      </w:r>
      <w:r>
        <w:rPr>
          <w:color w:val="383434"/>
          <w:spacing w:val="27"/>
          <w:sz w:val="18"/>
        </w:rPr>
        <w:t> </w:t>
      </w:r>
      <w:r>
        <w:rPr>
          <w:color w:val="383434"/>
          <w:sz w:val="18"/>
        </w:rPr>
        <w:t>70-72</w:t>
      </w:r>
      <w:r>
        <w:rPr>
          <w:color w:val="383434"/>
          <w:sz w:val="20"/>
        </w:rPr>
        <w:t>).</w:t>
      </w:r>
    </w:p>
    <w:p>
      <w:pPr>
        <w:pStyle w:val="BodyText"/>
        <w:rPr>
          <w:sz w:val="20"/>
        </w:rPr>
      </w:pPr>
    </w:p>
    <w:p>
      <w:pPr>
        <w:pStyle w:val="BodyText"/>
        <w:spacing w:line="268" w:lineRule="auto" w:before="153"/>
        <w:ind w:left="3885" w:right="1719"/>
        <w:jc w:val="both"/>
      </w:pPr>
      <w:r>
        <w:rPr>
          <w:color w:val="231F1F"/>
        </w:rPr>
        <w:t>Después de esto, se enlistan, tanto en los decretos de </w:t>
      </w:r>
      <w:r>
        <w:rPr>
          <w:color w:val="231F1F"/>
          <w:sz w:val="20"/>
        </w:rPr>
        <w:t>1811 </w:t>
      </w:r>
      <w:r>
        <w:rPr>
          <w:color w:val="231F1F"/>
        </w:rPr>
        <w:t>y </w:t>
      </w:r>
      <w:r>
        <w:rPr>
          <w:color w:val="231F1F"/>
          <w:sz w:val="20"/>
        </w:rPr>
        <w:t>1813 </w:t>
      </w:r>
      <w:r>
        <w:rPr>
          <w:color w:val="231F1F"/>
        </w:rPr>
        <w:t>ci- tados, las medidas que deberían ser </w:t>
      </w:r>
      <w:r>
        <w:rPr>
          <w:color w:val="231F1F"/>
          <w:spacing w:val="2"/>
        </w:rPr>
        <w:t>observadas </w:t>
      </w:r>
      <w:r>
        <w:rPr>
          <w:color w:val="231F1F"/>
        </w:rPr>
        <w:t>para evitar y prevenir nuevos brotes de violencia entre los grupos sociales insurgentes. Entre </w:t>
      </w:r>
      <w:r>
        <w:rPr>
          <w:color w:val="231F1F"/>
          <w:spacing w:val="2"/>
        </w:rPr>
        <w:t>otras, </w:t>
      </w:r>
      <w:r>
        <w:rPr>
          <w:color w:val="231F1F"/>
        </w:rPr>
        <w:t>que </w:t>
      </w:r>
      <w:r>
        <w:rPr>
          <w:color w:val="231F1F"/>
          <w:spacing w:val="2"/>
        </w:rPr>
        <w:t>oficiales, jueces </w:t>
      </w:r>
      <w:r>
        <w:rPr>
          <w:color w:val="231F1F"/>
        </w:rPr>
        <w:t>o </w:t>
      </w:r>
      <w:r>
        <w:rPr>
          <w:color w:val="231F1F"/>
          <w:spacing w:val="2"/>
        </w:rPr>
        <w:t>comisionados </w:t>
      </w:r>
      <w:r>
        <w:rPr>
          <w:color w:val="231F1F"/>
        </w:rPr>
        <w:t>no se </w:t>
      </w:r>
      <w:r>
        <w:rPr>
          <w:color w:val="231F1F"/>
          <w:spacing w:val="2"/>
        </w:rPr>
        <w:t>excediesen </w:t>
      </w:r>
      <w:r>
        <w:rPr>
          <w:color w:val="231F1F"/>
        </w:rPr>
        <w:t>en </w:t>
      </w:r>
      <w:r>
        <w:rPr>
          <w:color w:val="231F1F"/>
          <w:spacing w:val="3"/>
        </w:rPr>
        <w:t>sus </w:t>
      </w:r>
      <w:r>
        <w:rPr>
          <w:color w:val="231F1F"/>
        </w:rPr>
        <w:t>funciones ni que los inferiores tomasen venganza o hicieran alborotos </w:t>
      </w:r>
      <w:r>
        <w:rPr>
          <w:color w:val="231F1F"/>
          <w:spacing w:val="2"/>
        </w:rPr>
        <w:t>contra </w:t>
      </w:r>
      <w:r>
        <w:rPr>
          <w:color w:val="231F1F"/>
        </w:rPr>
        <w:t>los </w:t>
      </w:r>
      <w:r>
        <w:rPr>
          <w:color w:val="231F1F"/>
          <w:spacing w:val="2"/>
        </w:rPr>
        <w:t>superiores. </w:t>
      </w:r>
      <w:r>
        <w:rPr>
          <w:color w:val="231F1F"/>
        </w:rPr>
        <w:t>En </w:t>
      </w:r>
      <w:r>
        <w:rPr>
          <w:color w:val="231F1F"/>
          <w:spacing w:val="2"/>
        </w:rPr>
        <w:t>cualquiera </w:t>
      </w:r>
      <w:r>
        <w:rPr>
          <w:color w:val="231F1F"/>
        </w:rPr>
        <w:t>de los </w:t>
      </w:r>
      <w:r>
        <w:rPr>
          <w:color w:val="231F1F"/>
          <w:spacing w:val="2"/>
        </w:rPr>
        <w:t>casos </w:t>
      </w:r>
      <w:r>
        <w:rPr>
          <w:color w:val="231F1F"/>
        </w:rPr>
        <w:t>que se </w:t>
      </w:r>
      <w:r>
        <w:rPr>
          <w:color w:val="231F1F"/>
          <w:spacing w:val="3"/>
        </w:rPr>
        <w:t>cometiesen </w:t>
      </w:r>
      <w:r>
        <w:rPr>
          <w:color w:val="231F1F"/>
        </w:rPr>
        <w:t>delitos, excesos o infracciones a la </w:t>
      </w:r>
      <w:r>
        <w:rPr>
          <w:color w:val="231F1F"/>
          <w:spacing w:val="-3"/>
        </w:rPr>
        <w:t>ley,  </w:t>
      </w:r>
      <w:r>
        <w:rPr>
          <w:color w:val="231F1F"/>
        </w:rPr>
        <w:t>se les ordenaba que acudieran        a la “superioridad legítima y autorizada” para que resolviese lo condu- cente y evitar que alguno hiciera justicia por su propia mano. Además,     se</w:t>
      </w:r>
      <w:r>
        <w:rPr>
          <w:color w:val="231F1F"/>
          <w:spacing w:val="40"/>
        </w:rPr>
        <w:t> </w:t>
      </w:r>
      <w:r>
        <w:rPr>
          <w:color w:val="231F1F"/>
        </w:rPr>
        <w:t>dejaba</w:t>
      </w:r>
      <w:r>
        <w:rPr>
          <w:color w:val="231F1F"/>
          <w:spacing w:val="40"/>
        </w:rPr>
        <w:t> </w:t>
      </w:r>
      <w:r>
        <w:rPr>
          <w:color w:val="231F1F"/>
        </w:rPr>
        <w:t>muy</w:t>
      </w:r>
      <w:r>
        <w:rPr>
          <w:color w:val="231F1F"/>
          <w:spacing w:val="40"/>
        </w:rPr>
        <w:t> </w:t>
      </w:r>
      <w:r>
        <w:rPr>
          <w:color w:val="231F1F"/>
        </w:rPr>
        <w:t>claro</w:t>
      </w:r>
      <w:r>
        <w:rPr>
          <w:color w:val="231F1F"/>
          <w:spacing w:val="40"/>
        </w:rPr>
        <w:t> </w:t>
      </w:r>
      <w:r>
        <w:rPr>
          <w:color w:val="231F1F"/>
        </w:rPr>
        <w:t>que</w:t>
      </w:r>
      <w:r>
        <w:rPr>
          <w:color w:val="231F1F"/>
          <w:spacing w:val="40"/>
        </w:rPr>
        <w:t> </w:t>
      </w:r>
      <w:r>
        <w:rPr>
          <w:color w:val="231F1F"/>
        </w:rPr>
        <w:t>el</w:t>
      </w:r>
      <w:r>
        <w:rPr>
          <w:color w:val="231F1F"/>
          <w:spacing w:val="40"/>
        </w:rPr>
        <w:t> </w:t>
      </w:r>
      <w:r>
        <w:rPr>
          <w:color w:val="231F1F"/>
        </w:rPr>
        <w:t>movimiento</w:t>
      </w:r>
      <w:r>
        <w:rPr>
          <w:color w:val="231F1F"/>
          <w:spacing w:val="40"/>
        </w:rPr>
        <w:t> </w:t>
      </w:r>
      <w:r>
        <w:rPr>
          <w:color w:val="231F1F"/>
        </w:rPr>
        <w:t>de</w:t>
      </w:r>
      <w:r>
        <w:rPr>
          <w:color w:val="231F1F"/>
          <w:spacing w:val="40"/>
        </w:rPr>
        <w:t> </w:t>
      </w:r>
      <w:r>
        <w:rPr>
          <w:color w:val="231F1F"/>
        </w:rPr>
        <w:t>insurgencia</w:t>
      </w:r>
      <w:r>
        <w:rPr>
          <w:color w:val="231F1F"/>
          <w:spacing w:val="40"/>
        </w:rPr>
        <w:t> </w:t>
      </w:r>
      <w:r>
        <w:rPr>
          <w:color w:val="231F1F"/>
        </w:rPr>
        <w:t>no</w:t>
      </w:r>
      <w:r>
        <w:rPr>
          <w:color w:val="231F1F"/>
          <w:spacing w:val="40"/>
        </w:rPr>
        <w:t> </w:t>
      </w:r>
      <w:r>
        <w:rPr>
          <w:color w:val="231F1F"/>
        </w:rPr>
        <w:t>tenía</w:t>
      </w:r>
      <w:r>
        <w:rPr>
          <w:color w:val="231F1F"/>
          <w:spacing w:val="40"/>
        </w:rPr>
        <w:t> </w:t>
      </w:r>
      <w:r>
        <w:rPr>
          <w:color w:val="231F1F"/>
        </w:rPr>
        <w:t>como</w:t>
      </w:r>
    </w:p>
    <w:p>
      <w:pPr>
        <w:spacing w:after="0" w:line="268" w:lineRule="auto"/>
        <w:jc w:val="both"/>
        <w:sectPr>
          <w:pgSz w:w="13100" w:h="17920"/>
          <w:pgMar w:top="1660" w:bottom="280" w:left="820" w:right="0"/>
        </w:sectPr>
      </w:pPr>
    </w:p>
    <w:p>
      <w:pPr>
        <w:pStyle w:val="BodyText"/>
        <w:spacing w:line="268" w:lineRule="auto" w:before="40"/>
        <w:ind w:left="109" w:right="473"/>
        <w:jc w:val="both"/>
      </w:pPr>
      <w:r>
        <w:rPr>
          <w:color w:val="231F1F"/>
          <w:w w:val="105"/>
        </w:rPr>
        <w:t>finalidad la lucha entre “ricos” y “pobres” ni se trataba de despojar a los primeros de sus </w:t>
      </w:r>
      <w:r>
        <w:rPr>
          <w:color w:val="231F1F"/>
          <w:spacing w:val="2"/>
          <w:w w:val="105"/>
        </w:rPr>
        <w:t>bienes </w:t>
      </w:r>
      <w:r>
        <w:rPr>
          <w:color w:val="231F1F"/>
          <w:w w:val="105"/>
        </w:rPr>
        <w:t>o propiedades, porque de permitirse esto último iría contra todo derecho, en especial contra la ley divina que prohíbe </w:t>
      </w:r>
      <w:r>
        <w:rPr>
          <w:color w:val="231F1F"/>
          <w:spacing w:val="2"/>
          <w:w w:val="105"/>
        </w:rPr>
        <w:t>hurtar </w:t>
      </w:r>
      <w:r>
        <w:rPr>
          <w:color w:val="231F1F"/>
          <w:w w:val="105"/>
        </w:rPr>
        <w:t>y robar lo ajeno contra la voluntad de su dueño. Y que si hubiera algunos de estos ricos, españoles o criollos, que cometiesen delitos graves, debería procederse contra ellos acudiendo a la justicia superior, </w:t>
      </w:r>
      <w:r>
        <w:rPr>
          <w:color w:val="231F1F"/>
          <w:spacing w:val="2"/>
          <w:w w:val="105"/>
        </w:rPr>
        <w:t>observando </w:t>
      </w:r>
      <w:r>
        <w:rPr>
          <w:color w:val="231F1F"/>
          <w:w w:val="105"/>
        </w:rPr>
        <w:t>siempre el orden y las reglas debidas, para que en todo caso se pudiera efectuar el embargo de sus bienes. Es decir, en el concepto de Morelos la insurgencia debería proceder siempre de manera irrestricta conforme al derecho, </w:t>
      </w:r>
      <w:r>
        <w:rPr>
          <w:color w:val="231F1F"/>
          <w:spacing w:val="2"/>
          <w:w w:val="105"/>
        </w:rPr>
        <w:t>las </w:t>
      </w:r>
      <w:r>
        <w:rPr>
          <w:color w:val="231F1F"/>
          <w:w w:val="105"/>
        </w:rPr>
        <w:t>reglas y las leyes ante las instancias o instituciones autorizadas para ello. Debía evitarse así la anarquía, el caos, la rapiña y la lucha fratricida entre todos los habitantes del reino, incluyendo</w:t>
      </w:r>
      <w:r>
        <w:rPr>
          <w:color w:val="231F1F"/>
          <w:spacing w:val="-36"/>
          <w:w w:val="105"/>
        </w:rPr>
        <w:t> </w:t>
      </w:r>
      <w:r>
        <w:rPr>
          <w:color w:val="231F1F"/>
          <w:w w:val="105"/>
        </w:rPr>
        <w:t>a los “españoles” o “gachupines”. En efecto, el caudillo del sur estaba explicando los principios de seguridad y justicia que habrían de imperar no sólo en estos momentos de guerra, sino </w:t>
      </w:r>
      <w:r>
        <w:rPr>
          <w:color w:val="231F1F"/>
          <w:spacing w:val="2"/>
          <w:w w:val="105"/>
        </w:rPr>
        <w:t>cuando </w:t>
      </w:r>
      <w:r>
        <w:rPr>
          <w:color w:val="231F1F"/>
          <w:w w:val="105"/>
        </w:rPr>
        <w:t>se lograse la independencia de la nación  </w:t>
      </w:r>
      <w:r>
        <w:rPr>
          <w:color w:val="231F1F"/>
          <w:spacing w:val="46"/>
          <w:w w:val="105"/>
        </w:rPr>
        <w:t> </w:t>
      </w:r>
      <w:r>
        <w:rPr>
          <w:color w:val="231F1F"/>
          <w:w w:val="105"/>
        </w:rPr>
        <w:t>mexicana.</w:t>
      </w:r>
    </w:p>
    <w:p>
      <w:pPr>
        <w:pStyle w:val="BodyText"/>
        <w:spacing w:before="9"/>
        <w:rPr>
          <w:sz w:val="27"/>
        </w:rPr>
      </w:pPr>
    </w:p>
    <w:p>
      <w:pPr>
        <w:pStyle w:val="BodyText"/>
        <w:spacing w:line="268" w:lineRule="auto"/>
        <w:ind w:left="109" w:right="474"/>
        <w:jc w:val="both"/>
      </w:pPr>
      <w:r>
        <w:rPr>
          <w:color w:val="231F1F"/>
        </w:rPr>
        <w:t>No obstante, Morelos comunicó en tres decretos (fechados en febrero y marzo de </w:t>
      </w:r>
      <w:r>
        <w:rPr>
          <w:color w:val="231F1F"/>
          <w:sz w:val="20"/>
        </w:rPr>
        <w:t>1812  </w:t>
      </w:r>
      <w:r>
        <w:rPr>
          <w:color w:val="231F1F"/>
        </w:rPr>
        <w:t>y el de     </w:t>
      </w:r>
      <w:r>
        <w:rPr>
          <w:color w:val="231F1F"/>
          <w:sz w:val="20"/>
        </w:rPr>
        <w:t>1813 </w:t>
      </w:r>
      <w:r>
        <w:rPr>
          <w:color w:val="231F1F"/>
        </w:rPr>
        <w:t>citado) que la única violencia social permitida se establecía según las leyes antiguas en “tres casos lícitos de guerra justa”. Uno, que a falta de </w:t>
      </w:r>
      <w:r>
        <w:rPr>
          <w:color w:val="231F1F"/>
          <w:spacing w:val="-4"/>
        </w:rPr>
        <w:t>rey, </w:t>
      </w:r>
      <w:r>
        <w:rPr>
          <w:color w:val="231F1F"/>
        </w:rPr>
        <w:t>al “reino conquistado” le era lícito reconquis- tarse. Dos, que a un “reino obediente” le era lícito no obedecer a su </w:t>
      </w:r>
      <w:r>
        <w:rPr>
          <w:color w:val="231F1F"/>
          <w:spacing w:val="-4"/>
        </w:rPr>
        <w:t>rey,  </w:t>
      </w:r>
      <w:r>
        <w:rPr>
          <w:color w:val="231F1F"/>
        </w:rPr>
        <w:t>cuando era gravoso en      sus leyes y se hacían insoportables para sus gobernados, es </w:t>
      </w:r>
      <w:r>
        <w:rPr>
          <w:color w:val="231F1F"/>
          <w:spacing w:val="-3"/>
        </w:rPr>
        <w:t>decir,  </w:t>
      </w:r>
      <w:r>
        <w:rPr>
          <w:color w:val="231F1F"/>
        </w:rPr>
        <w:t>cuando este rey y su gobierno      se convertían en “tiranos” para su pueblo. </w:t>
      </w:r>
      <w:r>
        <w:rPr>
          <w:color w:val="231F1F"/>
          <w:spacing w:val="-11"/>
        </w:rPr>
        <w:t>Y, </w:t>
      </w:r>
      <w:r>
        <w:rPr>
          <w:color w:val="231F1F"/>
        </w:rPr>
        <w:t>tres, en caso de invasión por reinos enemigos, que no permitía a sus vecinos la libertad natural de representarse y autogobernarse. Estas eran las causas  de la “guerra justa” emprendida por los propios insurgentes (Herrejón, </w:t>
      </w:r>
      <w:r>
        <w:rPr>
          <w:color w:val="231F1F"/>
          <w:sz w:val="20"/>
        </w:rPr>
        <w:t>1985: 76-81 </w:t>
      </w:r>
      <w:r>
        <w:rPr>
          <w:color w:val="231F1F"/>
        </w:rPr>
        <w:t>y </w:t>
      </w:r>
      <w:r>
        <w:rPr>
          <w:color w:val="231F1F"/>
          <w:sz w:val="20"/>
        </w:rPr>
        <w:t>109-111</w:t>
      </w:r>
      <w:r>
        <w:rPr>
          <w:color w:val="231F1F"/>
        </w:rPr>
        <w:t>). En otras</w:t>
      </w:r>
      <w:r>
        <w:rPr>
          <w:color w:val="231F1F"/>
          <w:spacing w:val="21"/>
        </w:rPr>
        <w:t> </w:t>
      </w:r>
      <w:r>
        <w:rPr>
          <w:color w:val="231F1F"/>
        </w:rPr>
        <w:t>palabras,</w:t>
      </w:r>
      <w:r>
        <w:rPr>
          <w:color w:val="231F1F"/>
          <w:spacing w:val="21"/>
        </w:rPr>
        <w:t> </w:t>
      </w:r>
      <w:r>
        <w:rPr>
          <w:color w:val="231F1F"/>
        </w:rPr>
        <w:t>el</w:t>
      </w:r>
      <w:r>
        <w:rPr>
          <w:color w:val="231F1F"/>
          <w:spacing w:val="21"/>
        </w:rPr>
        <w:t> </w:t>
      </w:r>
      <w:r>
        <w:rPr>
          <w:color w:val="231F1F"/>
        </w:rPr>
        <w:t>fundamento</w:t>
      </w:r>
      <w:r>
        <w:rPr>
          <w:color w:val="231F1F"/>
          <w:spacing w:val="21"/>
        </w:rPr>
        <w:t> </w:t>
      </w:r>
      <w:r>
        <w:rPr>
          <w:color w:val="231F1F"/>
        </w:rPr>
        <w:t>ideológico</w:t>
      </w:r>
      <w:r>
        <w:rPr>
          <w:color w:val="231F1F"/>
          <w:spacing w:val="21"/>
        </w:rPr>
        <w:t> </w:t>
      </w:r>
      <w:r>
        <w:rPr>
          <w:color w:val="231F1F"/>
        </w:rPr>
        <w:t>y</w:t>
      </w:r>
      <w:r>
        <w:rPr>
          <w:color w:val="231F1F"/>
          <w:spacing w:val="21"/>
        </w:rPr>
        <w:t> </w:t>
      </w:r>
      <w:r>
        <w:rPr>
          <w:color w:val="231F1F"/>
        </w:rPr>
        <w:t>político</w:t>
      </w:r>
      <w:r>
        <w:rPr>
          <w:color w:val="231F1F"/>
          <w:spacing w:val="21"/>
        </w:rPr>
        <w:t> </w:t>
      </w:r>
      <w:r>
        <w:rPr>
          <w:color w:val="231F1F"/>
        </w:rPr>
        <w:t>de</w:t>
      </w:r>
      <w:r>
        <w:rPr>
          <w:color w:val="231F1F"/>
          <w:spacing w:val="21"/>
        </w:rPr>
        <w:t> </w:t>
      </w:r>
      <w:r>
        <w:rPr>
          <w:color w:val="231F1F"/>
        </w:rPr>
        <w:t>todo</w:t>
      </w:r>
      <w:r>
        <w:rPr>
          <w:color w:val="231F1F"/>
          <w:spacing w:val="21"/>
        </w:rPr>
        <w:t> </w:t>
      </w:r>
      <w:r>
        <w:rPr>
          <w:color w:val="231F1F"/>
        </w:rPr>
        <w:t>el</w:t>
      </w:r>
      <w:r>
        <w:rPr>
          <w:color w:val="231F1F"/>
          <w:spacing w:val="21"/>
        </w:rPr>
        <w:t> </w:t>
      </w:r>
      <w:r>
        <w:rPr>
          <w:color w:val="231F1F"/>
        </w:rPr>
        <w:t>movimiento</w:t>
      </w:r>
      <w:r>
        <w:rPr>
          <w:color w:val="231F1F"/>
          <w:spacing w:val="21"/>
        </w:rPr>
        <w:t> </w:t>
      </w:r>
      <w:r>
        <w:rPr>
          <w:color w:val="231F1F"/>
        </w:rPr>
        <w:t>insurgente</w:t>
      </w:r>
      <w:r>
        <w:rPr>
          <w:color w:val="231F1F"/>
          <w:spacing w:val="21"/>
        </w:rPr>
        <w:t> </w:t>
      </w:r>
      <w:r>
        <w:rPr>
          <w:color w:val="231F1F"/>
        </w:rPr>
        <w:t>de</w:t>
      </w:r>
      <w:r>
        <w:rPr>
          <w:color w:val="231F1F"/>
          <w:spacing w:val="21"/>
        </w:rPr>
        <w:t> </w:t>
      </w:r>
      <w:r>
        <w:rPr>
          <w:color w:val="231F1F"/>
        </w:rPr>
        <w:t>América.</w:t>
      </w:r>
    </w:p>
    <w:p>
      <w:pPr>
        <w:pStyle w:val="BodyText"/>
        <w:spacing w:before="9"/>
        <w:rPr>
          <w:sz w:val="27"/>
        </w:rPr>
      </w:pPr>
    </w:p>
    <w:p>
      <w:pPr>
        <w:pStyle w:val="BodyText"/>
        <w:spacing w:line="268" w:lineRule="auto"/>
        <w:ind w:left="109" w:right="473"/>
        <w:jc w:val="both"/>
      </w:pPr>
      <w:r>
        <w:rPr>
          <w:color w:val="231F1F"/>
        </w:rPr>
        <w:t>Por último, en el ideario del Rayo del Sur sólo se deja ver muy escuetamente su pensamiento con respecto a las elecciones y la pervivencia de los gobiernos locales de los naturales. Por ejemplo,       en el citado decreto del </w:t>
      </w:r>
      <w:r>
        <w:rPr>
          <w:color w:val="231F1F"/>
          <w:sz w:val="20"/>
        </w:rPr>
        <w:t>5 </w:t>
      </w:r>
      <w:r>
        <w:rPr>
          <w:color w:val="231F1F"/>
        </w:rPr>
        <w:t>de octubre de </w:t>
      </w:r>
      <w:r>
        <w:rPr>
          <w:color w:val="231F1F"/>
          <w:sz w:val="20"/>
        </w:rPr>
        <w:t>1813</w:t>
      </w:r>
      <w:r>
        <w:rPr>
          <w:color w:val="231F1F"/>
        </w:rPr>
        <w:t>, fechado en Chilpancingo, el </w:t>
      </w:r>
      <w:r>
        <w:rPr>
          <w:color w:val="231F1F"/>
          <w:spacing w:val="2"/>
        </w:rPr>
        <w:t>Siervo </w:t>
      </w:r>
      <w:r>
        <w:rPr>
          <w:color w:val="231F1F"/>
        </w:rPr>
        <w:t>de la Nación  ordenó que los naturales que formaban “pueblos y repúblicas” procediesen a realizar elecciones “libres”, presididas por el párroco y juez territorial, quienes no debían en ningún momento coartar esta libertad ni aun cuando se probase la ineptitud del elegido al solicitarse la aprobación de la elección a la superioridad. En efecto, al declarar la supresión de las castas y la extinción de las      cajas de comunidad, Morelos ya había concebido que los naturales debían convertirse en indivi- duos, como el resto de los americanos, sin más cobijo corporativo ni tutela de menores como hasta ahora se había hecho. Por tal motivo, sus elecciones locales, como las del resto de la sociedad, se habrían de hacer con la presencia del párroco y juez territorial, pero cuya aprobación o nulidad     sólo debía recaer en una autoridad </w:t>
      </w:r>
      <w:r>
        <w:rPr>
          <w:color w:val="231F1F"/>
          <w:spacing w:val="-3"/>
        </w:rPr>
        <w:t>superior,  </w:t>
      </w:r>
      <w:r>
        <w:rPr>
          <w:color w:val="231F1F"/>
        </w:rPr>
        <w:t>como el Congreso Nacional. Con estas disposiciones,    el Caudillo del Sur dejaba bien en claro que ni subdelegados ni párrocos podrían intervenir arbi- trariamente en las elecciones y la composición de los integrantes de los cabildos de indios como      se hizo inpunemente desde la promulgación de la Ordenanza de Intendentes de </w:t>
      </w:r>
      <w:r>
        <w:rPr>
          <w:color w:val="231F1F"/>
          <w:sz w:val="20"/>
        </w:rPr>
        <w:t>1786</w:t>
      </w:r>
      <w:r>
        <w:rPr>
          <w:color w:val="231F1F"/>
        </w:rPr>
        <w:t>. Por último,    en la Constitución de Apatzingán, en el Capítulo </w:t>
      </w:r>
      <w:r>
        <w:rPr>
          <w:color w:val="231F1F"/>
          <w:sz w:val="18"/>
        </w:rPr>
        <w:t>XVI, </w:t>
      </w:r>
      <w:r>
        <w:rPr>
          <w:color w:val="231F1F"/>
        </w:rPr>
        <w:t>que se refiere a los juzgados inferiores, los congresistas americanos determinaron en el artículo </w:t>
      </w:r>
      <w:r>
        <w:rPr>
          <w:color w:val="231F1F"/>
          <w:sz w:val="20"/>
        </w:rPr>
        <w:t>208 </w:t>
      </w:r>
      <w:r>
        <w:rPr>
          <w:color w:val="231F1F"/>
        </w:rPr>
        <w:t>lo siguiente: que en los pueblos, villas y ciudades debían continuar, respectivamente, los gobernadores y repúblicas, los ayuntamientos y demás empleos, mientras no se adoptase otro sistema o se hicieren los ajustes y modificaciones que aprobase</w:t>
      </w:r>
      <w:r>
        <w:rPr>
          <w:color w:val="231F1F"/>
          <w:spacing w:val="25"/>
        </w:rPr>
        <w:t> </w:t>
      </w:r>
      <w:r>
        <w:rPr>
          <w:color w:val="231F1F"/>
        </w:rPr>
        <w:t>el</w:t>
      </w:r>
      <w:r>
        <w:rPr>
          <w:color w:val="231F1F"/>
          <w:spacing w:val="25"/>
        </w:rPr>
        <w:t> </w:t>
      </w:r>
      <w:r>
        <w:rPr>
          <w:color w:val="231F1F"/>
        </w:rPr>
        <w:t>Congreso.</w:t>
      </w:r>
      <w:r>
        <w:rPr>
          <w:color w:val="231F1F"/>
          <w:spacing w:val="25"/>
        </w:rPr>
        <w:t> </w:t>
      </w:r>
      <w:r>
        <w:rPr>
          <w:color w:val="231F1F"/>
        </w:rPr>
        <w:t>Lo</w:t>
      </w:r>
      <w:r>
        <w:rPr>
          <w:color w:val="231F1F"/>
          <w:spacing w:val="25"/>
        </w:rPr>
        <w:t> </w:t>
      </w:r>
      <w:r>
        <w:rPr>
          <w:color w:val="231F1F"/>
        </w:rPr>
        <w:t>anterior</w:t>
      </w:r>
      <w:r>
        <w:rPr>
          <w:color w:val="231F1F"/>
          <w:spacing w:val="25"/>
        </w:rPr>
        <w:t> </w:t>
      </w:r>
      <w:r>
        <w:rPr>
          <w:color w:val="231F1F"/>
        </w:rPr>
        <w:t>significa,</w:t>
      </w:r>
      <w:r>
        <w:rPr>
          <w:color w:val="231F1F"/>
          <w:spacing w:val="25"/>
        </w:rPr>
        <w:t> </w:t>
      </w:r>
      <w:r>
        <w:rPr>
          <w:color w:val="231F1F"/>
        </w:rPr>
        <w:t>desde</w:t>
      </w:r>
      <w:r>
        <w:rPr>
          <w:color w:val="231F1F"/>
          <w:spacing w:val="25"/>
        </w:rPr>
        <w:t> </w:t>
      </w:r>
      <w:r>
        <w:rPr>
          <w:color w:val="231F1F"/>
        </w:rPr>
        <w:t>mi</w:t>
      </w:r>
      <w:r>
        <w:rPr>
          <w:color w:val="231F1F"/>
          <w:spacing w:val="25"/>
        </w:rPr>
        <w:t> </w:t>
      </w:r>
      <w:r>
        <w:rPr>
          <w:color w:val="231F1F"/>
        </w:rPr>
        <w:t>punto</w:t>
      </w:r>
      <w:r>
        <w:rPr>
          <w:color w:val="231F1F"/>
          <w:spacing w:val="25"/>
        </w:rPr>
        <w:t> </w:t>
      </w:r>
      <w:r>
        <w:rPr>
          <w:color w:val="231F1F"/>
        </w:rPr>
        <w:t>de</w:t>
      </w:r>
      <w:r>
        <w:rPr>
          <w:color w:val="231F1F"/>
          <w:spacing w:val="25"/>
        </w:rPr>
        <w:t> </w:t>
      </w:r>
      <w:r>
        <w:rPr>
          <w:color w:val="231F1F"/>
        </w:rPr>
        <w:t>vista,</w:t>
      </w:r>
      <w:r>
        <w:rPr>
          <w:color w:val="231F1F"/>
          <w:spacing w:val="25"/>
        </w:rPr>
        <w:t> </w:t>
      </w:r>
      <w:r>
        <w:rPr>
          <w:color w:val="231F1F"/>
        </w:rPr>
        <w:t>que</w:t>
      </w:r>
      <w:r>
        <w:rPr>
          <w:color w:val="231F1F"/>
          <w:spacing w:val="25"/>
        </w:rPr>
        <w:t> </w:t>
      </w:r>
      <w:r>
        <w:rPr>
          <w:color w:val="231F1F"/>
        </w:rPr>
        <w:t>dadas</w:t>
      </w:r>
      <w:r>
        <w:rPr>
          <w:color w:val="231F1F"/>
          <w:spacing w:val="25"/>
        </w:rPr>
        <w:t> </w:t>
      </w:r>
      <w:r>
        <w:rPr>
          <w:color w:val="231F1F"/>
        </w:rPr>
        <w:t>las</w:t>
      </w:r>
      <w:r>
        <w:rPr>
          <w:color w:val="231F1F"/>
          <w:spacing w:val="25"/>
        </w:rPr>
        <w:t> </w:t>
      </w:r>
      <w:r>
        <w:rPr>
          <w:color w:val="231F1F"/>
        </w:rPr>
        <w:t>circunstancias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spacing w:after="0"/>
        <w:rPr>
          <w:sz w:val="27"/>
        </w:rPr>
        <w:sectPr>
          <w:pgSz w:w="13100" w:h="17920"/>
          <w:pgMar w:top="164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9"/>
        <w:ind w:left="335" w:right="0" w:firstLine="0"/>
        <w:jc w:val="left"/>
        <w:rPr>
          <w:sz w:val="18"/>
        </w:rPr>
      </w:pPr>
      <w:r>
        <w:rPr/>
        <w:br w:type="column"/>
      </w:r>
      <w:r>
        <w:rPr>
          <w:color w:val="4F3628"/>
          <w:w w:val="120"/>
          <w:sz w:val="18"/>
        </w:rPr>
        <w:t>111</w:t>
      </w:r>
    </w:p>
    <w:p>
      <w:pPr>
        <w:spacing w:after="0"/>
        <w:jc w:val="left"/>
        <w:rPr>
          <w:sz w:val="18"/>
        </w:rPr>
        <w:sectPr>
          <w:type w:val="continuous"/>
          <w:pgSz w:w="13100" w:h="17920"/>
          <w:pgMar w:top="0" w:bottom="0" w:left="1620" w:right="1860"/>
          <w:cols w:num="2" w:equalWidth="0">
            <w:col w:w="8413" w:space="40"/>
            <w:col w:w="1167"/>
          </w:cols>
        </w:sectPr>
      </w:pPr>
    </w:p>
    <w:p>
      <w:pPr>
        <w:spacing w:before="33"/>
        <w:ind w:left="334" w:right="1725" w:firstLine="0"/>
        <w:jc w:val="left"/>
        <w:rPr>
          <w:rFonts w:ascii="Verdana"/>
          <w:b/>
          <w:sz w:val="18"/>
        </w:rPr>
      </w:pPr>
      <w:r>
        <w:rPr>
          <w:rFonts w:ascii="Verdana"/>
          <w:b/>
          <w:color w:val="4F3628"/>
          <w:sz w:val="18"/>
        </w:rPr>
        <w:t>112</w:t>
      </w:r>
    </w:p>
    <w:p>
      <w:pPr>
        <w:pStyle w:val="BodyText"/>
        <w:rPr>
          <w:rFonts w:ascii="Verdana"/>
          <w:b/>
          <w:sz w:val="18"/>
        </w:rPr>
      </w:pPr>
    </w:p>
    <w:p>
      <w:pPr>
        <w:pStyle w:val="BodyText"/>
        <w:spacing w:before="6"/>
        <w:rPr>
          <w:rFonts w:ascii="Verdana"/>
          <w:b/>
          <w:sz w:val="17"/>
        </w:rPr>
      </w:pPr>
    </w:p>
    <w:p>
      <w:pPr>
        <w:pStyle w:val="BodyText"/>
        <w:spacing w:line="268" w:lineRule="auto"/>
        <w:ind w:left="3913" w:right="1720"/>
        <w:jc w:val="both"/>
      </w:pPr>
      <w:r>
        <w:rPr/>
        <w:drawing>
          <wp:anchor distT="0" distB="0" distL="0" distR="0" allowOverlap="1" layoutInCell="1" locked="0" behindDoc="0" simplePos="0" relativeHeight="2440">
            <wp:simplePos x="0" y="0"/>
            <wp:positionH relativeFrom="page">
              <wp:posOffset>589533</wp:posOffset>
            </wp:positionH>
            <wp:positionV relativeFrom="paragraph">
              <wp:posOffset>-71442</wp:posOffset>
            </wp:positionV>
            <wp:extent cx="522296" cy="457949"/>
            <wp:effectExtent l="0" t="0" r="0" b="0"/>
            <wp:wrapNone/>
            <wp:docPr id="57" name="image24.png" descr=""/>
            <wp:cNvGraphicFramePr>
              <a:graphicFrameLocks noChangeAspect="1"/>
            </wp:cNvGraphicFramePr>
            <a:graphic>
              <a:graphicData uri="http://schemas.openxmlformats.org/drawingml/2006/picture">
                <pic:pic>
                  <pic:nvPicPr>
                    <pic:cNvPr id="58"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38.103619pt;width:11pt;height:76.350pt;mso-position-horizontal-relative:page;mso-position-vertical-relative:paragraph;z-index:2464"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color w:val="231F1F"/>
        </w:rPr>
        <w:t>por las que </w:t>
      </w:r>
      <w:r>
        <w:rPr>
          <w:color w:val="231F1F"/>
          <w:spacing w:val="2"/>
        </w:rPr>
        <w:t>atravesaba este Congreso, </w:t>
      </w:r>
      <w:r>
        <w:rPr>
          <w:color w:val="231F1F"/>
        </w:rPr>
        <w:t>se </w:t>
      </w:r>
      <w:r>
        <w:rPr>
          <w:color w:val="231F1F"/>
          <w:spacing w:val="2"/>
        </w:rPr>
        <w:t>dejaba temporalmente </w:t>
      </w:r>
      <w:r>
        <w:rPr>
          <w:color w:val="231F1F"/>
          <w:spacing w:val="3"/>
        </w:rPr>
        <w:t>en </w:t>
      </w:r>
      <w:r>
        <w:rPr>
          <w:color w:val="231F1F"/>
        </w:rPr>
        <w:t>continuidad la función de justicia de primera instancia en manos de las autoridades y los gobiernos locales para evitar los abusos y excesos co- metidos por los jueces distritales (subdelegados). Para decirlo de manera más enfática, las ideas políticas de Morelos y la de los congresistas de Apatzingán era que las antiguas corporaciones indígenas sólo tuvieran      la función temporal de administrar justicia en primera instancia, para los casos de poca monta o importancia (González, </w:t>
      </w:r>
      <w:r>
        <w:rPr>
          <w:color w:val="231F1F"/>
          <w:sz w:val="20"/>
        </w:rPr>
        <w:t>2014: 289-313</w:t>
      </w:r>
      <w:r>
        <w:rPr>
          <w:color w:val="231F1F"/>
        </w:rPr>
        <w:t>). En cam-  bio, el objetivo buscado era que los indígenas comunitarios, amparados  en antiguos privilegios y vetustos tribunales especiales, se convirtieran en individuos libres e iguales ante la </w:t>
      </w:r>
      <w:r>
        <w:rPr>
          <w:color w:val="231F1F"/>
          <w:spacing w:val="-4"/>
        </w:rPr>
        <w:t>ley, </w:t>
      </w:r>
      <w:r>
        <w:rPr>
          <w:color w:val="231F1F"/>
        </w:rPr>
        <w:t>como todos los demás americanos  de este reino. En otras palabras, se trataba de hacer desaparecer del    todo las apabulladas instituciones corporativas en el nuevo y republicano estado </w:t>
      </w:r>
      <w:r>
        <w:rPr>
          <w:color w:val="231F1F"/>
          <w:spacing w:val="28"/>
        </w:rPr>
        <w:t> </w:t>
      </w:r>
      <w:r>
        <w:rPr>
          <w:color w:val="231F1F"/>
        </w:rPr>
        <w:t>nacional.</w:t>
      </w:r>
    </w:p>
    <w:p>
      <w:pPr>
        <w:pStyle w:val="BodyText"/>
        <w:rPr>
          <w:sz w:val="20"/>
        </w:rPr>
      </w:pPr>
    </w:p>
    <w:p>
      <w:pPr>
        <w:pStyle w:val="BodyText"/>
        <w:spacing w:before="7"/>
        <w:rPr>
          <w:sz w:val="24"/>
        </w:rPr>
      </w:pPr>
      <w:r>
        <w:rPr/>
        <w:drawing>
          <wp:anchor distT="0" distB="0" distL="0" distR="0" allowOverlap="1" layoutInCell="1" locked="0" behindDoc="0" simplePos="0" relativeHeight="2368">
            <wp:simplePos x="0" y="0"/>
            <wp:positionH relativeFrom="page">
              <wp:posOffset>1475994</wp:posOffset>
            </wp:positionH>
            <wp:positionV relativeFrom="paragraph">
              <wp:posOffset>215703</wp:posOffset>
            </wp:positionV>
            <wp:extent cx="5722569" cy="3813143"/>
            <wp:effectExtent l="0" t="0" r="0" b="0"/>
            <wp:wrapTopAndBottom/>
            <wp:docPr id="59" name="image32.jpeg" descr=""/>
            <wp:cNvGraphicFramePr>
              <a:graphicFrameLocks noChangeAspect="1"/>
            </wp:cNvGraphicFramePr>
            <a:graphic>
              <a:graphicData uri="http://schemas.openxmlformats.org/drawingml/2006/picture">
                <pic:pic>
                  <pic:nvPicPr>
                    <pic:cNvPr id="60" name="image32.jpeg"/>
                    <pic:cNvPicPr/>
                  </pic:nvPicPr>
                  <pic:blipFill>
                    <a:blip r:embed="rId37" cstate="print"/>
                    <a:stretch>
                      <a:fillRect/>
                    </a:stretch>
                  </pic:blipFill>
                  <pic:spPr>
                    <a:xfrm>
                      <a:off x="0" y="0"/>
                      <a:ext cx="5722569" cy="3813143"/>
                    </a:xfrm>
                    <a:prstGeom prst="rect">
                      <a:avLst/>
                    </a:prstGeom>
                  </pic:spPr>
                </pic:pic>
              </a:graphicData>
            </a:graphic>
          </wp:anchor>
        </w:drawing>
      </w:r>
      <w:r>
        <w:rPr/>
        <w:pict>
          <v:shape style="position:absolute;margin-left:116.646004pt;margin-top:332.274536pt;width:12.65pt;height:6.35pt;mso-position-horizontal-relative:page;mso-position-vertical-relative:paragraph;z-index:2392;mso-wrap-distance-left:0;mso-wrap-distance-right:0" coordorigin="2333,6645" coordsize="253,127" path="m2459,6645l2333,6772,2585,6772,2459,6645xe" filled="true" fillcolor="#a8483d" stroked="false">
            <v:path arrowok="t"/>
            <v:fill type="solid"/>
            <w10:wrap type="topAndBottom"/>
          </v:shape>
        </w:pict>
      </w:r>
    </w:p>
    <w:p>
      <w:pPr>
        <w:pStyle w:val="BodyText"/>
        <w:rPr>
          <w:sz w:val="19"/>
        </w:rPr>
      </w:pPr>
    </w:p>
    <w:p>
      <w:pPr>
        <w:pStyle w:val="ListParagraph"/>
        <w:numPr>
          <w:ilvl w:val="0"/>
          <w:numId w:val="2"/>
        </w:numPr>
        <w:tabs>
          <w:tab w:pos="1680" w:val="left" w:leader="none"/>
        </w:tabs>
        <w:spacing w:line="240" w:lineRule="auto" w:before="81" w:after="0"/>
        <w:ind w:left="1679" w:right="0" w:hanging="167"/>
        <w:jc w:val="left"/>
        <w:rPr>
          <w:sz w:val="16"/>
        </w:rPr>
      </w:pPr>
      <w:r>
        <w:rPr>
          <w:color w:val="383434"/>
          <w:w w:val="105"/>
          <w:sz w:val="16"/>
        </w:rPr>
        <w:t>Catedral</w:t>
      </w:r>
      <w:r>
        <w:rPr>
          <w:color w:val="383434"/>
          <w:spacing w:val="-32"/>
          <w:w w:val="105"/>
          <w:sz w:val="16"/>
        </w:rPr>
        <w:t> </w:t>
      </w:r>
      <w:r>
        <w:rPr>
          <w:color w:val="383434"/>
          <w:w w:val="105"/>
          <w:sz w:val="16"/>
        </w:rPr>
        <w:t>de</w:t>
      </w:r>
      <w:r>
        <w:rPr>
          <w:color w:val="383434"/>
          <w:spacing w:val="-32"/>
          <w:w w:val="105"/>
          <w:sz w:val="16"/>
        </w:rPr>
        <w:t> </w:t>
      </w:r>
      <w:r>
        <w:rPr>
          <w:color w:val="383434"/>
          <w:w w:val="105"/>
          <w:sz w:val="16"/>
        </w:rPr>
        <w:t>Valladolid,</w:t>
      </w:r>
      <w:r>
        <w:rPr>
          <w:color w:val="383434"/>
          <w:spacing w:val="-32"/>
          <w:w w:val="105"/>
          <w:sz w:val="16"/>
        </w:rPr>
        <w:t> </w:t>
      </w:r>
      <w:r>
        <w:rPr>
          <w:color w:val="383434"/>
          <w:w w:val="105"/>
          <w:sz w:val="16"/>
        </w:rPr>
        <w:t>1810.</w:t>
      </w:r>
    </w:p>
    <w:p>
      <w:pPr>
        <w:pStyle w:val="BodyText"/>
        <w:spacing w:before="9"/>
        <w:rPr>
          <w:rFonts w:ascii="Tahoma"/>
          <w:sz w:val="12"/>
        </w:rPr>
      </w:pPr>
      <w:r>
        <w:rPr/>
        <w:pict>
          <v:line style="position:absolute;mso-position-horizontal-relative:page;mso-position-vertical-relative:paragraph;z-index:2416;mso-wrap-distance-left:0;mso-wrap-distance-right:0" from="116.646004pt,9.936652pt" to="230.032004pt,9.936652pt" stroked="true" strokeweight=".5pt" strokecolor="#a8483d">
            <w10:wrap type="topAndBottom"/>
          </v:line>
        </w:pict>
      </w:r>
    </w:p>
    <w:p>
      <w:pPr>
        <w:spacing w:after="0"/>
        <w:rPr>
          <w:rFonts w:ascii="Tahoma"/>
          <w:sz w:val="12"/>
        </w:rPr>
        <w:sectPr>
          <w:pgSz w:w="13100" w:h="17920"/>
          <w:pgMar w:top="1660" w:bottom="280" w:left="820" w:right="0"/>
        </w:sectPr>
      </w:pPr>
    </w:p>
    <w:p>
      <w:pPr>
        <w:pStyle w:val="Heading4"/>
        <w:spacing w:line="278" w:lineRule="auto"/>
      </w:pPr>
      <w:r>
        <w:rPr>
          <w:color w:val="231F1F"/>
        </w:rPr>
        <w:t>La política económica: comercio local y</w:t>
      </w:r>
      <w:r>
        <w:rPr>
          <w:color w:val="231F1F"/>
          <w:spacing w:val="55"/>
        </w:rPr>
        <w:t> </w:t>
      </w:r>
      <w:r>
        <w:rPr>
          <w:color w:val="231F1F"/>
        </w:rPr>
        <w:t>monedas</w:t>
      </w:r>
    </w:p>
    <w:p>
      <w:pPr>
        <w:pStyle w:val="BodyText"/>
        <w:spacing w:before="10"/>
        <w:rPr>
          <w:rFonts w:ascii="Times New Roman"/>
          <w:sz w:val="15"/>
        </w:rPr>
      </w:pPr>
      <w:r>
        <w:rPr/>
        <w:pict>
          <v:line style="position:absolute;mso-position-horizontal-relative:page;mso-position-vertical-relative:paragraph;z-index:2488;mso-wrap-distance-left:0;mso-wrap-distance-right:0" from="86.456703pt,11.480563pt" to="295.511703pt,11.480563pt" stroked="true" strokeweight=".75pt" strokecolor="#a8483d">
            <w10:wrap type="topAndBottom"/>
          </v:line>
        </w:pict>
      </w: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p>
      <w:pPr>
        <w:pStyle w:val="BodyText"/>
        <w:spacing w:line="268" w:lineRule="auto" w:before="59"/>
        <w:ind w:left="2519" w:right="459"/>
        <w:jc w:val="both"/>
      </w:pPr>
      <w:r>
        <w:rPr>
          <w:color w:val="231F1F"/>
        </w:rPr>
        <w:t>El objetivo de este apartado es explicar aquellas medidas económicas tomadas por Morelos dentro de su amplia zona de influencia. Se trata    de indagar cuáles fueron los problemas de intercambio comercial, entre los pueblos de indios y el resto de vecinos, tanto de las ciudades como   de las empresas agropecuarias, que afrontó nuestro caudillo. En cuanto    a la política monetaria insurgente, hay que destacar que este rubro era uno de los más graves, pues desafiaba directamente al poder del so- berano español. Entre </w:t>
      </w:r>
      <w:r>
        <w:rPr>
          <w:color w:val="231F1F"/>
          <w:sz w:val="20"/>
        </w:rPr>
        <w:t>1536 </w:t>
      </w:r>
      <w:r>
        <w:rPr>
          <w:color w:val="231F1F"/>
        </w:rPr>
        <w:t>y </w:t>
      </w:r>
      <w:r>
        <w:rPr>
          <w:color w:val="231F1F"/>
          <w:sz w:val="20"/>
        </w:rPr>
        <w:t>1810 </w:t>
      </w:r>
      <w:r>
        <w:rPr>
          <w:color w:val="231F1F"/>
        </w:rPr>
        <w:t>se había conservado intacto, en la Nueva España, el atributo del rey para acuñar moneda, a través de la   casa correspondiente con sede en la Ciudad de México. La acuñación       de moneda novohispana en alta denominación de reales de plata y escudos de oro, debido a su calidad y pureza, se había convertido en         la moneda fuerte del comercio no sólo dentro del territorio virreinal sino en Europa y el continente asiático, sobre todo en China. Es </w:t>
      </w:r>
      <w:r>
        <w:rPr>
          <w:color w:val="231F1F"/>
          <w:spacing w:val="-3"/>
        </w:rPr>
        <w:t>decir, </w:t>
      </w:r>
      <w:r>
        <w:rPr>
          <w:color w:val="231F1F"/>
        </w:rPr>
        <w:t>era la moneda por excelencia del comercio mundial entre los siglos </w:t>
      </w:r>
      <w:r>
        <w:rPr>
          <w:color w:val="231F1F"/>
          <w:sz w:val="18"/>
        </w:rPr>
        <w:t>XVII </w:t>
      </w:r>
      <w:r>
        <w:rPr>
          <w:color w:val="231F1F"/>
        </w:rPr>
        <w:t>y </w:t>
      </w:r>
      <w:r>
        <w:rPr>
          <w:color w:val="231F1F"/>
          <w:sz w:val="18"/>
        </w:rPr>
        <w:t>XIX </w:t>
      </w:r>
      <w:r>
        <w:rPr>
          <w:color w:val="231F1F"/>
        </w:rPr>
        <w:t>(Gómez </w:t>
      </w:r>
      <w:r>
        <w:rPr>
          <w:color w:val="231F1F"/>
          <w:spacing w:val="-4"/>
        </w:rPr>
        <w:t>Wulschner, </w:t>
      </w:r>
      <w:r>
        <w:rPr>
          <w:color w:val="231F1F"/>
          <w:sz w:val="20"/>
        </w:rPr>
        <w:t>2009: 171-199</w:t>
      </w:r>
      <w:r>
        <w:rPr>
          <w:color w:val="231F1F"/>
        </w:rPr>
        <w:t>). En este contexto histórico no faltaron los falsificadores de moneda, quienes con su actividad ilícita cometían      el gravísimo delito de </w:t>
      </w:r>
      <w:r>
        <w:rPr>
          <w:i/>
          <w:color w:val="231F1F"/>
        </w:rPr>
        <w:t>lesa majestad</w:t>
      </w:r>
      <w:r>
        <w:rPr>
          <w:color w:val="231F1F"/>
        </w:rPr>
        <w:t>, penado por las leyes reales con la muerte de los</w:t>
      </w:r>
      <w:r>
        <w:rPr>
          <w:color w:val="231F1F"/>
          <w:spacing w:val="-12"/>
        </w:rPr>
        <w:t> </w:t>
      </w:r>
      <w:r>
        <w:rPr>
          <w:color w:val="231F1F"/>
        </w:rPr>
        <w:t>infractores.</w:t>
      </w:r>
    </w:p>
    <w:p>
      <w:pPr>
        <w:pStyle w:val="BodyText"/>
        <w:spacing w:before="9"/>
        <w:rPr>
          <w:sz w:val="27"/>
        </w:rPr>
      </w:pPr>
    </w:p>
    <w:p>
      <w:pPr>
        <w:pStyle w:val="BodyText"/>
        <w:spacing w:line="268" w:lineRule="auto"/>
        <w:ind w:left="2519" w:right="457"/>
        <w:jc w:val="both"/>
      </w:pPr>
      <w:r>
        <w:rPr>
          <w:color w:val="231F1F"/>
        </w:rPr>
        <w:t>La historiografía reciente, sobre todo el estudio del historiador Ruggiero Romano, ha mostrado que en promedio cerca del ochenta por ciento de las acuñaciones anuales de plata y oro novohispano se exportaban a Europa, y sólo quedaba un veinte por ciento de monedas en el territorio virreinal. Esta última cifra fue suficiente para garantizar la circulación e intercambio de mercancías entre una región y otra, así  como  para  el pago de contribuciones que debían recaudar tanto el fisco del rey como las </w:t>
      </w:r>
      <w:r>
        <w:rPr>
          <w:color w:val="231F1F"/>
          <w:spacing w:val="2"/>
        </w:rPr>
        <w:t>instituciones eclesiásticas. </w:t>
      </w:r>
      <w:r>
        <w:rPr>
          <w:color w:val="231F1F"/>
        </w:rPr>
        <w:t>La </w:t>
      </w:r>
      <w:r>
        <w:rPr>
          <w:color w:val="231F1F"/>
          <w:spacing w:val="2"/>
        </w:rPr>
        <w:t>estructura </w:t>
      </w:r>
      <w:r>
        <w:rPr>
          <w:color w:val="231F1F"/>
        </w:rPr>
        <w:t>y el </w:t>
      </w:r>
      <w:r>
        <w:rPr>
          <w:color w:val="231F1F"/>
          <w:spacing w:val="2"/>
        </w:rPr>
        <w:t>funcionamiento </w:t>
      </w:r>
      <w:r>
        <w:rPr>
          <w:color w:val="231F1F"/>
        </w:rPr>
        <w:t>de </w:t>
      </w:r>
      <w:r>
        <w:rPr>
          <w:color w:val="231F1F"/>
          <w:spacing w:val="3"/>
        </w:rPr>
        <w:t>la </w:t>
      </w:r>
      <w:r>
        <w:rPr>
          <w:color w:val="231F1F"/>
        </w:rPr>
        <w:t>economía colonial hacían que en ciertos sectores productivos circularan monedas argénteas de uso corriente, como en los centros mineros, don- de según la ley se les pagaba a los indios de repartimiento su jornal en reales de plata. Pero estos poseedores temporales de dinero pagaban    sus contribuciones a la Corona o al clero en metálico, y lo mismo hacían    a los comerciantes locales cuando liquidaban compras de productos foráneos. Es </w:t>
      </w:r>
      <w:r>
        <w:rPr>
          <w:color w:val="231F1F"/>
          <w:spacing w:val="-3"/>
        </w:rPr>
        <w:t>decir, </w:t>
      </w:r>
      <w:r>
        <w:rPr>
          <w:color w:val="231F1F"/>
        </w:rPr>
        <w:t>la escasa circulación monetaria de mediana o baja denominación pronto era concentrada en los recolectores reales o en     los eclesiásticos, así como en las manos de un círculo muy pequeño de comerciantes  locales  o  regionales  (Romano,</w:t>
      </w:r>
      <w:r>
        <w:rPr>
          <w:color w:val="231F1F"/>
          <w:spacing w:val="39"/>
        </w:rPr>
        <w:t> </w:t>
      </w:r>
      <w:r>
        <w:rPr>
          <w:color w:val="231F1F"/>
          <w:sz w:val="20"/>
        </w:rPr>
        <w:t>1998</w:t>
      </w:r>
      <w:r>
        <w:rPr>
          <w:color w:val="231F1F"/>
        </w:rPr>
        <w:t>).</w:t>
      </w:r>
    </w:p>
    <w:p>
      <w:pPr>
        <w:pStyle w:val="BodyText"/>
        <w:rPr>
          <w:sz w:val="20"/>
        </w:rPr>
      </w:pPr>
    </w:p>
    <w:p>
      <w:pPr>
        <w:pStyle w:val="BodyText"/>
        <w:rPr>
          <w:sz w:val="20"/>
        </w:rPr>
      </w:pPr>
    </w:p>
    <w:p>
      <w:pPr>
        <w:pStyle w:val="BodyText"/>
        <w:rPr>
          <w:sz w:val="20"/>
        </w:rPr>
      </w:pPr>
    </w:p>
    <w:p>
      <w:pPr>
        <w:pStyle w:val="BodyText"/>
        <w:spacing w:before="1"/>
        <w:rPr>
          <w:sz w:val="26"/>
        </w:rPr>
      </w:pPr>
    </w:p>
    <w:p>
      <w:pPr>
        <w:spacing w:after="0"/>
        <w:rPr>
          <w:sz w:val="26"/>
        </w:rPr>
        <w:sectPr>
          <w:pgSz w:w="13100" w:h="17920"/>
          <w:pgMar w:top="166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113</w:t>
      </w:r>
    </w:p>
    <w:p>
      <w:pPr>
        <w:spacing w:after="0"/>
        <w:jc w:val="left"/>
        <w:rPr>
          <w:sz w:val="18"/>
        </w:rPr>
        <w:sectPr>
          <w:type w:val="continuous"/>
          <w:pgSz w:w="13100" w:h="17920"/>
          <w:pgMar w:top="0" w:bottom="0" w:left="1620" w:right="1860"/>
          <w:cols w:num="2" w:equalWidth="0">
            <w:col w:w="8413" w:space="40"/>
            <w:col w:w="1167"/>
          </w:cols>
        </w:sectPr>
      </w:pPr>
    </w:p>
    <w:p>
      <w:pPr>
        <w:pStyle w:val="BodyText"/>
        <w:tabs>
          <w:tab w:pos="1504" w:val="left" w:leader="none"/>
        </w:tabs>
        <w:spacing w:line="268" w:lineRule="auto" w:before="29"/>
        <w:ind w:left="1504" w:right="3818" w:hanging="1170"/>
        <w:jc w:val="both"/>
      </w:pPr>
      <w:r>
        <w:rPr/>
        <w:drawing>
          <wp:anchor distT="0" distB="0" distL="0" distR="0" allowOverlap="1" layoutInCell="1" locked="0" behindDoc="1" simplePos="0" relativeHeight="268361303">
            <wp:simplePos x="0" y="0"/>
            <wp:positionH relativeFrom="page">
              <wp:posOffset>589533</wp:posOffset>
            </wp:positionH>
            <wp:positionV relativeFrom="paragraph">
              <wp:posOffset>362732</wp:posOffset>
            </wp:positionV>
            <wp:extent cx="522296" cy="457949"/>
            <wp:effectExtent l="0" t="0" r="0" b="0"/>
            <wp:wrapNone/>
            <wp:docPr id="61" name="image24.png" descr=""/>
            <wp:cNvGraphicFramePr>
              <a:graphicFrameLocks noChangeAspect="1"/>
            </wp:cNvGraphicFramePr>
            <a:graphic>
              <a:graphicData uri="http://schemas.openxmlformats.org/drawingml/2006/picture">
                <pic:pic>
                  <pic:nvPicPr>
                    <pic:cNvPr id="62"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90619pt;width:11pt;height:76.350pt;mso-position-horizontal-relative:page;mso-position-vertical-relative:paragraph;z-index:-74128"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2"/>
          <w:sz w:val="18"/>
        </w:rPr>
        <w:t>114</w:t>
        <w:tab/>
      </w:r>
      <w:r>
        <w:rPr>
          <w:color w:val="231F1F"/>
        </w:rPr>
        <w:t>La</w:t>
      </w:r>
      <w:r>
        <w:rPr>
          <w:color w:val="231F1F"/>
          <w:spacing w:val="17"/>
        </w:rPr>
        <w:t> </w:t>
      </w:r>
      <w:r>
        <w:rPr>
          <w:color w:val="231F1F"/>
        </w:rPr>
        <w:t>denominación</w:t>
      </w:r>
      <w:r>
        <w:rPr>
          <w:color w:val="231F1F"/>
          <w:spacing w:val="17"/>
        </w:rPr>
        <w:t> </w:t>
      </w:r>
      <w:r>
        <w:rPr>
          <w:color w:val="231F1F"/>
        </w:rPr>
        <w:t>de</w:t>
      </w:r>
      <w:r>
        <w:rPr>
          <w:color w:val="231F1F"/>
          <w:spacing w:val="17"/>
        </w:rPr>
        <w:t> </w:t>
      </w:r>
      <w:r>
        <w:rPr>
          <w:color w:val="231F1F"/>
        </w:rPr>
        <w:t>la</w:t>
      </w:r>
      <w:r>
        <w:rPr>
          <w:color w:val="231F1F"/>
          <w:spacing w:val="17"/>
        </w:rPr>
        <w:t> </w:t>
      </w:r>
      <w:r>
        <w:rPr>
          <w:color w:val="231F1F"/>
        </w:rPr>
        <w:t>mayoría</w:t>
      </w:r>
      <w:r>
        <w:rPr>
          <w:color w:val="231F1F"/>
          <w:spacing w:val="17"/>
        </w:rPr>
        <w:t> </w:t>
      </w:r>
      <w:r>
        <w:rPr>
          <w:color w:val="231F1F"/>
        </w:rPr>
        <w:t>de</w:t>
      </w:r>
      <w:r>
        <w:rPr>
          <w:color w:val="231F1F"/>
          <w:spacing w:val="17"/>
        </w:rPr>
        <w:t> </w:t>
      </w:r>
      <w:r>
        <w:rPr>
          <w:color w:val="231F1F"/>
        </w:rPr>
        <w:t>las</w:t>
      </w:r>
      <w:r>
        <w:rPr>
          <w:color w:val="231F1F"/>
          <w:spacing w:val="17"/>
        </w:rPr>
        <w:t> </w:t>
      </w:r>
      <w:r>
        <w:rPr>
          <w:color w:val="231F1F"/>
        </w:rPr>
        <w:t>monedas</w:t>
      </w:r>
      <w:r>
        <w:rPr>
          <w:color w:val="231F1F"/>
          <w:spacing w:val="17"/>
        </w:rPr>
        <w:t> </w:t>
      </w:r>
      <w:r>
        <w:rPr>
          <w:color w:val="231F1F"/>
        </w:rPr>
        <w:t>que</w:t>
      </w:r>
      <w:r>
        <w:rPr>
          <w:color w:val="231F1F"/>
          <w:spacing w:val="17"/>
        </w:rPr>
        <w:t> </w:t>
      </w:r>
      <w:r>
        <w:rPr>
          <w:color w:val="231F1F"/>
        </w:rPr>
        <w:t>circulaban</w:t>
      </w:r>
      <w:r>
        <w:rPr>
          <w:color w:val="231F1F"/>
          <w:spacing w:val="17"/>
        </w:rPr>
        <w:t> </w:t>
      </w:r>
      <w:r>
        <w:rPr>
          <w:color w:val="231F1F"/>
        </w:rPr>
        <w:t>en</w:t>
      </w:r>
      <w:r>
        <w:rPr>
          <w:color w:val="231F1F"/>
          <w:spacing w:val="17"/>
        </w:rPr>
        <w:t> </w:t>
      </w:r>
      <w:r>
        <w:rPr>
          <w:color w:val="231F1F"/>
        </w:rPr>
        <w:t>la</w:t>
      </w:r>
      <w:r>
        <w:rPr>
          <w:color w:val="231F1F"/>
          <w:spacing w:val="17"/>
        </w:rPr>
        <w:t> </w:t>
      </w:r>
      <w:r>
        <w:rPr>
          <w:color w:val="231F1F"/>
        </w:rPr>
        <w:t>Nueva</w:t>
      </w:r>
      <w:r>
        <w:rPr>
          <w:color w:val="231F1F"/>
          <w:w w:val="108"/>
        </w:rPr>
        <w:t> </w:t>
      </w:r>
      <w:r>
        <w:rPr>
          <w:color w:val="231F1F"/>
        </w:rPr>
        <w:t>España, un noventa por ciento, eran de alto valor (</w:t>
      </w:r>
      <w:r>
        <w:rPr>
          <w:color w:val="231F1F"/>
          <w:sz w:val="20"/>
        </w:rPr>
        <w:t>8  </w:t>
      </w:r>
      <w:r>
        <w:rPr>
          <w:color w:val="231F1F"/>
        </w:rPr>
        <w:t>reales), seguidas de      las de valor mediano (</w:t>
      </w:r>
      <w:r>
        <w:rPr>
          <w:color w:val="231F1F"/>
          <w:sz w:val="20"/>
        </w:rPr>
        <w:t>4  </w:t>
      </w:r>
      <w:r>
        <w:rPr>
          <w:color w:val="231F1F"/>
        </w:rPr>
        <w:t>y </w:t>
      </w:r>
      <w:r>
        <w:rPr>
          <w:color w:val="231F1F"/>
          <w:sz w:val="20"/>
        </w:rPr>
        <w:t>2  </w:t>
      </w:r>
      <w:r>
        <w:rPr>
          <w:color w:val="231F1F"/>
        </w:rPr>
        <w:t>reales) y las de baja denominación (</w:t>
      </w:r>
      <w:r>
        <w:rPr>
          <w:color w:val="231F1F"/>
          <w:sz w:val="20"/>
        </w:rPr>
        <w:t>1  </w:t>
      </w:r>
      <w:r>
        <w:rPr>
          <w:color w:val="231F1F"/>
        </w:rPr>
        <w:t>real, </w:t>
      </w:r>
      <w:r>
        <w:rPr>
          <w:color w:val="231F1F"/>
          <w:w w:val="115"/>
        </w:rPr>
        <w:t>½   </w:t>
      </w:r>
      <w:r>
        <w:rPr>
          <w:color w:val="231F1F"/>
        </w:rPr>
        <w:t>real y </w:t>
      </w:r>
      <w:r>
        <w:rPr>
          <w:color w:val="231F1F"/>
          <w:w w:val="115"/>
        </w:rPr>
        <w:t>¼ </w:t>
      </w:r>
      <w:r>
        <w:rPr>
          <w:color w:val="231F1F"/>
        </w:rPr>
        <w:t>real). Esto significaba que había una escasez crónica de monedas     de baja denominación que permitiera ejecutar la inmensa mayoría de tran- sacciones comerciales de poca monta en todo el territorio, durante los tres siglos coloniales. Debido a que la Casa de Moneda de México acuñaba grandes cantidades de circulante de alta denominación, Romano las ha denominado “monedas aristocráticas” o de “uso aristocrático” porque </w:t>
      </w:r>
      <w:r>
        <w:rPr>
          <w:color w:val="231F1F"/>
          <w:spacing w:val="2"/>
        </w:rPr>
        <w:t>muy </w:t>
      </w:r>
      <w:r>
        <w:rPr>
          <w:color w:val="231F1F"/>
        </w:rPr>
        <w:t>pocas veces se podía realizar con ellas transacciones comerciales de </w:t>
      </w:r>
      <w:r>
        <w:rPr>
          <w:color w:val="231F1F"/>
          <w:spacing w:val="2"/>
        </w:rPr>
        <w:t>uso </w:t>
      </w:r>
      <w:r>
        <w:rPr>
          <w:color w:val="231F1F"/>
        </w:rPr>
        <w:t>cotidiano entre la mayoría de la población pobre de esta sociedad (Romano, </w:t>
      </w:r>
      <w:r>
        <w:rPr>
          <w:color w:val="231F1F"/>
          <w:sz w:val="20"/>
        </w:rPr>
        <w:t>1998:     </w:t>
      </w:r>
      <w:r>
        <w:rPr>
          <w:color w:val="231F1F"/>
          <w:spacing w:val="12"/>
          <w:sz w:val="20"/>
        </w:rPr>
        <w:t> </w:t>
      </w:r>
      <w:r>
        <w:rPr>
          <w:color w:val="231F1F"/>
          <w:spacing w:val="2"/>
          <w:sz w:val="20"/>
        </w:rPr>
        <w:t>115-118</w:t>
      </w:r>
      <w:r>
        <w:rPr>
          <w:color w:val="231F1F"/>
          <w:spacing w:val="2"/>
        </w:rPr>
        <w:t>).</w:t>
      </w:r>
    </w:p>
    <w:p>
      <w:pPr>
        <w:pStyle w:val="BodyText"/>
        <w:spacing w:before="9"/>
        <w:rPr>
          <w:sz w:val="27"/>
        </w:rPr>
      </w:pPr>
    </w:p>
    <w:p>
      <w:pPr>
        <w:pStyle w:val="BodyText"/>
        <w:spacing w:line="268" w:lineRule="auto"/>
        <w:ind w:left="1504" w:right="3818"/>
        <w:jc w:val="both"/>
      </w:pPr>
      <w:r>
        <w:rPr>
          <w:color w:val="231F1F"/>
        </w:rPr>
        <w:t>El estudio de Romano muestra también que algunos sectores sociales y eco- nómicos de la sociedad novohispana usaron ciertos signos monetarios o seu- domonedas para realizar pagos de mano de obra e intercambios mercantiles locales. Así pues, los llamados “tlacos” y “pilones” hicieron su aparición en     el siglo </w:t>
      </w:r>
      <w:r>
        <w:rPr>
          <w:color w:val="231F1F"/>
          <w:sz w:val="18"/>
        </w:rPr>
        <w:t>XVIII </w:t>
      </w:r>
      <w:r>
        <w:rPr>
          <w:color w:val="231F1F"/>
        </w:rPr>
        <w:t>como una solución creativa de la sociedad colonial para poder comercializar productos y mercancías al menudeo dentro de circuitos locales o regionales como el de ciudades, villas, haciendas, plantaciones y ranchos. Estas seudomonedas se elaboraban en papel, cartón, madera y a veces en cobre, con las marcas y denominaciones que le daban los comerciantes o patrones que las emitían (Romano,  </w:t>
      </w:r>
      <w:r>
        <w:rPr>
          <w:color w:val="231F1F"/>
          <w:sz w:val="20"/>
        </w:rPr>
        <w:t>1998:  133;  </w:t>
      </w:r>
      <w:r>
        <w:rPr>
          <w:color w:val="231F1F"/>
        </w:rPr>
        <w:t>López  González,  </w:t>
      </w:r>
      <w:r>
        <w:rPr>
          <w:color w:val="231F1F"/>
          <w:sz w:val="20"/>
        </w:rPr>
        <w:t>1987:  92-  99</w:t>
      </w:r>
      <w:r>
        <w:rPr>
          <w:color w:val="231F1F"/>
        </w:rPr>
        <w:t>). </w:t>
      </w:r>
      <w:r>
        <w:rPr>
          <w:color w:val="231F1F"/>
          <w:spacing w:val="-11"/>
        </w:rPr>
        <w:t>Y, </w:t>
      </w:r>
      <w:r>
        <w:rPr>
          <w:color w:val="231F1F"/>
        </w:rPr>
        <w:t>por supuesto, una cantidad indeterminada de intercambios de artícu- los y productos se hicieron de manera directa o trueque, sin que mediaran monedas o seudomonedas. Es </w:t>
      </w:r>
      <w:r>
        <w:rPr>
          <w:color w:val="231F1F"/>
          <w:spacing w:val="-3"/>
        </w:rPr>
        <w:t>decir, </w:t>
      </w:r>
      <w:r>
        <w:rPr>
          <w:color w:val="231F1F"/>
        </w:rPr>
        <w:t>la economía colonial novohispana se caracterizaba por el funcionamiento de una compleja coexistencia de una economía natural y una economía monetaria y seudomonetaria. Éste era, precisamente, el panorama económico que tuvieron que enfrentar tanto los líderes</w:t>
      </w:r>
      <w:r>
        <w:rPr>
          <w:color w:val="231F1F"/>
          <w:spacing w:val="21"/>
        </w:rPr>
        <w:t> </w:t>
      </w:r>
      <w:r>
        <w:rPr>
          <w:color w:val="231F1F"/>
        </w:rPr>
        <w:t>insurgentes</w:t>
      </w:r>
      <w:r>
        <w:rPr>
          <w:color w:val="231F1F"/>
          <w:spacing w:val="21"/>
        </w:rPr>
        <w:t> </w:t>
      </w:r>
      <w:r>
        <w:rPr>
          <w:color w:val="231F1F"/>
        </w:rPr>
        <w:t>como</w:t>
      </w:r>
      <w:r>
        <w:rPr>
          <w:color w:val="231F1F"/>
          <w:spacing w:val="21"/>
        </w:rPr>
        <w:t> </w:t>
      </w:r>
      <w:r>
        <w:rPr>
          <w:color w:val="231F1F"/>
        </w:rPr>
        <w:t>las</w:t>
      </w:r>
      <w:r>
        <w:rPr>
          <w:color w:val="231F1F"/>
          <w:spacing w:val="21"/>
        </w:rPr>
        <w:t> </w:t>
      </w:r>
      <w:r>
        <w:rPr>
          <w:color w:val="231F1F"/>
        </w:rPr>
        <w:t>fuerzas</w:t>
      </w:r>
      <w:r>
        <w:rPr>
          <w:color w:val="231F1F"/>
          <w:spacing w:val="21"/>
        </w:rPr>
        <w:t> </w:t>
      </w:r>
      <w:r>
        <w:rPr>
          <w:color w:val="231F1F"/>
        </w:rPr>
        <w:t>realistas</w:t>
      </w:r>
      <w:r>
        <w:rPr>
          <w:color w:val="231F1F"/>
          <w:spacing w:val="21"/>
        </w:rPr>
        <w:t> </w:t>
      </w:r>
      <w:r>
        <w:rPr>
          <w:color w:val="231F1F"/>
        </w:rPr>
        <w:t>a</w:t>
      </w:r>
      <w:r>
        <w:rPr>
          <w:color w:val="231F1F"/>
          <w:spacing w:val="21"/>
        </w:rPr>
        <w:t> </w:t>
      </w:r>
      <w:r>
        <w:rPr>
          <w:color w:val="231F1F"/>
        </w:rPr>
        <w:t>principios</w:t>
      </w:r>
      <w:r>
        <w:rPr>
          <w:color w:val="231F1F"/>
          <w:spacing w:val="21"/>
        </w:rPr>
        <w:t> </w:t>
      </w:r>
      <w:r>
        <w:rPr>
          <w:color w:val="231F1F"/>
        </w:rPr>
        <w:t>del</w:t>
      </w:r>
      <w:r>
        <w:rPr>
          <w:color w:val="231F1F"/>
          <w:spacing w:val="21"/>
        </w:rPr>
        <w:t> </w:t>
      </w:r>
      <w:r>
        <w:rPr>
          <w:color w:val="231F1F"/>
        </w:rPr>
        <w:t>siglo</w:t>
      </w:r>
      <w:r>
        <w:rPr>
          <w:color w:val="231F1F"/>
          <w:spacing w:val="21"/>
        </w:rPr>
        <w:t> </w:t>
      </w:r>
      <w:r>
        <w:rPr>
          <w:color w:val="231F1F"/>
          <w:sz w:val="18"/>
        </w:rPr>
        <w:t>XIX</w:t>
      </w:r>
      <w:r>
        <w:rPr>
          <w:color w:val="231F1F"/>
        </w:rPr>
        <w:t>.</w:t>
      </w:r>
    </w:p>
    <w:p>
      <w:pPr>
        <w:pStyle w:val="BodyText"/>
        <w:spacing w:before="9"/>
        <w:rPr>
          <w:sz w:val="27"/>
        </w:rPr>
      </w:pPr>
    </w:p>
    <w:p>
      <w:pPr>
        <w:pStyle w:val="BodyText"/>
        <w:ind w:left="1504"/>
        <w:jc w:val="both"/>
      </w:pPr>
      <w:r>
        <w:rPr>
          <w:color w:val="231F1F"/>
          <w:w w:val="105"/>
        </w:rPr>
        <w:t>Morelos, los pueblos del sur y la sequía    monetaria</w:t>
      </w:r>
    </w:p>
    <w:p>
      <w:pPr>
        <w:pStyle w:val="BodyText"/>
        <w:spacing w:before="5"/>
        <w:rPr>
          <w:sz w:val="30"/>
        </w:rPr>
      </w:pPr>
    </w:p>
    <w:p>
      <w:pPr>
        <w:pStyle w:val="BodyText"/>
        <w:spacing w:line="268" w:lineRule="auto"/>
        <w:ind w:left="1504" w:right="3822"/>
        <w:jc w:val="both"/>
      </w:pPr>
      <w:r>
        <w:rPr>
          <w:color w:val="231F1F"/>
        </w:rPr>
        <w:t>Para poder explicar el rápido desarrollo y puesta en práctica de la política monetaria insurgente, sobre todo los proyectos de Morelos y Rayón en </w:t>
      </w:r>
      <w:r>
        <w:rPr>
          <w:color w:val="231F1F"/>
          <w:sz w:val="20"/>
        </w:rPr>
        <w:t>1811</w:t>
      </w:r>
      <w:r>
        <w:rPr>
          <w:color w:val="231F1F"/>
        </w:rPr>
        <w:t>, propongo dos hipótesis. La primera: es muy probable que en el encuentro entre los curas Miguel Hidalgo y José María Morelos, en octubre de </w:t>
      </w:r>
      <w:r>
        <w:rPr>
          <w:color w:val="231F1F"/>
          <w:sz w:val="20"/>
        </w:rPr>
        <w:t>1810       </w:t>
      </w:r>
      <w:r>
        <w:rPr>
          <w:color w:val="231F1F"/>
        </w:rPr>
        <w:t>en los poblados de Charo e Indaparapeo, el primero haya informado al segundo sobre las dificultades que habría sorteado en menos de un mes   para mantener vivo el interés de los individuos que se habían enlistado en las fuerzas insurgentes. Además de asegurar el alimento, el vestido y las armas de cientos de miles de nuevos rebeldes, la mayoría de ellos esperaba ser retribuido con botines de guerra en especie (joyas) o dinero. A pesar de   </w:t>
      </w:r>
      <w:r>
        <w:rPr>
          <w:color w:val="231F1F"/>
          <w:spacing w:val="4"/>
        </w:rPr>
        <w:t> </w:t>
      </w:r>
      <w:r>
        <w:rPr>
          <w:color w:val="231F1F"/>
        </w:rPr>
        <w:t>que</w:t>
      </w:r>
    </w:p>
    <w:p>
      <w:pPr>
        <w:spacing w:after="0" w:line="268" w:lineRule="auto"/>
        <w:jc w:val="both"/>
        <w:sectPr>
          <w:pgSz w:w="13100" w:h="17920"/>
          <w:pgMar w:top="1660" w:bottom="280" w:left="820" w:right="0"/>
        </w:sectPr>
      </w:pPr>
    </w:p>
    <w:p>
      <w:pPr>
        <w:pStyle w:val="BodyText"/>
        <w:spacing w:line="268" w:lineRule="auto" w:before="37"/>
        <w:ind w:left="1966" w:right="490"/>
        <w:jc w:val="both"/>
      </w:pPr>
      <w:r>
        <w:rPr>
          <w:color w:val="231F1F"/>
        </w:rPr>
        <w:t>el Padre de la Patria pudo expropiar significativos caudales los primeros días de avance insurgente sobre el territorio novohispano, hubo tiempo</w:t>
      </w:r>
      <w:r>
        <w:rPr>
          <w:color w:val="231F1F"/>
          <w:spacing w:val="-13"/>
        </w:rPr>
        <w:t> </w:t>
      </w:r>
      <w:r>
        <w:rPr>
          <w:color w:val="231F1F"/>
        </w:rPr>
        <w:t>suficiente para que muchos comerciantes locales, recaudadores civiles y eclesiásticos, así como empresarios agropecuarios huyeran de inmediato con su familia      y dinero en efectivo, haciendo más difícil el logro de botines significativos conforme se iba extendiendo la insurgencia. Sólo los vecinos confiados o desprevenidos fueron presa fácil de los ataques de los ejércitos rebeldes. La misma información debió comunicarse, unos días más tarde, al licenciado Ignacio López Rayón en el poblado de Maravatío. Aunque no hay testimo- nios escritos sobre ello, veremos que tanto Morelos como Rayón pusieron  en marcha, pocos meses después, un plan casi simultáneo para acuñar las primeras monedas insurgentes; esto refuerza la idea de un probable comen- tario</w:t>
      </w:r>
      <w:r>
        <w:rPr>
          <w:color w:val="231F1F"/>
          <w:spacing w:val="-10"/>
        </w:rPr>
        <w:t> </w:t>
      </w:r>
      <w:r>
        <w:rPr>
          <w:color w:val="231F1F"/>
        </w:rPr>
        <w:t>sobre</w:t>
      </w:r>
      <w:r>
        <w:rPr>
          <w:color w:val="231F1F"/>
          <w:spacing w:val="-10"/>
        </w:rPr>
        <w:t> </w:t>
      </w:r>
      <w:r>
        <w:rPr>
          <w:color w:val="231F1F"/>
        </w:rPr>
        <w:t>el</w:t>
      </w:r>
      <w:r>
        <w:rPr>
          <w:color w:val="231F1F"/>
          <w:spacing w:val="-10"/>
        </w:rPr>
        <w:t> </w:t>
      </w:r>
      <w:r>
        <w:rPr>
          <w:color w:val="231F1F"/>
        </w:rPr>
        <w:t>tema</w:t>
      </w:r>
      <w:r>
        <w:rPr>
          <w:color w:val="231F1F"/>
          <w:spacing w:val="-10"/>
        </w:rPr>
        <w:t> </w:t>
      </w:r>
      <w:r>
        <w:rPr>
          <w:color w:val="231F1F"/>
        </w:rPr>
        <w:t>entre</w:t>
      </w:r>
      <w:r>
        <w:rPr>
          <w:color w:val="231F1F"/>
          <w:spacing w:val="-10"/>
        </w:rPr>
        <w:t> </w:t>
      </w:r>
      <w:r>
        <w:rPr>
          <w:color w:val="231F1F"/>
        </w:rPr>
        <w:t>estos</w:t>
      </w:r>
      <w:r>
        <w:rPr>
          <w:color w:val="231F1F"/>
          <w:spacing w:val="-10"/>
        </w:rPr>
        <w:t> </w:t>
      </w:r>
      <w:r>
        <w:rPr>
          <w:color w:val="231F1F"/>
        </w:rPr>
        <w:t>tres</w:t>
      </w:r>
      <w:r>
        <w:rPr>
          <w:color w:val="231F1F"/>
          <w:spacing w:val="-10"/>
        </w:rPr>
        <w:t> </w:t>
      </w:r>
      <w:r>
        <w:rPr>
          <w:color w:val="231F1F"/>
        </w:rPr>
        <w:t>personajes</w:t>
      </w:r>
      <w:r>
        <w:rPr>
          <w:color w:val="231F1F"/>
          <w:spacing w:val="-10"/>
        </w:rPr>
        <w:t> </w:t>
      </w:r>
      <w:r>
        <w:rPr>
          <w:color w:val="231F1F"/>
        </w:rPr>
        <w:t>a</w:t>
      </w:r>
      <w:r>
        <w:rPr>
          <w:color w:val="231F1F"/>
          <w:spacing w:val="-10"/>
        </w:rPr>
        <w:t> </w:t>
      </w:r>
      <w:r>
        <w:rPr>
          <w:color w:val="231F1F"/>
        </w:rPr>
        <w:t>principios</w:t>
      </w:r>
      <w:r>
        <w:rPr>
          <w:color w:val="231F1F"/>
          <w:spacing w:val="-10"/>
        </w:rPr>
        <w:t> </w:t>
      </w:r>
      <w:r>
        <w:rPr>
          <w:color w:val="231F1F"/>
        </w:rPr>
        <w:t>del</w:t>
      </w:r>
      <w:r>
        <w:rPr>
          <w:color w:val="231F1F"/>
          <w:spacing w:val="-10"/>
        </w:rPr>
        <w:t> </w:t>
      </w:r>
      <w:r>
        <w:rPr>
          <w:color w:val="231F1F"/>
        </w:rPr>
        <w:t>levantamiento.</w:t>
      </w:r>
    </w:p>
    <w:p>
      <w:pPr>
        <w:pStyle w:val="BodyText"/>
        <w:spacing w:before="9"/>
        <w:rPr>
          <w:sz w:val="27"/>
        </w:rPr>
      </w:pPr>
    </w:p>
    <w:p>
      <w:pPr>
        <w:pStyle w:val="BodyText"/>
        <w:spacing w:line="268" w:lineRule="auto"/>
        <w:ind w:left="1966" w:right="490"/>
        <w:jc w:val="both"/>
      </w:pPr>
      <w:r>
        <w:rPr>
          <w:color w:val="231F1F"/>
        </w:rPr>
        <w:t>La segunda hipótesis tiene que ver con el sentido práctico y mundano que vivieron estos dos líderes insurgentes, en sus respectivos territorios, ante un problema ineludible: la crónica sequía monetaria que paralizaba los tratos comerciales, los impuestos o contribuciones de guerra y los pagos a sus ejér- citos respectivos. Como bien sabemos por la historiografía reciente, Morelos emprendió de inmediato su campaña rebelde con la consigna de tomar el puerto de Acapulco, punto de conexión entre América y el sur de Asia. En      el itinerario elegido por el cura de Carácuaro, partiendo de Valladolid (hoy Morelia) rumbo al Pacífico, el novel sacerdote rebelde fue levantando pue- blos y habitantes de ranchos y haciendas en favor de la causa insurgente.     La misión incluía el mandato de detener en el camino a los “gachupines” y confiscar sus bienes y dinero. Sin embargo, por una copia de la carta que Morelos dirigió a Hidalgo,  al  llegar  por  primera  vez  a  Acapulco,  se  sabe de la gran desilución de éste al no haber obtenido, hasta entonces, botines    o dineros significativos para compensar la labor de su tropa: “Noticio a </w:t>
      </w:r>
      <w:r>
        <w:rPr>
          <w:color w:val="231F1F"/>
          <w:spacing w:val="-6"/>
        </w:rPr>
        <w:t>V.E. </w:t>
      </w:r>
      <w:r>
        <w:rPr>
          <w:color w:val="231F1F"/>
        </w:rPr>
        <w:t>cómo he recorrido toda la costa del </w:t>
      </w:r>
      <w:r>
        <w:rPr>
          <w:color w:val="231F1F"/>
          <w:spacing w:val="-5"/>
        </w:rPr>
        <w:t>sur, </w:t>
      </w:r>
      <w:r>
        <w:rPr>
          <w:color w:val="231F1F"/>
        </w:rPr>
        <w:t>que son como doscientas leguas,  con la mayor felicidad y no he encontrado en todos los gachupines que        he cogido ningunos reales, pues se infiere que éstos los han ocultado con anticipación”  (Lemoine,  </w:t>
      </w:r>
      <w:r>
        <w:rPr>
          <w:color w:val="231F1F"/>
          <w:sz w:val="20"/>
        </w:rPr>
        <w:t>1991:  46  </w:t>
      </w:r>
      <w:r>
        <w:rPr>
          <w:color w:val="231F1F"/>
        </w:rPr>
        <w:t>y  </w:t>
      </w:r>
      <w:r>
        <w:rPr>
          <w:color w:val="231F1F"/>
          <w:spacing w:val="33"/>
        </w:rPr>
        <w:t> </w:t>
      </w:r>
      <w:r>
        <w:rPr>
          <w:color w:val="231F1F"/>
          <w:sz w:val="20"/>
        </w:rPr>
        <w:t>161</w:t>
      </w:r>
      <w:r>
        <w:rPr>
          <w:color w:val="231F1F"/>
        </w:rPr>
        <w:t>).</w:t>
      </w:r>
    </w:p>
    <w:p>
      <w:pPr>
        <w:pStyle w:val="BodyText"/>
        <w:spacing w:before="9"/>
        <w:rPr>
          <w:sz w:val="27"/>
        </w:rPr>
      </w:pPr>
    </w:p>
    <w:p>
      <w:pPr>
        <w:pStyle w:val="BodyText"/>
        <w:spacing w:line="268" w:lineRule="auto"/>
        <w:ind w:left="1966" w:right="487"/>
        <w:jc w:val="both"/>
      </w:pPr>
      <w:r>
        <w:rPr>
          <w:color w:val="231F1F"/>
        </w:rPr>
        <w:t>El Rayo del Sur no tardó en darse cuenta de que el movimiento armado había creado en las zonas bajo su control un gran pánico entre las poblaciones         y vecinos que manejaban </w:t>
      </w:r>
      <w:r>
        <w:rPr>
          <w:color w:val="231F1F"/>
          <w:spacing w:val="2"/>
        </w:rPr>
        <w:t>ciertos  </w:t>
      </w:r>
      <w:r>
        <w:rPr>
          <w:color w:val="231F1F"/>
        </w:rPr>
        <w:t>caudales  y  que  ello  había  provocado  una sequía total de circulante. Como lo ha señalado, atinadamente, el nu- mismático e historiador Luis Gómez-Wulschner, Morelos hubo de emitir un primer bando, el </w:t>
      </w:r>
      <w:r>
        <w:rPr>
          <w:color w:val="231F1F"/>
          <w:sz w:val="20"/>
        </w:rPr>
        <w:t>13 </w:t>
      </w:r>
      <w:r>
        <w:rPr>
          <w:color w:val="231F1F"/>
        </w:rPr>
        <w:t>de julio de </w:t>
      </w:r>
      <w:r>
        <w:rPr>
          <w:color w:val="231F1F"/>
          <w:sz w:val="20"/>
        </w:rPr>
        <w:t>1811, </w:t>
      </w:r>
      <w:r>
        <w:rPr>
          <w:color w:val="231F1F"/>
        </w:rPr>
        <w:t>para batir moneda de cobre con las denominaciones del cuño corriente y con ello pagar a los ejércitos bajo su mando.</w:t>
      </w:r>
      <w:r>
        <w:rPr>
          <w:color w:val="231F1F"/>
          <w:spacing w:val="-6"/>
        </w:rPr>
        <w:t> </w:t>
      </w:r>
      <w:r>
        <w:rPr>
          <w:color w:val="231F1F"/>
        </w:rPr>
        <w:t>Además,</w:t>
      </w:r>
      <w:r>
        <w:rPr>
          <w:color w:val="231F1F"/>
          <w:spacing w:val="-6"/>
        </w:rPr>
        <w:t> </w:t>
      </w:r>
      <w:r>
        <w:rPr>
          <w:color w:val="231F1F"/>
        </w:rPr>
        <w:t>esta</w:t>
      </w:r>
      <w:r>
        <w:rPr>
          <w:color w:val="231F1F"/>
          <w:spacing w:val="-6"/>
        </w:rPr>
        <w:t> </w:t>
      </w:r>
      <w:r>
        <w:rPr>
          <w:color w:val="231F1F"/>
        </w:rPr>
        <w:t>moneda</w:t>
      </w:r>
      <w:r>
        <w:rPr>
          <w:color w:val="231F1F"/>
          <w:spacing w:val="-6"/>
        </w:rPr>
        <w:t> </w:t>
      </w:r>
      <w:r>
        <w:rPr>
          <w:color w:val="231F1F"/>
        </w:rPr>
        <w:t>habría</w:t>
      </w:r>
      <w:r>
        <w:rPr>
          <w:color w:val="231F1F"/>
          <w:spacing w:val="-6"/>
        </w:rPr>
        <w:t> </w:t>
      </w:r>
      <w:r>
        <w:rPr>
          <w:color w:val="231F1F"/>
        </w:rPr>
        <w:t>de</w:t>
      </w:r>
      <w:r>
        <w:rPr>
          <w:color w:val="231F1F"/>
          <w:spacing w:val="-6"/>
        </w:rPr>
        <w:t> </w:t>
      </w:r>
      <w:r>
        <w:rPr>
          <w:color w:val="231F1F"/>
        </w:rPr>
        <w:t>tener</w:t>
      </w:r>
      <w:r>
        <w:rPr>
          <w:color w:val="231F1F"/>
          <w:spacing w:val="-6"/>
        </w:rPr>
        <w:t> </w:t>
      </w:r>
      <w:r>
        <w:rPr>
          <w:color w:val="231F1F"/>
        </w:rPr>
        <w:t>el</w:t>
      </w:r>
      <w:r>
        <w:rPr>
          <w:color w:val="231F1F"/>
          <w:spacing w:val="-6"/>
        </w:rPr>
        <w:t> </w:t>
      </w:r>
      <w:r>
        <w:rPr>
          <w:color w:val="231F1F"/>
        </w:rPr>
        <w:t>primer</w:t>
      </w:r>
      <w:r>
        <w:rPr>
          <w:color w:val="231F1F"/>
          <w:spacing w:val="-6"/>
        </w:rPr>
        <w:t> </w:t>
      </w:r>
      <w:r>
        <w:rPr>
          <w:color w:val="231F1F"/>
        </w:rPr>
        <w:t>carácter</w:t>
      </w:r>
      <w:r>
        <w:rPr>
          <w:color w:val="231F1F"/>
          <w:spacing w:val="-6"/>
        </w:rPr>
        <w:t> </w:t>
      </w:r>
      <w:r>
        <w:rPr>
          <w:color w:val="231F1F"/>
        </w:rPr>
        <w:t>de</w:t>
      </w:r>
      <w:r>
        <w:rPr>
          <w:color w:val="231F1F"/>
          <w:spacing w:val="-6"/>
        </w:rPr>
        <w:t> </w:t>
      </w:r>
      <w:r>
        <w:rPr>
          <w:color w:val="231F1F"/>
        </w:rPr>
        <w:t>fiduciaria en</w:t>
      </w:r>
      <w:r>
        <w:rPr>
          <w:color w:val="231F1F"/>
          <w:spacing w:val="20"/>
        </w:rPr>
        <w:t> </w:t>
      </w:r>
      <w:r>
        <w:rPr>
          <w:color w:val="231F1F"/>
        </w:rPr>
        <w:t>la</w:t>
      </w:r>
      <w:r>
        <w:rPr>
          <w:color w:val="231F1F"/>
          <w:spacing w:val="20"/>
        </w:rPr>
        <w:t> </w:t>
      </w:r>
      <w:r>
        <w:rPr>
          <w:color w:val="231F1F"/>
        </w:rPr>
        <w:t>historia</w:t>
      </w:r>
      <w:r>
        <w:rPr>
          <w:color w:val="231F1F"/>
          <w:spacing w:val="20"/>
        </w:rPr>
        <w:t> </w:t>
      </w:r>
      <w:r>
        <w:rPr>
          <w:color w:val="231F1F"/>
        </w:rPr>
        <w:t>de</w:t>
      </w:r>
      <w:r>
        <w:rPr>
          <w:color w:val="231F1F"/>
          <w:spacing w:val="20"/>
        </w:rPr>
        <w:t> </w:t>
      </w:r>
      <w:r>
        <w:rPr>
          <w:color w:val="231F1F"/>
        </w:rPr>
        <w:t>México</w:t>
      </w:r>
      <w:r>
        <w:rPr>
          <w:color w:val="231F1F"/>
          <w:spacing w:val="20"/>
        </w:rPr>
        <w:t> </w:t>
      </w:r>
      <w:r>
        <w:rPr>
          <w:color w:val="231F1F"/>
        </w:rPr>
        <w:t>(Véase</w:t>
      </w:r>
      <w:r>
        <w:rPr>
          <w:color w:val="231F1F"/>
          <w:spacing w:val="20"/>
        </w:rPr>
        <w:t> </w:t>
      </w:r>
      <w:r>
        <w:rPr>
          <w:color w:val="231F1F"/>
        </w:rPr>
        <w:t>capítulo</w:t>
      </w:r>
      <w:r>
        <w:rPr>
          <w:color w:val="231F1F"/>
          <w:spacing w:val="20"/>
        </w:rPr>
        <w:t> </w:t>
      </w:r>
      <w:r>
        <w:rPr>
          <w:color w:val="231F1F"/>
        </w:rPr>
        <w:t>correspondiente</w:t>
      </w:r>
      <w:r>
        <w:rPr>
          <w:color w:val="231F1F"/>
          <w:spacing w:val="20"/>
        </w:rPr>
        <w:t> </w:t>
      </w:r>
      <w:r>
        <w:rPr>
          <w:color w:val="231F1F"/>
        </w:rPr>
        <w:t>en</w:t>
      </w:r>
      <w:r>
        <w:rPr>
          <w:color w:val="231F1F"/>
          <w:spacing w:val="20"/>
        </w:rPr>
        <w:t> </w:t>
      </w:r>
      <w:r>
        <w:rPr>
          <w:color w:val="231F1F"/>
        </w:rPr>
        <w:t>este</w:t>
      </w:r>
      <w:r>
        <w:rPr>
          <w:color w:val="231F1F"/>
          <w:spacing w:val="20"/>
        </w:rPr>
        <w:t> </w:t>
      </w:r>
      <w:r>
        <w:rPr>
          <w:color w:val="231F1F"/>
        </w:rPr>
        <w:t>libro).</w:t>
      </w:r>
      <w:r>
        <w:rPr>
          <w:color w:val="231F1F"/>
          <w:spacing w:val="20"/>
        </w:rPr>
        <w:t> </w:t>
      </w:r>
      <w:r>
        <w:rPr>
          <w:color w:val="231F1F"/>
        </w:rPr>
        <w:t>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spacing w:after="0"/>
        <w:rPr>
          <w:sz w:val="23"/>
        </w:rPr>
        <w:sectPr>
          <w:pgSz w:w="13100" w:h="17920"/>
          <w:pgMar w:top="1700" w:bottom="280" w:left="1860" w:right="1860"/>
        </w:sectPr>
      </w:pPr>
    </w:p>
    <w:p>
      <w:pPr>
        <w:spacing w:line="194" w:lineRule="exact" w:before="79"/>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115</w:t>
      </w:r>
    </w:p>
    <w:p>
      <w:pPr>
        <w:spacing w:after="0"/>
        <w:jc w:val="left"/>
        <w:rPr>
          <w:sz w:val="18"/>
        </w:rPr>
        <w:sectPr>
          <w:type w:val="continuous"/>
          <w:pgSz w:w="13100" w:h="17920"/>
          <w:pgMar w:top="0" w:bottom="0" w:left="1860" w:right="1860"/>
          <w:cols w:num="2" w:equalWidth="0">
            <w:col w:w="8173" w:space="40"/>
            <w:col w:w="1167"/>
          </w:cols>
        </w:sectPr>
      </w:pPr>
    </w:p>
    <w:p>
      <w:pPr>
        <w:pStyle w:val="BodyText"/>
        <w:tabs>
          <w:tab w:pos="3913" w:val="left" w:leader="none"/>
        </w:tabs>
        <w:spacing w:line="268" w:lineRule="auto" w:before="29"/>
        <w:ind w:left="3913" w:right="1725" w:hanging="3580"/>
        <w:jc w:val="both"/>
      </w:pPr>
      <w:r>
        <w:rPr/>
        <w:drawing>
          <wp:anchor distT="0" distB="0" distL="0" distR="0" allowOverlap="1" layoutInCell="1" locked="0" behindDoc="1" simplePos="0" relativeHeight="268361351">
            <wp:simplePos x="0" y="0"/>
            <wp:positionH relativeFrom="page">
              <wp:posOffset>589533</wp:posOffset>
            </wp:positionH>
            <wp:positionV relativeFrom="paragraph">
              <wp:posOffset>362513</wp:posOffset>
            </wp:positionV>
            <wp:extent cx="522296" cy="457949"/>
            <wp:effectExtent l="0" t="0" r="0" b="0"/>
            <wp:wrapNone/>
            <wp:docPr id="63" name="image24.png" descr=""/>
            <wp:cNvGraphicFramePr>
              <a:graphicFrameLocks noChangeAspect="1"/>
            </wp:cNvGraphicFramePr>
            <a:graphic>
              <a:graphicData uri="http://schemas.openxmlformats.org/drawingml/2006/picture">
                <pic:pic>
                  <pic:nvPicPr>
                    <pic:cNvPr id="64"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73346pt;width:11pt;height:76.350pt;mso-position-horizontal-relative:page;mso-position-vertical-relative:paragraph;z-index:-74080"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4"/>
          <w:sz w:val="18"/>
        </w:rPr>
        <w:t>116</w:t>
        <w:tab/>
      </w:r>
      <w:r>
        <w:rPr>
          <w:color w:val="231F1F"/>
        </w:rPr>
        <w:t>obstante,</w:t>
      </w:r>
      <w:r>
        <w:rPr>
          <w:color w:val="231F1F"/>
          <w:spacing w:val="21"/>
        </w:rPr>
        <w:t> </w:t>
      </w:r>
      <w:r>
        <w:rPr>
          <w:color w:val="231F1F"/>
        </w:rPr>
        <w:t>“el</w:t>
      </w:r>
      <w:r>
        <w:rPr>
          <w:color w:val="231F1F"/>
          <w:spacing w:val="21"/>
        </w:rPr>
        <w:t> </w:t>
      </w:r>
      <w:r>
        <w:rPr>
          <w:color w:val="231F1F"/>
        </w:rPr>
        <w:t>general</w:t>
      </w:r>
      <w:r>
        <w:rPr>
          <w:color w:val="231F1F"/>
          <w:spacing w:val="21"/>
        </w:rPr>
        <w:t> </w:t>
      </w:r>
      <w:r>
        <w:rPr>
          <w:color w:val="231F1F"/>
        </w:rPr>
        <w:t>de</w:t>
      </w:r>
      <w:r>
        <w:rPr>
          <w:color w:val="231F1F"/>
          <w:spacing w:val="21"/>
        </w:rPr>
        <w:t> </w:t>
      </w:r>
      <w:r>
        <w:rPr>
          <w:color w:val="231F1F"/>
        </w:rPr>
        <w:t>la</w:t>
      </w:r>
      <w:r>
        <w:rPr>
          <w:color w:val="231F1F"/>
          <w:spacing w:val="21"/>
        </w:rPr>
        <w:t> </w:t>
      </w:r>
      <w:r>
        <w:rPr>
          <w:color w:val="231F1F"/>
        </w:rPr>
        <w:t>conquista</w:t>
      </w:r>
      <w:r>
        <w:rPr>
          <w:color w:val="231F1F"/>
          <w:spacing w:val="21"/>
        </w:rPr>
        <w:t> </w:t>
      </w:r>
      <w:r>
        <w:rPr>
          <w:color w:val="231F1F"/>
        </w:rPr>
        <w:t>del</w:t>
      </w:r>
      <w:r>
        <w:rPr>
          <w:color w:val="231F1F"/>
          <w:spacing w:val="21"/>
        </w:rPr>
        <w:t> </w:t>
      </w:r>
      <w:r>
        <w:rPr>
          <w:color w:val="231F1F"/>
        </w:rPr>
        <w:t>sur”</w:t>
      </w:r>
      <w:r>
        <w:rPr>
          <w:color w:val="231F1F"/>
          <w:spacing w:val="21"/>
        </w:rPr>
        <w:t> </w:t>
      </w:r>
      <w:r>
        <w:rPr>
          <w:color w:val="231F1F"/>
        </w:rPr>
        <w:t>añade</w:t>
      </w:r>
      <w:r>
        <w:rPr>
          <w:color w:val="231F1F"/>
          <w:spacing w:val="21"/>
        </w:rPr>
        <w:t> </w:t>
      </w:r>
      <w:r>
        <w:rPr>
          <w:color w:val="231F1F"/>
        </w:rPr>
        <w:t>en</w:t>
      </w:r>
      <w:r>
        <w:rPr>
          <w:color w:val="231F1F"/>
          <w:spacing w:val="21"/>
        </w:rPr>
        <w:t> </w:t>
      </w:r>
      <w:r>
        <w:rPr>
          <w:color w:val="231F1F"/>
        </w:rPr>
        <w:t>el</w:t>
      </w:r>
      <w:r>
        <w:rPr>
          <w:color w:val="231F1F"/>
          <w:spacing w:val="21"/>
        </w:rPr>
        <w:t> </w:t>
      </w:r>
      <w:r>
        <w:rPr>
          <w:color w:val="231F1F"/>
        </w:rPr>
        <w:t>propio</w:t>
      </w:r>
      <w:r>
        <w:rPr>
          <w:color w:val="231F1F"/>
          <w:spacing w:val="21"/>
        </w:rPr>
        <w:t> </w:t>
      </w:r>
      <w:r>
        <w:rPr>
          <w:color w:val="231F1F"/>
        </w:rPr>
        <w:t>bando</w:t>
      </w:r>
      <w:r>
        <w:rPr>
          <w:color w:val="231F1F"/>
          <w:spacing w:val="1"/>
          <w:w w:val="105"/>
        </w:rPr>
        <w:t> </w:t>
      </w:r>
      <w:r>
        <w:rPr>
          <w:color w:val="231F1F"/>
        </w:rPr>
        <w:t>la intención explícita de que esta moneda de cobre </w:t>
      </w:r>
      <w:r>
        <w:rPr>
          <w:color w:val="231F1F"/>
          <w:spacing w:val="2"/>
        </w:rPr>
        <w:t>sirva </w:t>
      </w:r>
      <w:r>
        <w:rPr>
          <w:color w:val="231F1F"/>
        </w:rPr>
        <w:t>para resolver      el grave problema de sequía monetaria, y se puedan realizar todas las transacciones e intercambios económicos en los pueblos, ciudades y empresas  agropecuarias  de  su  zona  de</w:t>
      </w:r>
      <w:r>
        <w:rPr>
          <w:color w:val="231F1F"/>
          <w:spacing w:val="-8"/>
        </w:rPr>
        <w:t> </w:t>
      </w:r>
      <w:r>
        <w:rPr>
          <w:color w:val="231F1F"/>
        </w:rPr>
        <w:t>influencia.</w:t>
      </w:r>
    </w:p>
    <w:p>
      <w:pPr>
        <w:pStyle w:val="BodyText"/>
        <w:spacing w:before="8"/>
        <w:rPr>
          <w:sz w:val="27"/>
        </w:rPr>
      </w:pPr>
    </w:p>
    <w:p>
      <w:pPr>
        <w:spacing w:line="276" w:lineRule="auto" w:before="1"/>
        <w:ind w:left="5047" w:right="1720" w:firstLine="0"/>
        <w:jc w:val="both"/>
        <w:rPr>
          <w:sz w:val="20"/>
        </w:rPr>
      </w:pPr>
      <w:r>
        <w:rPr>
          <w:color w:val="383434"/>
          <w:sz w:val="20"/>
        </w:rPr>
        <w:t>Siendo de mi obligación providenciar para que, en cuanto sea posible, nada falte a lo muy preciso para el fomento de nuestras armas; y faltándonos la moneda corriente de plata y oro para el socorro de las tropas, he resuelto, por decreto de este día, que en  la ciudad de Nuestra Señora de Guadalupe, de la Provincia de Tecpan, se selle moneda de cobre para el uso del comercio, en calidad de libranza, que satisfará nuestra Caja Nacional concluida   la conquista, o antes, luego que tenga reales suficientes en plata     o en oro, lo que no es difícil, porque los minerales comenzarán      ya a trabajarse; y la moneda que hay sellada y por sellar, no consentiremos que salga de este reino para otro […] Y por cuanto esta moneda es una libranza segura de letra vista, que  ha  de  pagar nuestra Caja  Nacional  en  el  acto  que  se  presente  el  que la llevare, debe </w:t>
      </w:r>
      <w:r>
        <w:rPr>
          <w:color w:val="383434"/>
          <w:spacing w:val="-3"/>
          <w:sz w:val="20"/>
        </w:rPr>
        <w:t>tener, </w:t>
      </w:r>
      <w:r>
        <w:rPr>
          <w:color w:val="383434"/>
          <w:sz w:val="20"/>
        </w:rPr>
        <w:t>por lo mismo, el propio valor y estimación, como si fuera de plata o de oro, y servir para todos los tratos y contratos de compras, ventas, vales y libranzas, cobros y pagos, etcétera, en todo este reino, como ha servido y </w:t>
      </w:r>
      <w:r>
        <w:rPr>
          <w:color w:val="383434"/>
          <w:spacing w:val="2"/>
          <w:sz w:val="20"/>
        </w:rPr>
        <w:t>sirve </w:t>
      </w:r>
      <w:r>
        <w:rPr>
          <w:color w:val="383434"/>
          <w:sz w:val="20"/>
        </w:rPr>
        <w:t>la del cuño mexicano. Y para que tenga efecto, se comenzará a sellar dicha moneda en la Tesorería de la expresada Capital y seguirá en las demás en que hubiere necesidad, de las que se dará aviso al público. Y para que no se equivoque con los cuartos o clacos de    las tiendas, mando a los dueños de ellas los recojan todos los que fueren de cobre, dando su justo valor en reales de plata a los que los entreguen; y sólo seguirán por ahora en comercio de tiendas los clacos de madera, como ha sido costumbre en muchos lugares de este reino, para la comodidad de los pobres. Y en obvio de que     los tenderos que usaren clacos de madera no padezcan fraudes, deberán obtener licencia de esta Superioridad para la cantidad de clacos que quisieren sellar, la que se les concederá a poca costa    de una corta contribución que harán para el socorro de las tropas (Lemoine,   </w:t>
      </w:r>
      <w:r>
        <w:rPr>
          <w:color w:val="383434"/>
          <w:sz w:val="18"/>
        </w:rPr>
        <w:t>1991:  </w:t>
      </w:r>
      <w:r>
        <w:rPr>
          <w:color w:val="383434"/>
          <w:spacing w:val="30"/>
          <w:sz w:val="18"/>
        </w:rPr>
        <w:t> </w:t>
      </w:r>
      <w:r>
        <w:rPr>
          <w:color w:val="383434"/>
          <w:sz w:val="18"/>
        </w:rPr>
        <w:t>176-177</w:t>
      </w:r>
      <w:r>
        <w:rPr>
          <w:color w:val="383434"/>
          <w:sz w:val="20"/>
        </w:rPr>
        <w:t>).</w:t>
      </w:r>
    </w:p>
    <w:p>
      <w:pPr>
        <w:pStyle w:val="BodyText"/>
        <w:spacing w:before="10"/>
        <w:rPr>
          <w:sz w:val="27"/>
        </w:rPr>
      </w:pPr>
    </w:p>
    <w:p>
      <w:pPr>
        <w:pStyle w:val="BodyText"/>
        <w:spacing w:line="268" w:lineRule="auto"/>
        <w:ind w:left="3913" w:right="1726"/>
        <w:jc w:val="both"/>
      </w:pPr>
      <w:r>
        <w:rPr>
          <w:color w:val="231F1F"/>
          <w:spacing w:val="-3"/>
        </w:rPr>
        <w:t>Como puede </w:t>
      </w:r>
      <w:r>
        <w:rPr>
          <w:color w:val="231F1F"/>
        </w:rPr>
        <w:t>observarse, </w:t>
      </w:r>
      <w:r>
        <w:rPr>
          <w:color w:val="231F1F"/>
          <w:spacing w:val="-3"/>
        </w:rPr>
        <w:t>Morelos pensaba </w:t>
      </w:r>
      <w:r>
        <w:rPr>
          <w:color w:val="231F1F"/>
        </w:rPr>
        <w:t>que una vez </w:t>
      </w:r>
      <w:r>
        <w:rPr>
          <w:color w:val="231F1F"/>
          <w:spacing w:val="-3"/>
        </w:rPr>
        <w:t>obtenido </w:t>
      </w:r>
      <w:r>
        <w:rPr>
          <w:color w:val="231F1F"/>
        </w:rPr>
        <w:t>el </w:t>
      </w:r>
      <w:r>
        <w:rPr>
          <w:color w:val="231F1F"/>
          <w:spacing w:val="-3"/>
        </w:rPr>
        <w:t>control </w:t>
      </w:r>
      <w:r>
        <w:rPr>
          <w:color w:val="231F1F"/>
        </w:rPr>
        <w:t>de la acuñación de monedas en plata y oro no se permitiría la exportación de las mismas a ningún otro reino foráneo. El Caudillo del Sur sólo tenía pocos meses de haber abandonado su estado eclesiástico y no era un experto en las finanzas nacionales ni en el papel que jugaba la moneda novohispana en el comercio mundial. La historia ulterior mostraría que a lo largo del siglo </w:t>
      </w:r>
      <w:r>
        <w:rPr>
          <w:color w:val="231F1F"/>
          <w:sz w:val="18"/>
        </w:rPr>
        <w:t>XIX  </w:t>
      </w:r>
      <w:r>
        <w:rPr>
          <w:color w:val="231F1F"/>
        </w:rPr>
        <w:t>nuestro país siguió siendo el principal exportador</w:t>
      </w:r>
    </w:p>
    <w:p>
      <w:pPr>
        <w:spacing w:after="0" w:line="268" w:lineRule="auto"/>
        <w:jc w:val="both"/>
        <w:sectPr>
          <w:pgSz w:w="13100" w:h="17920"/>
          <w:pgMar w:top="1660" w:bottom="280" w:left="820" w:right="0"/>
        </w:sectPr>
      </w:pPr>
    </w:p>
    <w:p>
      <w:pPr>
        <w:pStyle w:val="BodyText"/>
        <w:spacing w:line="268" w:lineRule="auto" w:before="41"/>
        <w:ind w:left="109" w:right="456"/>
        <w:jc w:val="both"/>
      </w:pPr>
      <w:r>
        <w:rPr>
          <w:color w:val="231F1F"/>
        </w:rPr>
        <w:t>de monedas de plata a nivel mundial. Por otra parte, como individuo y fino observador, José María Morelos determinó que esta moneda de cobre “</w:t>
      </w:r>
      <w:r>
        <w:rPr>
          <w:color w:val="231F1F"/>
          <w:sz w:val="18"/>
        </w:rPr>
        <w:t>SUD</w:t>
      </w:r>
      <w:r>
        <w:rPr>
          <w:color w:val="231F1F"/>
        </w:rPr>
        <w:t>” no debería confundirse con los tlacos de cobre usados en el comercio cotidiano, por ello, éstos deberían ser retirados de circulación y el valor de los mismos pagado a sus dueños. Sin embargo, autorizó a los comerciantes seguir usando los tlacos de madera “para la comodidad de los pobres”, a cambio de ser sellados por la autoridad insurgente, mediante un modesto pago en proporción a la cantidad sellada. Es decir, en el famoso bando de Morelos se reconocía de forma explícita el complejo funcionamiento de la economía colonial y, en particular, las diversas formas de comercio con monedas y seudomonedas, agregándole ahora la primera moneda subversiva que desafiaba, abiertamente, el monopolio del poder real.</w:t>
      </w:r>
    </w:p>
    <w:p>
      <w:pPr>
        <w:pStyle w:val="BodyText"/>
      </w:pPr>
    </w:p>
    <w:p>
      <w:pPr>
        <w:pStyle w:val="BodyText"/>
        <w:spacing w:before="184"/>
        <w:ind w:left="109"/>
        <w:jc w:val="both"/>
      </w:pPr>
      <w:r>
        <w:rPr>
          <w:color w:val="231F1F"/>
          <w:w w:val="105"/>
        </w:rPr>
        <w:t>La eficacia de las políticas comerciales y monetarias insurgentes</w:t>
      </w:r>
    </w:p>
    <w:p>
      <w:pPr>
        <w:pStyle w:val="BodyText"/>
      </w:pPr>
    </w:p>
    <w:p>
      <w:pPr>
        <w:pStyle w:val="BodyText"/>
        <w:rPr>
          <w:sz w:val="27"/>
        </w:rPr>
      </w:pPr>
    </w:p>
    <w:p>
      <w:pPr>
        <w:pStyle w:val="BodyText"/>
        <w:spacing w:line="268" w:lineRule="auto"/>
        <w:ind w:left="109" w:right="460"/>
        <w:jc w:val="both"/>
      </w:pPr>
      <w:r>
        <w:rPr>
          <w:color w:val="231F1F"/>
          <w:w w:val="105"/>
        </w:rPr>
        <w:t>Al igual que Morelos, el licenciado Ignacio López Rayón puso en práctica de inmediato, a finales del año de </w:t>
      </w:r>
      <w:r>
        <w:rPr>
          <w:color w:val="231F1F"/>
          <w:w w:val="105"/>
          <w:sz w:val="20"/>
        </w:rPr>
        <w:t>1811</w:t>
      </w:r>
      <w:r>
        <w:rPr>
          <w:color w:val="231F1F"/>
          <w:w w:val="105"/>
        </w:rPr>
        <w:t>, su política monetaria. Una vez instalada la Suprema Junta Nacional Americana, en la villa de Zitácuaro, el </w:t>
      </w:r>
      <w:r>
        <w:rPr>
          <w:color w:val="231F1F"/>
          <w:w w:val="105"/>
          <w:sz w:val="20"/>
        </w:rPr>
        <w:t>11 </w:t>
      </w:r>
      <w:r>
        <w:rPr>
          <w:color w:val="231F1F"/>
          <w:w w:val="105"/>
        </w:rPr>
        <w:t>de agosto de ese año, el propio Rayón instruyó la acuñación de monedas insurgentes con la finalidad de solventar la crónica sequía monetaria que paralizaba todo tipo de trato comercial, el pago de contribuciones de guerra y el salario de las tropas en su zona de influencia.</w:t>
      </w:r>
    </w:p>
    <w:p>
      <w:pPr>
        <w:pStyle w:val="BodyText"/>
        <w:spacing w:before="9"/>
        <w:rPr>
          <w:sz w:val="27"/>
        </w:rPr>
      </w:pPr>
    </w:p>
    <w:p>
      <w:pPr>
        <w:pStyle w:val="BodyText"/>
        <w:spacing w:line="268" w:lineRule="auto"/>
        <w:ind w:left="109" w:right="460"/>
        <w:jc w:val="both"/>
      </w:pPr>
      <w:r>
        <w:rPr>
          <w:color w:val="231F1F"/>
        </w:rPr>
        <w:t>Para los detalles sobre la Suprema Junta y las características de las monedas emitidas bajo su autoridad, el lector debe remitirse, para el primer caso, al capítulo de Moisés Guzmán Pérez en     este mismo libro, así como al capítulo de Luis Gómez-Wulschner en una publicación anterior para     el segundo asunto (Gómez-Wulschner, </w:t>
      </w:r>
      <w:r>
        <w:rPr>
          <w:color w:val="231F1F"/>
          <w:sz w:val="20"/>
        </w:rPr>
        <w:t>2010: 170-199</w:t>
      </w:r>
      <w:r>
        <w:rPr>
          <w:color w:val="231F1F"/>
        </w:rPr>
        <w:t>). Lo que aquí interesa destacar, es que el licenciado Rayón tuvo mejores condiciones para emitir una moneda de calidad mayor a las de Morelos, tanto en su diseño como en su valor intrínseco. Debemos recordar que los Rayón eran originarios de uno de los centros mineros más antiguos y prestigiados de la Nueva España, Tlalpu- jahua. Esto significaba que poseían el suficiente conocimiento y experiencia técnica para diseñar        y batir monedas metálicas con buenas propiedades. Además, la zona  económica  en  la  que  se  había instalado la Suprema Junta era mucho más rica y dinámica que aquella en la que Morelos        se movía.  Estaban  relativamente  cerca  los  reales  mineros  de  Tlalpujahua,  El  Oro  y  Angangueo, y era muy reconocida la fama de la producción agropecuaria de los alrededores de  Zitácuaro, </w:t>
      </w:r>
      <w:r>
        <w:rPr>
          <w:color w:val="231F1F"/>
          <w:spacing w:val="-3"/>
        </w:rPr>
        <w:t>Tuxpan,  </w:t>
      </w:r>
      <w:r>
        <w:rPr>
          <w:color w:val="231F1F"/>
        </w:rPr>
        <w:t>Tajimaroa y Maravatío. Por lo anterior, la adquisición de metales preciosos como la plata      y el oro, vía el botín, la confiscación o las “donaciones” para la causa, eran incentivos superiores   para</w:t>
      </w:r>
      <w:r>
        <w:rPr>
          <w:color w:val="231F1F"/>
          <w:spacing w:val="30"/>
        </w:rPr>
        <w:t> </w:t>
      </w:r>
      <w:r>
        <w:rPr>
          <w:color w:val="231F1F"/>
        </w:rPr>
        <w:t>iniciar</w:t>
      </w:r>
      <w:r>
        <w:rPr>
          <w:color w:val="231F1F"/>
          <w:spacing w:val="30"/>
        </w:rPr>
        <w:t> </w:t>
      </w:r>
      <w:r>
        <w:rPr>
          <w:color w:val="231F1F"/>
        </w:rPr>
        <w:t>con</w:t>
      </w:r>
      <w:r>
        <w:rPr>
          <w:color w:val="231F1F"/>
          <w:spacing w:val="30"/>
        </w:rPr>
        <w:t> </w:t>
      </w:r>
      <w:r>
        <w:rPr>
          <w:color w:val="231F1F"/>
        </w:rPr>
        <w:t>una</w:t>
      </w:r>
      <w:r>
        <w:rPr>
          <w:color w:val="231F1F"/>
          <w:spacing w:val="30"/>
        </w:rPr>
        <w:t> </w:t>
      </w:r>
      <w:r>
        <w:rPr>
          <w:color w:val="231F1F"/>
        </w:rPr>
        <w:t>buena</w:t>
      </w:r>
      <w:r>
        <w:rPr>
          <w:color w:val="231F1F"/>
          <w:spacing w:val="30"/>
        </w:rPr>
        <w:t> </w:t>
      </w:r>
      <w:r>
        <w:rPr>
          <w:color w:val="231F1F"/>
        </w:rPr>
        <w:t>acuñación</w:t>
      </w:r>
      <w:r>
        <w:rPr>
          <w:color w:val="231F1F"/>
          <w:spacing w:val="30"/>
        </w:rPr>
        <w:t> </w:t>
      </w:r>
      <w:r>
        <w:rPr>
          <w:color w:val="231F1F"/>
        </w:rPr>
        <w:t>de</w:t>
      </w:r>
      <w:r>
        <w:rPr>
          <w:color w:val="231F1F"/>
          <w:spacing w:val="30"/>
        </w:rPr>
        <w:t> </w:t>
      </w:r>
      <w:r>
        <w:rPr>
          <w:color w:val="231F1F"/>
        </w:rPr>
        <w:t>moneda</w:t>
      </w:r>
      <w:r>
        <w:rPr>
          <w:color w:val="231F1F"/>
          <w:spacing w:val="30"/>
        </w:rPr>
        <w:t> </w:t>
      </w:r>
      <w:r>
        <w:rPr>
          <w:color w:val="231F1F"/>
        </w:rPr>
        <w:t>insurgente</w:t>
      </w:r>
      <w:r>
        <w:rPr>
          <w:color w:val="231F1F"/>
          <w:spacing w:val="30"/>
        </w:rPr>
        <w:t> </w:t>
      </w:r>
      <w:r>
        <w:rPr>
          <w:color w:val="231F1F"/>
        </w:rPr>
        <w:t>de</w:t>
      </w:r>
      <w:r>
        <w:rPr>
          <w:color w:val="231F1F"/>
          <w:spacing w:val="30"/>
        </w:rPr>
        <w:t> </w:t>
      </w:r>
      <w:r>
        <w:rPr>
          <w:color w:val="231F1F"/>
        </w:rPr>
        <w:t>alto</w:t>
      </w:r>
      <w:r>
        <w:rPr>
          <w:color w:val="231F1F"/>
          <w:spacing w:val="30"/>
        </w:rPr>
        <w:t> </w:t>
      </w:r>
      <w:r>
        <w:rPr>
          <w:color w:val="231F1F"/>
          <w:spacing w:val="-3"/>
        </w:rPr>
        <w:t>valor.</w:t>
      </w:r>
    </w:p>
    <w:p>
      <w:pPr>
        <w:pStyle w:val="BodyText"/>
        <w:spacing w:before="9"/>
        <w:rPr>
          <w:sz w:val="27"/>
        </w:rPr>
      </w:pPr>
    </w:p>
    <w:p>
      <w:pPr>
        <w:pStyle w:val="BodyText"/>
        <w:spacing w:line="268" w:lineRule="auto"/>
        <w:ind w:left="109" w:right="459"/>
        <w:jc w:val="both"/>
      </w:pPr>
      <w:r>
        <w:rPr>
          <w:color w:val="231F1F"/>
        </w:rPr>
        <w:t>No sabemos todavía cuántas monedas, de diversa denominación, se batieron en el último tercio del año </w:t>
      </w:r>
      <w:r>
        <w:rPr>
          <w:color w:val="231F1F"/>
          <w:sz w:val="20"/>
        </w:rPr>
        <w:t>1811</w:t>
      </w:r>
      <w:r>
        <w:rPr>
          <w:color w:val="231F1F"/>
        </w:rPr>
        <w:t>, en la villa de Zitácuaro, ni las dificultades que tuvieron para ser aceptadas entre la pobla- ción local o los avances que tuvieron para echar a andar la maquinaria comercial, la recaudación tributaria y los pagos a sus tropas. La historiografía reciente sobre la Guerra de Independencia en México tampoco nos ha revelado, hasta ahora, lo que sucedía en materia económica, monetaria      en  particular, cuando las fuerzas realistas recuperaban las plazas que habían sido arrebatadas por    la</w:t>
      </w:r>
      <w:r>
        <w:rPr>
          <w:color w:val="231F1F"/>
          <w:spacing w:val="32"/>
        </w:rPr>
        <w:t> </w:t>
      </w:r>
      <w:r>
        <w:rPr>
          <w:color w:val="231F1F"/>
        </w:rPr>
        <w:t>insurgencia.</w:t>
      </w:r>
      <w:r>
        <w:rPr>
          <w:color w:val="231F1F"/>
          <w:spacing w:val="32"/>
        </w:rPr>
        <w:t> </w:t>
      </w:r>
      <w:r>
        <w:rPr>
          <w:color w:val="231F1F"/>
        </w:rPr>
        <w:t>Sabemos,</w:t>
      </w:r>
      <w:r>
        <w:rPr>
          <w:color w:val="231F1F"/>
          <w:spacing w:val="32"/>
        </w:rPr>
        <w:t> </w:t>
      </w:r>
      <w:r>
        <w:rPr>
          <w:color w:val="231F1F"/>
        </w:rPr>
        <w:t>eso</w:t>
      </w:r>
      <w:r>
        <w:rPr>
          <w:color w:val="231F1F"/>
          <w:spacing w:val="32"/>
        </w:rPr>
        <w:t> </w:t>
      </w:r>
      <w:r>
        <w:rPr>
          <w:color w:val="231F1F"/>
        </w:rPr>
        <w:t>sí,</w:t>
      </w:r>
      <w:r>
        <w:rPr>
          <w:color w:val="231F1F"/>
          <w:spacing w:val="32"/>
        </w:rPr>
        <w:t> </w:t>
      </w:r>
      <w:r>
        <w:rPr>
          <w:color w:val="231F1F"/>
        </w:rPr>
        <w:t>que</w:t>
      </w:r>
      <w:r>
        <w:rPr>
          <w:color w:val="231F1F"/>
          <w:spacing w:val="32"/>
        </w:rPr>
        <w:t> </w:t>
      </w:r>
      <w:r>
        <w:rPr>
          <w:color w:val="231F1F"/>
        </w:rPr>
        <w:t>el</w:t>
      </w:r>
      <w:r>
        <w:rPr>
          <w:color w:val="231F1F"/>
          <w:spacing w:val="32"/>
        </w:rPr>
        <w:t> </w:t>
      </w:r>
      <w:r>
        <w:rPr>
          <w:color w:val="231F1F"/>
        </w:rPr>
        <w:t>comandante</w:t>
      </w:r>
      <w:r>
        <w:rPr>
          <w:color w:val="231F1F"/>
          <w:spacing w:val="32"/>
        </w:rPr>
        <w:t> </w:t>
      </w:r>
      <w:r>
        <w:rPr>
          <w:color w:val="231F1F"/>
        </w:rPr>
        <w:t>realista</w:t>
      </w:r>
      <w:r>
        <w:rPr>
          <w:color w:val="231F1F"/>
          <w:spacing w:val="32"/>
        </w:rPr>
        <w:t> </w:t>
      </w:r>
      <w:r>
        <w:rPr>
          <w:color w:val="231F1F"/>
        </w:rPr>
        <w:t>José</w:t>
      </w:r>
      <w:r>
        <w:rPr>
          <w:color w:val="231F1F"/>
          <w:spacing w:val="32"/>
        </w:rPr>
        <w:t> </w:t>
      </w:r>
      <w:r>
        <w:rPr>
          <w:color w:val="231F1F"/>
        </w:rPr>
        <w:t>María</w:t>
      </w:r>
      <w:r>
        <w:rPr>
          <w:color w:val="231F1F"/>
          <w:spacing w:val="32"/>
        </w:rPr>
        <w:t> </w:t>
      </w:r>
      <w:r>
        <w:rPr>
          <w:color w:val="231F1F"/>
        </w:rPr>
        <w:t>Calleja</w:t>
      </w:r>
      <w:r>
        <w:rPr>
          <w:color w:val="231F1F"/>
          <w:spacing w:val="32"/>
        </w:rPr>
        <w:t> </w:t>
      </w:r>
      <w:r>
        <w:rPr>
          <w:color w:val="231F1F"/>
        </w:rPr>
        <w:t>pudo</w:t>
      </w:r>
      <w:r>
        <w:rPr>
          <w:color w:val="231F1F"/>
          <w:spacing w:val="32"/>
        </w:rPr>
        <w:t> </w:t>
      </w:r>
      <w:r>
        <w:rPr>
          <w:color w:val="231F1F"/>
        </w:rPr>
        <w:t>recuperar</w:t>
      </w:r>
      <w:r>
        <w:rPr>
          <w:color w:val="231F1F"/>
          <w:spacing w:val="32"/>
        </w:rPr>
        <w:t> </w:t>
      </w:r>
      <w:r>
        <w:rPr>
          <w:color w:val="231F1F"/>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after="0"/>
        <w:rPr>
          <w:sz w:val="16"/>
        </w:rPr>
        <w:sectPr>
          <w:pgSz w:w="13100" w:h="17920"/>
          <w:pgMar w:top="166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117</w:t>
      </w:r>
    </w:p>
    <w:p>
      <w:pPr>
        <w:spacing w:after="0"/>
        <w:jc w:val="left"/>
        <w:rPr>
          <w:sz w:val="18"/>
        </w:rPr>
        <w:sectPr>
          <w:type w:val="continuous"/>
          <w:pgSz w:w="13100" w:h="17920"/>
          <w:pgMar w:top="0" w:bottom="0" w:left="1620" w:right="1860"/>
          <w:cols w:num="2" w:equalWidth="0">
            <w:col w:w="8413" w:space="40"/>
            <w:col w:w="1167"/>
          </w:cols>
        </w:sectPr>
      </w:pPr>
    </w:p>
    <w:p>
      <w:pPr>
        <w:pStyle w:val="BodyText"/>
        <w:tabs>
          <w:tab w:pos="1504" w:val="left" w:leader="none"/>
        </w:tabs>
        <w:spacing w:line="268" w:lineRule="auto" w:before="29"/>
        <w:ind w:left="1504" w:right="1725" w:hanging="1170"/>
      </w:pPr>
      <w:r>
        <w:rPr>
          <w:rFonts w:ascii="Verdana" w:hAnsi="Verdana"/>
          <w:b/>
          <w:color w:val="4F3628"/>
          <w:position w:val="4"/>
          <w:sz w:val="18"/>
        </w:rPr>
        <w:t>118</w:t>
        <w:tab/>
      </w:r>
      <w:r>
        <w:rPr>
          <w:color w:val="231F1F"/>
        </w:rPr>
        <w:t>plaza</w:t>
      </w:r>
      <w:r>
        <w:rPr>
          <w:color w:val="231F1F"/>
          <w:spacing w:val="25"/>
        </w:rPr>
        <w:t> </w:t>
      </w:r>
      <w:r>
        <w:rPr>
          <w:color w:val="231F1F"/>
        </w:rPr>
        <w:t>de</w:t>
      </w:r>
      <w:r>
        <w:rPr>
          <w:color w:val="231F1F"/>
          <w:spacing w:val="25"/>
        </w:rPr>
        <w:t> </w:t>
      </w:r>
      <w:r>
        <w:rPr>
          <w:color w:val="231F1F"/>
        </w:rPr>
        <w:t>Zitácuaro</w:t>
      </w:r>
      <w:r>
        <w:rPr>
          <w:color w:val="231F1F"/>
          <w:spacing w:val="25"/>
        </w:rPr>
        <w:t> </w:t>
      </w:r>
      <w:r>
        <w:rPr>
          <w:color w:val="231F1F"/>
        </w:rPr>
        <w:t>a</w:t>
      </w:r>
      <w:r>
        <w:rPr>
          <w:color w:val="231F1F"/>
          <w:spacing w:val="25"/>
        </w:rPr>
        <w:t> </w:t>
      </w:r>
      <w:r>
        <w:rPr>
          <w:color w:val="231F1F"/>
        </w:rPr>
        <w:t>finales</w:t>
      </w:r>
      <w:r>
        <w:rPr>
          <w:color w:val="231F1F"/>
          <w:spacing w:val="25"/>
        </w:rPr>
        <w:t> </w:t>
      </w:r>
      <w:r>
        <w:rPr>
          <w:color w:val="231F1F"/>
        </w:rPr>
        <w:t>de</w:t>
      </w:r>
      <w:r>
        <w:rPr>
          <w:color w:val="231F1F"/>
          <w:spacing w:val="24"/>
        </w:rPr>
        <w:t> </w:t>
      </w:r>
      <w:r>
        <w:rPr>
          <w:color w:val="231F1F"/>
          <w:sz w:val="20"/>
        </w:rPr>
        <w:t>1811</w:t>
      </w:r>
      <w:r>
        <w:rPr>
          <w:color w:val="231F1F"/>
        </w:rPr>
        <w:t>,</w:t>
      </w:r>
      <w:r>
        <w:rPr>
          <w:color w:val="231F1F"/>
          <w:spacing w:val="25"/>
        </w:rPr>
        <w:t> </w:t>
      </w:r>
      <w:r>
        <w:rPr>
          <w:color w:val="231F1F"/>
        </w:rPr>
        <w:t>mientras</w:t>
      </w:r>
      <w:r>
        <w:rPr>
          <w:color w:val="231F1F"/>
          <w:spacing w:val="25"/>
        </w:rPr>
        <w:t> </w:t>
      </w:r>
      <w:r>
        <w:rPr>
          <w:color w:val="231F1F"/>
        </w:rPr>
        <w:t>que</w:t>
      </w:r>
      <w:r>
        <w:rPr>
          <w:color w:val="231F1F"/>
          <w:spacing w:val="25"/>
        </w:rPr>
        <w:t> </w:t>
      </w:r>
      <w:r>
        <w:rPr>
          <w:color w:val="231F1F"/>
        </w:rPr>
        <w:t>los</w:t>
      </w:r>
      <w:r>
        <w:rPr>
          <w:color w:val="231F1F"/>
          <w:spacing w:val="25"/>
        </w:rPr>
        <w:t> </w:t>
      </w:r>
      <w:r>
        <w:rPr>
          <w:color w:val="231F1F"/>
        </w:rPr>
        <w:t>miembros</w:t>
      </w:r>
      <w:r>
        <w:rPr>
          <w:color w:val="231F1F"/>
          <w:spacing w:val="25"/>
        </w:rPr>
        <w:t> </w:t>
      </w:r>
      <w:r>
        <w:rPr>
          <w:color w:val="231F1F"/>
        </w:rPr>
        <w:t>de</w:t>
      </w:r>
      <w:r>
        <w:rPr>
          <w:color w:val="231F1F"/>
          <w:spacing w:val="25"/>
        </w:rPr>
        <w:t> </w:t>
      </w:r>
      <w:r>
        <w:rPr>
          <w:color w:val="231F1F"/>
        </w:rPr>
        <w:t>la</w:t>
      </w:r>
      <w:r>
        <w:rPr>
          <w:color w:val="231F1F"/>
          <w:spacing w:val="25"/>
        </w:rPr>
        <w:t> </w:t>
      </w:r>
      <w:r>
        <w:rPr>
          <w:color w:val="231F1F"/>
        </w:rPr>
        <w:t>Suprema</w:t>
      </w:r>
      <w:r>
        <w:rPr>
          <w:color w:val="231F1F"/>
          <w:spacing w:val="25"/>
        </w:rPr>
        <w:t> </w:t>
      </w:r>
      <w:r>
        <w:rPr>
          <w:color w:val="231F1F"/>
        </w:rPr>
        <w:t>Junta</w:t>
      </w:r>
      <w:r>
        <w:rPr>
          <w:color w:val="231F1F"/>
          <w:spacing w:val="25"/>
        </w:rPr>
        <w:t> </w:t>
      </w:r>
      <w:r>
        <w:rPr>
          <w:color w:val="231F1F"/>
        </w:rPr>
        <w:t>huyeron</w:t>
      </w:r>
      <w:r>
        <w:rPr>
          <w:color w:val="231F1F"/>
          <w:spacing w:val="25"/>
        </w:rPr>
        <w:t> </w:t>
      </w:r>
      <w:r>
        <w:rPr>
          <w:color w:val="231F1F"/>
        </w:rPr>
        <w:t>de</w:t>
      </w:r>
      <w:r>
        <w:rPr>
          <w:color w:val="231F1F"/>
          <w:spacing w:val="1"/>
          <w:w w:val="104"/>
        </w:rPr>
        <w:t> </w:t>
      </w:r>
      <w:r>
        <w:rPr>
          <w:color w:val="231F1F"/>
        </w:rPr>
        <w:t>ahí para asentarse en otro importante real minero más al </w:t>
      </w:r>
      <w:r>
        <w:rPr>
          <w:color w:val="231F1F"/>
          <w:spacing w:val="-5"/>
        </w:rPr>
        <w:t>sur,   </w:t>
      </w:r>
      <w:r>
        <w:rPr>
          <w:color w:val="231F1F"/>
          <w:spacing w:val="25"/>
        </w:rPr>
        <w:t> </w:t>
      </w:r>
      <w:r>
        <w:rPr>
          <w:color w:val="231F1F"/>
        </w:rPr>
        <w:t>Sultepec.</w:t>
      </w:r>
    </w:p>
    <w:p>
      <w:pPr>
        <w:pStyle w:val="BodyText"/>
        <w:spacing w:line="645" w:lineRule="exact"/>
        <w:ind w:left="1504" w:right="1725" w:hanging="1396"/>
      </w:pPr>
      <w:r>
        <w:rPr>
          <w:position w:val="-9"/>
        </w:rPr>
        <w:drawing>
          <wp:inline distT="0" distB="0" distL="0" distR="0">
            <wp:extent cx="522296" cy="457949"/>
            <wp:effectExtent l="0" t="0" r="0" b="0"/>
            <wp:docPr id="65" name="image24.png" descr=""/>
            <wp:cNvGraphicFramePr>
              <a:graphicFrameLocks noChangeAspect="1"/>
            </wp:cNvGraphicFramePr>
            <a:graphic>
              <a:graphicData uri="http://schemas.openxmlformats.org/drawingml/2006/picture">
                <pic:pic>
                  <pic:nvPicPr>
                    <pic:cNvPr id="66" name="image24.png"/>
                    <pic:cNvPicPr/>
                  </pic:nvPicPr>
                  <pic:blipFill>
                    <a:blip r:embed="rId29" cstate="print"/>
                    <a:stretch>
                      <a:fillRect/>
                    </a:stretch>
                  </pic:blipFill>
                  <pic:spPr>
                    <a:xfrm>
                      <a:off x="0" y="0"/>
                      <a:ext cx="522296" cy="457949"/>
                    </a:xfrm>
                    <a:prstGeom prst="rect">
                      <a:avLst/>
                    </a:prstGeom>
                  </pic:spPr>
                </pic:pic>
              </a:graphicData>
            </a:graphic>
          </wp:inline>
        </w:drawing>
      </w:r>
      <w:r>
        <w:rPr>
          <w:position w:val="-9"/>
        </w:rPr>
      </w:r>
      <w:r>
        <w:rPr>
          <w:rFonts w:ascii="Times New Roman"/>
          <w:sz w:val="20"/>
        </w:rPr>
        <w:t>          </w:t>
      </w:r>
      <w:r>
        <w:rPr>
          <w:color w:val="231F1F"/>
        </w:rPr>
        <w:t>No  deja  de  asombrar  que  estos  primeros  caudillos,  aun  trabajando  a  marchas  forzadas,</w:t>
      </w:r>
      <w:r>
        <w:rPr>
          <w:color w:val="231F1F"/>
          <w:spacing w:val="22"/>
        </w:rPr>
        <w:t> </w:t>
      </w:r>
      <w:r>
        <w:rPr>
          <w:color w:val="231F1F"/>
        </w:rPr>
        <w:t>fueran</w:t>
      </w:r>
    </w:p>
    <w:p>
      <w:pPr>
        <w:pStyle w:val="BodyText"/>
        <w:spacing w:line="268" w:lineRule="auto"/>
        <w:ind w:left="1504" w:right="1724"/>
        <w:jc w:val="both"/>
      </w:pPr>
      <w:r>
        <w:rPr/>
        <w:pict>
          <v:shape style="position:absolute;margin-left:60.653416pt;margin-top:8.240643pt;width:11pt;height:76.350pt;mso-position-horizontal-relative:page;mso-position-vertical-relative:paragraph;z-index:2608"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color w:val="231F1F"/>
        </w:rPr>
        <w:t>eficientes para solventar cuestiones de estrategia militar, pero también las relativas al cotidiano sus- tento vital, sin abandonar aquellas que propagaban la causa y la economía local. Hoy sabemos, gracias a la historiografía, que la instalación de la Suprema Junta en Sultepec tuvo la intención de seguir salvaguardando tanto la representación nacional como la soberanía del rey cautivo. Además, se dieron el tiempo de organizar una de las prímeras publicaciones insurgentes, el </w:t>
      </w:r>
      <w:r>
        <w:rPr>
          <w:i/>
          <w:color w:val="231F1F"/>
        </w:rPr>
        <w:t>Ilustrador Ame- </w:t>
      </w:r>
      <w:r>
        <w:rPr>
          <w:i/>
          <w:color w:val="231F1F"/>
        </w:rPr>
        <w:t>ricano</w:t>
      </w:r>
      <w:r>
        <w:rPr>
          <w:color w:val="231F1F"/>
        </w:rPr>
        <w:t>, para difundir por escrito las ideas centrales del movimiento. Sobra decir que en Sultepec,       al igual que en Zitácuaro, también se batieron varias monedas de la Suprema Junta que pronto entraron</w:t>
      </w:r>
      <w:r>
        <w:rPr>
          <w:color w:val="231F1F"/>
          <w:spacing w:val="26"/>
        </w:rPr>
        <w:t> </w:t>
      </w:r>
      <w:r>
        <w:rPr>
          <w:color w:val="231F1F"/>
        </w:rPr>
        <w:t>en</w:t>
      </w:r>
      <w:r>
        <w:rPr>
          <w:color w:val="231F1F"/>
          <w:spacing w:val="26"/>
        </w:rPr>
        <w:t> </w:t>
      </w:r>
      <w:r>
        <w:rPr>
          <w:color w:val="231F1F"/>
        </w:rPr>
        <w:t>circulación</w:t>
      </w:r>
      <w:r>
        <w:rPr>
          <w:color w:val="231F1F"/>
          <w:spacing w:val="26"/>
        </w:rPr>
        <w:t> </w:t>
      </w:r>
      <w:r>
        <w:rPr>
          <w:color w:val="231F1F"/>
        </w:rPr>
        <w:t>quedando</w:t>
      </w:r>
      <w:r>
        <w:rPr>
          <w:color w:val="231F1F"/>
          <w:spacing w:val="26"/>
        </w:rPr>
        <w:t> </w:t>
      </w:r>
      <w:r>
        <w:rPr>
          <w:color w:val="231F1F"/>
        </w:rPr>
        <w:t>en</w:t>
      </w:r>
      <w:r>
        <w:rPr>
          <w:color w:val="231F1F"/>
          <w:spacing w:val="26"/>
        </w:rPr>
        <w:t> </w:t>
      </w:r>
      <w:r>
        <w:rPr>
          <w:color w:val="231F1F"/>
        </w:rPr>
        <w:t>manos</w:t>
      </w:r>
      <w:r>
        <w:rPr>
          <w:color w:val="231F1F"/>
          <w:spacing w:val="26"/>
        </w:rPr>
        <w:t> </w:t>
      </w:r>
      <w:r>
        <w:rPr>
          <w:color w:val="231F1F"/>
        </w:rPr>
        <w:t>de</w:t>
      </w:r>
      <w:r>
        <w:rPr>
          <w:color w:val="231F1F"/>
          <w:spacing w:val="26"/>
        </w:rPr>
        <w:t> </w:t>
      </w:r>
      <w:r>
        <w:rPr>
          <w:color w:val="231F1F"/>
        </w:rPr>
        <w:t>ciertos</w:t>
      </w:r>
      <w:r>
        <w:rPr>
          <w:color w:val="231F1F"/>
          <w:spacing w:val="26"/>
        </w:rPr>
        <w:t> </w:t>
      </w:r>
      <w:r>
        <w:rPr>
          <w:color w:val="231F1F"/>
        </w:rPr>
        <w:t>pobladores.</w:t>
      </w:r>
    </w:p>
    <w:p>
      <w:pPr>
        <w:pStyle w:val="BodyText"/>
        <w:spacing w:before="9"/>
        <w:rPr>
          <w:sz w:val="27"/>
        </w:rPr>
      </w:pPr>
    </w:p>
    <w:p>
      <w:pPr>
        <w:pStyle w:val="BodyText"/>
        <w:spacing w:line="268" w:lineRule="auto"/>
        <w:ind w:left="1504" w:right="1720"/>
        <w:jc w:val="both"/>
      </w:pPr>
      <w:r>
        <w:rPr>
          <w:color w:val="231F1F"/>
        </w:rPr>
        <w:t>Una documentación inédita de la época muestra lo que sucedió en la primera mitad del año </w:t>
      </w:r>
      <w:r>
        <w:rPr>
          <w:color w:val="231F1F"/>
          <w:sz w:val="20"/>
        </w:rPr>
        <w:t>1812 </w:t>
      </w:r>
      <w:r>
        <w:rPr>
          <w:color w:val="231F1F"/>
        </w:rPr>
        <w:t>cuando los insurgentes radicaban en el centro minero de Sultepec (véase anexo de este capítulo        y el cuadro 1). Se trata de una relación de personas y monedas insurgentes de plata que </w:t>
      </w:r>
      <w:r>
        <w:rPr>
          <w:color w:val="231F1F"/>
          <w:spacing w:val="2"/>
        </w:rPr>
        <w:t>fueron </w:t>
      </w:r>
      <w:r>
        <w:rPr>
          <w:color w:val="231F1F"/>
        </w:rPr>
        <w:t>confiscadas por las autoridades realistas  cuando  recuperaron  la  plaza  a  principios  de  julio  de  ese año. Lo primero que llama la atención es el número de personas involucradas y piezas de monedas confiscadas: </w:t>
      </w:r>
      <w:r>
        <w:rPr>
          <w:color w:val="231F1F"/>
          <w:sz w:val="20"/>
        </w:rPr>
        <w:t>54 </w:t>
      </w:r>
      <w:r>
        <w:rPr>
          <w:color w:val="231F1F"/>
        </w:rPr>
        <w:t>personas  y  </w:t>
      </w:r>
      <w:r>
        <w:rPr>
          <w:color w:val="231F1F"/>
          <w:sz w:val="20"/>
        </w:rPr>
        <w:t>2,647  </w:t>
      </w:r>
      <w:r>
        <w:rPr>
          <w:color w:val="231F1F"/>
        </w:rPr>
        <w:t>piezas  de  todas  denominaciones.  Y  de  esta  cantidad de piezas, llama la atención que </w:t>
      </w:r>
      <w:r>
        <w:rPr>
          <w:color w:val="231F1F"/>
          <w:sz w:val="20"/>
        </w:rPr>
        <w:t>86.7% </w:t>
      </w:r>
      <w:r>
        <w:rPr>
          <w:color w:val="231F1F"/>
        </w:rPr>
        <w:t>de  las  mismas  hayan  tenido  un  valor  nominal  bastante alto, </w:t>
      </w:r>
      <w:r>
        <w:rPr>
          <w:color w:val="231F1F"/>
          <w:sz w:val="20"/>
        </w:rPr>
        <w:t>8 </w:t>
      </w:r>
      <w:r>
        <w:rPr>
          <w:color w:val="231F1F"/>
        </w:rPr>
        <w:t>reales; mientras que el resto, </w:t>
      </w:r>
      <w:r>
        <w:rPr>
          <w:color w:val="231F1F"/>
          <w:sz w:val="20"/>
        </w:rPr>
        <w:t>13.3%,  </w:t>
      </w:r>
      <w:r>
        <w:rPr>
          <w:color w:val="231F1F"/>
        </w:rPr>
        <w:t>correspondían a denominaciones medias y bajas. Es  decir, las proporciones eran similares a los flujos monetarios realistas, detectados por el historiador Ruggiero Romano en su trabajo sobre el tema. En otras palabras, el </w:t>
      </w:r>
      <w:r>
        <w:rPr>
          <w:color w:val="231F1F"/>
          <w:spacing w:val="2"/>
        </w:rPr>
        <w:t>comportamiento </w:t>
      </w:r>
      <w:r>
        <w:rPr>
          <w:color w:val="231F1F"/>
        </w:rPr>
        <w:t>del comercio    y la economía monetaria novohispana a principios del siglo </w:t>
      </w:r>
      <w:r>
        <w:rPr>
          <w:color w:val="231F1F"/>
          <w:sz w:val="18"/>
        </w:rPr>
        <w:t>XIX  </w:t>
      </w:r>
      <w:r>
        <w:rPr>
          <w:color w:val="231F1F"/>
        </w:rPr>
        <w:t>eran similares o funcionaban de         la misma manera bajo el gobierno real o insurgente. Se trataba entonces no sólo de un </w:t>
      </w:r>
      <w:r>
        <w:rPr>
          <w:color w:val="231F1F"/>
          <w:spacing w:val="2"/>
        </w:rPr>
        <w:t>asunto </w:t>
      </w:r>
      <w:r>
        <w:rPr>
          <w:color w:val="231F1F"/>
          <w:w w:val="95"/>
        </w:rPr>
        <w:t>coyuntural  sino</w:t>
      </w:r>
      <w:r>
        <w:rPr>
          <w:color w:val="231F1F"/>
          <w:spacing w:val="16"/>
          <w:w w:val="95"/>
        </w:rPr>
        <w:t> </w:t>
      </w:r>
      <w:r>
        <w:rPr>
          <w:color w:val="231F1F"/>
          <w:spacing w:val="2"/>
          <w:w w:val="95"/>
        </w:rPr>
        <w:t>estructural.</w:t>
      </w:r>
    </w:p>
    <w:p>
      <w:pPr>
        <w:pStyle w:val="BodyText"/>
        <w:spacing w:before="6"/>
        <w:rPr>
          <w:sz w:val="18"/>
        </w:rPr>
      </w:pPr>
    </w:p>
    <w:p>
      <w:pPr>
        <w:spacing w:before="0"/>
        <w:ind w:left="1495" w:right="1717" w:firstLine="0"/>
        <w:jc w:val="center"/>
        <w:rPr>
          <w:sz w:val="22"/>
        </w:rPr>
      </w:pPr>
      <w:r>
        <w:rPr>
          <w:color w:val="603328"/>
          <w:w w:val="140"/>
          <w:sz w:val="22"/>
        </w:rPr>
        <w:t>c</w:t>
      </w:r>
      <w:r>
        <w:rPr>
          <w:color w:val="603328"/>
          <w:w w:val="140"/>
          <w:sz w:val="15"/>
        </w:rPr>
        <w:t>uadro </w:t>
      </w:r>
      <w:r>
        <w:rPr>
          <w:color w:val="603328"/>
          <w:w w:val="140"/>
          <w:sz w:val="22"/>
        </w:rPr>
        <w:t>1</w:t>
      </w:r>
    </w:p>
    <w:p>
      <w:pPr>
        <w:pStyle w:val="BodyText"/>
        <w:spacing w:before="31"/>
        <w:ind w:left="1496" w:right="1717"/>
        <w:jc w:val="center"/>
        <w:rPr>
          <w:sz w:val="20"/>
        </w:rPr>
      </w:pPr>
      <w:r>
        <w:rPr>
          <w:color w:val="603328"/>
          <w:w w:val="105"/>
        </w:rPr>
        <w:t>Relación de monedas, denominaciones, piezas y valores en Sultepec, </w:t>
      </w:r>
      <w:r>
        <w:rPr>
          <w:color w:val="603328"/>
          <w:w w:val="105"/>
          <w:sz w:val="20"/>
        </w:rPr>
        <w:t>1812</w:t>
      </w:r>
    </w:p>
    <w:p>
      <w:pPr>
        <w:pStyle w:val="BodyText"/>
        <w:spacing w:before="11"/>
        <w:rPr>
          <w:sz w:val="20"/>
        </w:rPr>
      </w:pPr>
    </w:p>
    <w:tbl>
      <w:tblPr>
        <w:tblW w:w="0" w:type="auto"/>
        <w:jc w:val="left"/>
        <w:tblInd w:w="23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0"/>
        <w:gridCol w:w="1059"/>
        <w:gridCol w:w="1380"/>
        <w:gridCol w:w="1606"/>
        <w:gridCol w:w="778"/>
        <w:gridCol w:w="870"/>
      </w:tblGrid>
      <w:tr>
        <w:trPr>
          <w:trHeight w:val="737" w:hRule="exact"/>
        </w:trPr>
        <w:tc>
          <w:tcPr>
            <w:tcW w:w="1690" w:type="dxa"/>
            <w:shd w:val="clear" w:color="auto" w:fill="A8483D"/>
          </w:tcPr>
          <w:p>
            <w:pPr>
              <w:pStyle w:val="TableParagraph"/>
              <w:spacing w:before="11"/>
              <w:rPr>
                <w:sz w:val="20"/>
              </w:rPr>
            </w:pPr>
          </w:p>
          <w:p>
            <w:pPr>
              <w:pStyle w:val="TableParagraph"/>
              <w:spacing w:before="0"/>
              <w:ind w:left="198"/>
              <w:rPr>
                <w:sz w:val="20"/>
              </w:rPr>
            </w:pPr>
            <w:r>
              <w:rPr>
                <w:color w:val="FFFFFF"/>
                <w:w w:val="105"/>
                <w:sz w:val="20"/>
              </w:rPr>
              <w:t>Denominación</w:t>
            </w:r>
          </w:p>
        </w:tc>
        <w:tc>
          <w:tcPr>
            <w:tcW w:w="1059" w:type="dxa"/>
            <w:shd w:val="clear" w:color="auto" w:fill="A8483D"/>
          </w:tcPr>
          <w:p>
            <w:pPr>
              <w:pStyle w:val="TableParagraph"/>
              <w:spacing w:before="11"/>
              <w:rPr>
                <w:sz w:val="20"/>
              </w:rPr>
            </w:pPr>
          </w:p>
          <w:p>
            <w:pPr>
              <w:pStyle w:val="TableParagraph"/>
              <w:spacing w:before="0"/>
              <w:ind w:left="241"/>
              <w:rPr>
                <w:sz w:val="20"/>
              </w:rPr>
            </w:pPr>
            <w:r>
              <w:rPr>
                <w:color w:val="FFFFFF"/>
                <w:w w:val="110"/>
                <w:sz w:val="20"/>
              </w:rPr>
              <w:t>Piezas</w:t>
            </w:r>
          </w:p>
        </w:tc>
        <w:tc>
          <w:tcPr>
            <w:tcW w:w="1380" w:type="dxa"/>
            <w:shd w:val="clear" w:color="auto" w:fill="A8483D"/>
          </w:tcPr>
          <w:p>
            <w:pPr>
              <w:pStyle w:val="TableParagraph"/>
              <w:spacing w:line="242" w:lineRule="exact" w:before="135"/>
              <w:ind w:left="230" w:right="187"/>
              <w:jc w:val="center"/>
              <w:rPr>
                <w:sz w:val="20"/>
              </w:rPr>
            </w:pPr>
            <w:r>
              <w:rPr>
                <w:color w:val="FFFFFF"/>
                <w:w w:val="105"/>
                <w:sz w:val="20"/>
              </w:rPr>
              <w:t>Porcentaje</w:t>
            </w:r>
          </w:p>
          <w:p>
            <w:pPr>
              <w:pStyle w:val="TableParagraph"/>
              <w:spacing w:line="242" w:lineRule="exact" w:before="0"/>
              <w:ind w:right="83"/>
              <w:jc w:val="center"/>
              <w:rPr>
                <w:sz w:val="20"/>
              </w:rPr>
            </w:pPr>
            <w:r>
              <w:rPr>
                <w:color w:val="FFFFFF"/>
                <w:w w:val="111"/>
                <w:sz w:val="20"/>
              </w:rPr>
              <w:t>%</w:t>
            </w:r>
          </w:p>
        </w:tc>
        <w:tc>
          <w:tcPr>
            <w:tcW w:w="1606" w:type="dxa"/>
            <w:shd w:val="clear" w:color="auto" w:fill="A8483D"/>
          </w:tcPr>
          <w:p>
            <w:pPr>
              <w:pStyle w:val="TableParagraph"/>
              <w:spacing w:line="240" w:lineRule="exact" w:before="134"/>
              <w:ind w:left="216" w:right="174"/>
              <w:rPr>
                <w:sz w:val="20"/>
              </w:rPr>
            </w:pPr>
            <w:r>
              <w:rPr>
                <w:color w:val="FFFFFF"/>
                <w:w w:val="105"/>
                <w:sz w:val="20"/>
              </w:rPr>
              <w:t>Valor nominal insurgente</w:t>
            </w:r>
          </w:p>
        </w:tc>
        <w:tc>
          <w:tcPr>
            <w:tcW w:w="1648" w:type="dxa"/>
            <w:gridSpan w:val="2"/>
            <w:shd w:val="clear" w:color="auto" w:fill="A8483D"/>
          </w:tcPr>
          <w:p>
            <w:pPr>
              <w:pStyle w:val="TableParagraph"/>
              <w:spacing w:line="240" w:lineRule="exact" w:before="134"/>
              <w:ind w:left="188" w:right="13"/>
              <w:rPr>
                <w:sz w:val="20"/>
              </w:rPr>
            </w:pPr>
            <w:r>
              <w:rPr>
                <w:color w:val="FFFFFF"/>
                <w:w w:val="105"/>
                <w:sz w:val="20"/>
              </w:rPr>
              <w:t>Valor en pesos de oro común</w:t>
            </w:r>
          </w:p>
        </w:tc>
      </w:tr>
      <w:tr>
        <w:trPr>
          <w:trHeight w:val="336" w:hRule="exact"/>
        </w:trPr>
        <w:tc>
          <w:tcPr>
            <w:tcW w:w="1690" w:type="dxa"/>
            <w:tcBorders>
              <w:left w:val="single" w:sz="4" w:space="0" w:color="A8483D"/>
            </w:tcBorders>
          </w:tcPr>
          <w:p>
            <w:pPr>
              <w:pStyle w:val="TableParagraph"/>
              <w:spacing w:before="42"/>
              <w:ind w:left="193"/>
              <w:rPr>
                <w:sz w:val="20"/>
              </w:rPr>
            </w:pPr>
            <w:r>
              <w:rPr>
                <w:color w:val="231F1F"/>
                <w:w w:val="110"/>
                <w:sz w:val="20"/>
              </w:rPr>
              <w:t>8 reales</w:t>
            </w:r>
          </w:p>
        </w:tc>
        <w:tc>
          <w:tcPr>
            <w:tcW w:w="1059" w:type="dxa"/>
          </w:tcPr>
          <w:p>
            <w:pPr>
              <w:pStyle w:val="TableParagraph"/>
              <w:spacing w:before="42"/>
              <w:ind w:left="241"/>
              <w:rPr>
                <w:sz w:val="20"/>
              </w:rPr>
            </w:pPr>
            <w:r>
              <w:rPr>
                <w:color w:val="231F1F"/>
                <w:w w:val="125"/>
                <w:sz w:val="20"/>
              </w:rPr>
              <w:t>2,295</w:t>
            </w:r>
          </w:p>
        </w:tc>
        <w:tc>
          <w:tcPr>
            <w:tcW w:w="1380" w:type="dxa"/>
          </w:tcPr>
          <w:p>
            <w:pPr>
              <w:pStyle w:val="TableParagraph"/>
              <w:spacing w:before="42"/>
              <w:ind w:left="259"/>
              <w:rPr>
                <w:sz w:val="20"/>
              </w:rPr>
            </w:pPr>
            <w:r>
              <w:rPr>
                <w:color w:val="231F1F"/>
                <w:w w:val="120"/>
                <w:sz w:val="20"/>
              </w:rPr>
              <w:t>86.7</w:t>
            </w:r>
          </w:p>
        </w:tc>
        <w:tc>
          <w:tcPr>
            <w:tcW w:w="1606" w:type="dxa"/>
          </w:tcPr>
          <w:p>
            <w:pPr>
              <w:pStyle w:val="TableParagraph"/>
              <w:spacing w:before="42"/>
              <w:ind w:left="216" w:right="174"/>
              <w:rPr>
                <w:sz w:val="20"/>
              </w:rPr>
            </w:pPr>
            <w:r>
              <w:rPr>
                <w:color w:val="231F1F"/>
                <w:w w:val="120"/>
                <w:sz w:val="20"/>
              </w:rPr>
              <w:t>2,295 ps.</w:t>
            </w:r>
          </w:p>
        </w:tc>
        <w:tc>
          <w:tcPr>
            <w:tcW w:w="778" w:type="dxa"/>
          </w:tcPr>
          <w:p>
            <w:pPr>
              <w:pStyle w:val="TableParagraph"/>
              <w:spacing w:before="42"/>
              <w:ind w:right="29"/>
              <w:jc w:val="right"/>
              <w:rPr>
                <w:sz w:val="20"/>
              </w:rPr>
            </w:pPr>
            <w:r>
              <w:rPr>
                <w:color w:val="231F1F"/>
                <w:w w:val="120"/>
                <w:sz w:val="20"/>
              </w:rPr>
              <w:t>1,032</w:t>
            </w:r>
          </w:p>
        </w:tc>
        <w:tc>
          <w:tcPr>
            <w:tcW w:w="870" w:type="dxa"/>
            <w:tcBorders>
              <w:right w:val="single" w:sz="4" w:space="0" w:color="A8483D"/>
            </w:tcBorders>
          </w:tcPr>
          <w:p>
            <w:pPr>
              <w:pStyle w:val="TableParagraph"/>
              <w:spacing w:before="42"/>
              <w:ind w:left="31"/>
              <w:rPr>
                <w:sz w:val="20"/>
              </w:rPr>
            </w:pPr>
            <w:r>
              <w:rPr>
                <w:color w:val="231F1F"/>
                <w:w w:val="105"/>
                <w:sz w:val="20"/>
              </w:rPr>
              <w:t>ps.</w:t>
            </w:r>
          </w:p>
        </w:tc>
      </w:tr>
      <w:tr>
        <w:trPr>
          <w:trHeight w:val="313" w:hRule="exact"/>
        </w:trPr>
        <w:tc>
          <w:tcPr>
            <w:tcW w:w="1690" w:type="dxa"/>
            <w:tcBorders>
              <w:left w:val="single" w:sz="4" w:space="0" w:color="A8483D"/>
            </w:tcBorders>
          </w:tcPr>
          <w:p>
            <w:pPr>
              <w:pStyle w:val="TableParagraph"/>
              <w:spacing w:before="18"/>
              <w:ind w:left="193"/>
              <w:rPr>
                <w:sz w:val="20"/>
              </w:rPr>
            </w:pPr>
            <w:r>
              <w:rPr>
                <w:color w:val="231F1F"/>
                <w:w w:val="110"/>
                <w:sz w:val="20"/>
              </w:rPr>
              <w:t>2 reales</w:t>
            </w:r>
          </w:p>
        </w:tc>
        <w:tc>
          <w:tcPr>
            <w:tcW w:w="1059" w:type="dxa"/>
          </w:tcPr>
          <w:p>
            <w:pPr>
              <w:pStyle w:val="TableParagraph"/>
              <w:spacing w:before="18"/>
              <w:ind w:left="241"/>
              <w:rPr>
                <w:sz w:val="20"/>
              </w:rPr>
            </w:pPr>
            <w:r>
              <w:rPr>
                <w:color w:val="231F1F"/>
                <w:w w:val="120"/>
                <w:sz w:val="20"/>
              </w:rPr>
              <w:t>81</w:t>
            </w:r>
          </w:p>
        </w:tc>
        <w:tc>
          <w:tcPr>
            <w:tcW w:w="1380" w:type="dxa"/>
          </w:tcPr>
          <w:p>
            <w:pPr>
              <w:pStyle w:val="TableParagraph"/>
              <w:spacing w:before="18"/>
              <w:ind w:left="259"/>
              <w:rPr>
                <w:sz w:val="20"/>
              </w:rPr>
            </w:pPr>
            <w:r>
              <w:rPr>
                <w:color w:val="231F1F"/>
                <w:w w:val="120"/>
                <w:sz w:val="20"/>
              </w:rPr>
              <w:t>7.0</w:t>
            </w:r>
          </w:p>
        </w:tc>
        <w:tc>
          <w:tcPr>
            <w:tcW w:w="1606" w:type="dxa"/>
          </w:tcPr>
          <w:p>
            <w:pPr>
              <w:pStyle w:val="TableParagraph"/>
              <w:spacing w:before="18"/>
              <w:ind w:left="216" w:right="174"/>
              <w:rPr>
                <w:sz w:val="20"/>
              </w:rPr>
            </w:pPr>
            <w:r>
              <w:rPr>
                <w:color w:val="231F1F"/>
                <w:w w:val="110"/>
                <w:sz w:val="20"/>
              </w:rPr>
              <w:t>45 ps. 2 r</w:t>
            </w:r>
          </w:p>
        </w:tc>
        <w:tc>
          <w:tcPr>
            <w:tcW w:w="778" w:type="dxa"/>
          </w:tcPr>
          <w:p>
            <w:pPr/>
          </w:p>
        </w:tc>
        <w:tc>
          <w:tcPr>
            <w:tcW w:w="870" w:type="dxa"/>
            <w:tcBorders>
              <w:right w:val="single" w:sz="4" w:space="0" w:color="A8483D"/>
            </w:tcBorders>
          </w:tcPr>
          <w:p>
            <w:pPr/>
          </w:p>
        </w:tc>
      </w:tr>
      <w:tr>
        <w:trPr>
          <w:trHeight w:val="313" w:hRule="exact"/>
        </w:trPr>
        <w:tc>
          <w:tcPr>
            <w:tcW w:w="1690" w:type="dxa"/>
            <w:tcBorders>
              <w:left w:val="single" w:sz="4" w:space="0" w:color="A8483D"/>
            </w:tcBorders>
          </w:tcPr>
          <w:p>
            <w:pPr>
              <w:pStyle w:val="TableParagraph"/>
              <w:spacing w:before="18"/>
              <w:ind w:left="193"/>
              <w:rPr>
                <w:sz w:val="20"/>
              </w:rPr>
            </w:pPr>
            <w:r>
              <w:rPr>
                <w:color w:val="231F1F"/>
                <w:w w:val="110"/>
                <w:sz w:val="20"/>
              </w:rPr>
              <w:t>1 real</w:t>
            </w:r>
          </w:p>
        </w:tc>
        <w:tc>
          <w:tcPr>
            <w:tcW w:w="1059" w:type="dxa"/>
          </w:tcPr>
          <w:p>
            <w:pPr>
              <w:pStyle w:val="TableParagraph"/>
              <w:spacing w:before="18"/>
              <w:ind w:left="241"/>
              <w:rPr>
                <w:sz w:val="20"/>
              </w:rPr>
            </w:pPr>
            <w:r>
              <w:rPr>
                <w:color w:val="231F1F"/>
                <w:w w:val="120"/>
                <w:sz w:val="20"/>
              </w:rPr>
              <w:t>29</w:t>
            </w:r>
          </w:p>
        </w:tc>
        <w:tc>
          <w:tcPr>
            <w:tcW w:w="1380" w:type="dxa"/>
          </w:tcPr>
          <w:p>
            <w:pPr>
              <w:pStyle w:val="TableParagraph"/>
              <w:spacing w:before="18"/>
              <w:ind w:left="259"/>
              <w:rPr>
                <w:sz w:val="20"/>
              </w:rPr>
            </w:pPr>
            <w:r>
              <w:rPr>
                <w:color w:val="231F1F"/>
                <w:w w:val="120"/>
                <w:sz w:val="20"/>
              </w:rPr>
              <w:t>4.8</w:t>
            </w:r>
          </w:p>
        </w:tc>
        <w:tc>
          <w:tcPr>
            <w:tcW w:w="1606" w:type="dxa"/>
          </w:tcPr>
          <w:p>
            <w:pPr>
              <w:pStyle w:val="TableParagraph"/>
              <w:spacing w:before="18"/>
              <w:ind w:left="216" w:right="174"/>
              <w:rPr>
                <w:sz w:val="20"/>
              </w:rPr>
            </w:pPr>
            <w:r>
              <w:rPr>
                <w:color w:val="231F1F"/>
                <w:w w:val="110"/>
                <w:sz w:val="20"/>
              </w:rPr>
              <w:t>16 ps. 1 r</w:t>
            </w:r>
          </w:p>
        </w:tc>
        <w:tc>
          <w:tcPr>
            <w:tcW w:w="778" w:type="dxa"/>
          </w:tcPr>
          <w:p>
            <w:pPr/>
          </w:p>
        </w:tc>
        <w:tc>
          <w:tcPr>
            <w:tcW w:w="870" w:type="dxa"/>
            <w:tcBorders>
              <w:right w:val="single" w:sz="4" w:space="0" w:color="A8483D"/>
            </w:tcBorders>
          </w:tcPr>
          <w:p>
            <w:pPr/>
          </w:p>
        </w:tc>
      </w:tr>
      <w:tr>
        <w:trPr>
          <w:trHeight w:val="313" w:hRule="exact"/>
        </w:trPr>
        <w:tc>
          <w:tcPr>
            <w:tcW w:w="1690" w:type="dxa"/>
            <w:tcBorders>
              <w:left w:val="single" w:sz="4" w:space="0" w:color="A8483D"/>
            </w:tcBorders>
          </w:tcPr>
          <w:p>
            <w:pPr>
              <w:pStyle w:val="TableParagraph"/>
              <w:spacing w:before="18"/>
              <w:ind w:left="193"/>
              <w:rPr>
                <w:sz w:val="20"/>
              </w:rPr>
            </w:pPr>
            <w:r>
              <w:rPr>
                <w:color w:val="231F1F"/>
                <w:w w:val="120"/>
                <w:sz w:val="20"/>
              </w:rPr>
              <w:t>½ real</w:t>
            </w:r>
          </w:p>
        </w:tc>
        <w:tc>
          <w:tcPr>
            <w:tcW w:w="1059" w:type="dxa"/>
          </w:tcPr>
          <w:p>
            <w:pPr>
              <w:pStyle w:val="TableParagraph"/>
              <w:spacing w:before="18"/>
              <w:ind w:left="241"/>
              <w:rPr>
                <w:sz w:val="20"/>
              </w:rPr>
            </w:pPr>
            <w:r>
              <w:rPr>
                <w:color w:val="231F1F"/>
                <w:w w:val="120"/>
                <w:sz w:val="20"/>
              </w:rPr>
              <w:t>42</w:t>
            </w:r>
          </w:p>
        </w:tc>
        <w:tc>
          <w:tcPr>
            <w:tcW w:w="1380" w:type="dxa"/>
          </w:tcPr>
          <w:p>
            <w:pPr>
              <w:pStyle w:val="TableParagraph"/>
              <w:spacing w:before="18"/>
              <w:ind w:left="259"/>
              <w:rPr>
                <w:sz w:val="20"/>
              </w:rPr>
            </w:pPr>
            <w:r>
              <w:rPr>
                <w:color w:val="231F1F"/>
                <w:w w:val="120"/>
                <w:sz w:val="20"/>
              </w:rPr>
              <w:t>1.5</w:t>
            </w:r>
          </w:p>
        </w:tc>
        <w:tc>
          <w:tcPr>
            <w:tcW w:w="1606" w:type="dxa"/>
          </w:tcPr>
          <w:p>
            <w:pPr>
              <w:pStyle w:val="TableParagraph"/>
              <w:spacing w:before="18"/>
              <w:ind w:left="216" w:right="174"/>
              <w:rPr>
                <w:sz w:val="20"/>
              </w:rPr>
            </w:pPr>
            <w:r>
              <w:rPr>
                <w:color w:val="231F1F"/>
                <w:w w:val="105"/>
                <w:sz w:val="20"/>
              </w:rPr>
              <w:t>2 ps. 5  r</w:t>
            </w:r>
          </w:p>
        </w:tc>
        <w:tc>
          <w:tcPr>
            <w:tcW w:w="778" w:type="dxa"/>
          </w:tcPr>
          <w:p>
            <w:pPr/>
          </w:p>
        </w:tc>
        <w:tc>
          <w:tcPr>
            <w:tcW w:w="870" w:type="dxa"/>
            <w:tcBorders>
              <w:right w:val="single" w:sz="4" w:space="0" w:color="A8483D"/>
            </w:tcBorders>
          </w:tcPr>
          <w:p>
            <w:pPr/>
          </w:p>
        </w:tc>
      </w:tr>
      <w:tr>
        <w:trPr>
          <w:trHeight w:val="289" w:hRule="exact"/>
        </w:trPr>
        <w:tc>
          <w:tcPr>
            <w:tcW w:w="1690" w:type="dxa"/>
            <w:tcBorders>
              <w:left w:val="single" w:sz="4" w:space="0" w:color="A8483D"/>
              <w:bottom w:val="single" w:sz="6" w:space="0" w:color="A8483D"/>
            </w:tcBorders>
          </w:tcPr>
          <w:p>
            <w:pPr>
              <w:pStyle w:val="TableParagraph"/>
              <w:spacing w:before="18"/>
              <w:ind w:left="193"/>
              <w:rPr>
                <w:sz w:val="20"/>
              </w:rPr>
            </w:pPr>
            <w:r>
              <w:rPr>
                <w:color w:val="231F1F"/>
                <w:sz w:val="20"/>
              </w:rPr>
              <w:t>Total</w:t>
            </w:r>
          </w:p>
        </w:tc>
        <w:tc>
          <w:tcPr>
            <w:tcW w:w="1059" w:type="dxa"/>
            <w:tcBorders>
              <w:bottom w:val="single" w:sz="6" w:space="0" w:color="A8483D"/>
            </w:tcBorders>
          </w:tcPr>
          <w:p>
            <w:pPr>
              <w:pStyle w:val="TableParagraph"/>
              <w:spacing w:before="18"/>
              <w:ind w:left="241"/>
              <w:rPr>
                <w:sz w:val="20"/>
              </w:rPr>
            </w:pPr>
            <w:r>
              <w:rPr>
                <w:color w:val="231F1F"/>
                <w:w w:val="125"/>
                <w:sz w:val="20"/>
              </w:rPr>
              <w:t>2,647</w:t>
            </w:r>
          </w:p>
        </w:tc>
        <w:tc>
          <w:tcPr>
            <w:tcW w:w="1380" w:type="dxa"/>
            <w:tcBorders>
              <w:bottom w:val="single" w:sz="6" w:space="0" w:color="A8483D"/>
            </w:tcBorders>
          </w:tcPr>
          <w:p>
            <w:pPr>
              <w:pStyle w:val="TableParagraph"/>
              <w:spacing w:before="18"/>
              <w:ind w:left="259"/>
              <w:rPr>
                <w:sz w:val="20"/>
              </w:rPr>
            </w:pPr>
            <w:r>
              <w:rPr>
                <w:color w:val="231F1F"/>
                <w:w w:val="120"/>
                <w:sz w:val="20"/>
              </w:rPr>
              <w:t>100</w:t>
            </w:r>
          </w:p>
        </w:tc>
        <w:tc>
          <w:tcPr>
            <w:tcW w:w="1606" w:type="dxa"/>
            <w:tcBorders>
              <w:bottom w:val="single" w:sz="6" w:space="0" w:color="A8483D"/>
            </w:tcBorders>
          </w:tcPr>
          <w:p>
            <w:pPr>
              <w:pStyle w:val="TableParagraph"/>
              <w:spacing w:before="18"/>
              <w:ind w:left="216" w:right="174"/>
              <w:rPr>
                <w:sz w:val="20"/>
              </w:rPr>
            </w:pPr>
            <w:r>
              <w:rPr>
                <w:color w:val="231F1F"/>
                <w:w w:val="120"/>
                <w:sz w:val="20"/>
              </w:rPr>
              <w:t>2,359 ps.</w:t>
            </w:r>
          </w:p>
        </w:tc>
        <w:tc>
          <w:tcPr>
            <w:tcW w:w="778" w:type="dxa"/>
            <w:tcBorders>
              <w:bottom w:val="single" w:sz="6" w:space="0" w:color="A8483D"/>
            </w:tcBorders>
          </w:tcPr>
          <w:p>
            <w:pPr>
              <w:pStyle w:val="TableParagraph"/>
              <w:spacing w:before="18"/>
              <w:ind w:right="29"/>
              <w:jc w:val="right"/>
              <w:rPr>
                <w:sz w:val="20"/>
              </w:rPr>
            </w:pPr>
            <w:r>
              <w:rPr>
                <w:color w:val="231F1F"/>
                <w:w w:val="120"/>
                <w:sz w:val="20"/>
              </w:rPr>
              <w:t>1,032</w:t>
            </w:r>
          </w:p>
        </w:tc>
        <w:tc>
          <w:tcPr>
            <w:tcW w:w="870" w:type="dxa"/>
            <w:tcBorders>
              <w:bottom w:val="single" w:sz="6" w:space="0" w:color="A8483D"/>
              <w:right w:val="single" w:sz="4" w:space="0" w:color="A8483D"/>
            </w:tcBorders>
          </w:tcPr>
          <w:p>
            <w:pPr>
              <w:pStyle w:val="TableParagraph"/>
              <w:spacing w:before="18"/>
              <w:ind w:left="31"/>
              <w:rPr>
                <w:sz w:val="20"/>
              </w:rPr>
            </w:pPr>
            <w:r>
              <w:rPr>
                <w:color w:val="231F1F"/>
                <w:w w:val="105"/>
                <w:sz w:val="20"/>
              </w:rPr>
              <w:t>ps.</w:t>
            </w:r>
          </w:p>
        </w:tc>
      </w:tr>
    </w:tbl>
    <w:p>
      <w:pPr>
        <w:spacing w:before="78"/>
        <w:ind w:left="2354" w:right="1725" w:firstLine="0"/>
        <w:jc w:val="left"/>
        <w:rPr>
          <w:sz w:val="18"/>
        </w:rPr>
      </w:pPr>
      <w:r>
        <w:rPr>
          <w:color w:val="231F1F"/>
          <w:w w:val="105"/>
          <w:sz w:val="18"/>
        </w:rPr>
        <w:t>Nota: ps. = pesos: r =   real</w:t>
      </w:r>
    </w:p>
    <w:p>
      <w:pPr>
        <w:spacing w:before="20"/>
        <w:ind w:left="2354" w:right="1725" w:firstLine="0"/>
        <w:jc w:val="left"/>
        <w:rPr>
          <w:sz w:val="18"/>
        </w:rPr>
      </w:pPr>
      <w:r>
        <w:rPr>
          <w:color w:val="231F1F"/>
          <w:w w:val="110"/>
          <w:sz w:val="18"/>
        </w:rPr>
        <w:t>Fuente: </w:t>
      </w:r>
      <w:r>
        <w:rPr>
          <w:color w:val="231F1F"/>
          <w:w w:val="110"/>
          <w:sz w:val="14"/>
        </w:rPr>
        <w:t>AGN</w:t>
      </w:r>
      <w:r>
        <w:rPr>
          <w:color w:val="231F1F"/>
          <w:w w:val="110"/>
          <w:sz w:val="18"/>
        </w:rPr>
        <w:t>, A. H. Hda., vol. </w:t>
      </w:r>
      <w:r>
        <w:rPr>
          <w:color w:val="231F1F"/>
          <w:w w:val="110"/>
          <w:sz w:val="16"/>
        </w:rPr>
        <w:t>1081</w:t>
      </w:r>
      <w:r>
        <w:rPr>
          <w:color w:val="231F1F"/>
          <w:w w:val="110"/>
          <w:sz w:val="18"/>
        </w:rPr>
        <w:t>, exp s/n, fo.   </w:t>
      </w:r>
      <w:r>
        <w:rPr>
          <w:color w:val="231F1F"/>
          <w:w w:val="110"/>
          <w:sz w:val="16"/>
        </w:rPr>
        <w:t>1</w:t>
      </w:r>
      <w:r>
        <w:rPr>
          <w:color w:val="231F1F"/>
          <w:w w:val="110"/>
          <w:sz w:val="18"/>
        </w:rPr>
        <w:t>.</w:t>
      </w:r>
    </w:p>
    <w:p>
      <w:pPr>
        <w:pStyle w:val="BodyText"/>
        <w:rPr>
          <w:sz w:val="18"/>
        </w:rPr>
      </w:pPr>
    </w:p>
    <w:p>
      <w:pPr>
        <w:pStyle w:val="BodyText"/>
        <w:spacing w:before="3"/>
        <w:rPr>
          <w:sz w:val="13"/>
        </w:rPr>
      </w:pPr>
    </w:p>
    <w:p>
      <w:pPr>
        <w:pStyle w:val="BodyText"/>
        <w:spacing w:line="268" w:lineRule="auto" w:before="1"/>
        <w:ind w:left="1504" w:right="1724"/>
        <w:jc w:val="both"/>
      </w:pPr>
      <w:r>
        <w:rPr>
          <w:color w:val="231F1F"/>
        </w:rPr>
        <w:t>En cuanto a las personas poseedoras de monedas de plata de la Suprema Junta en Sultepec, se  puede observar en el documento anexo que sólo cinco de ellas tenían cantidades superiores a las  </w:t>
      </w:r>
      <w:r>
        <w:rPr>
          <w:color w:val="231F1F"/>
          <w:sz w:val="20"/>
        </w:rPr>
        <w:t>100  </w:t>
      </w:r>
      <w:r>
        <w:rPr>
          <w:color w:val="231F1F"/>
        </w:rPr>
        <w:t>piezas.  De  entre  ellas,  una  sola  persona  concentraba  </w:t>
      </w:r>
      <w:r>
        <w:rPr>
          <w:color w:val="231F1F"/>
          <w:sz w:val="20"/>
        </w:rPr>
        <w:t>836  </w:t>
      </w:r>
      <w:r>
        <w:rPr>
          <w:color w:val="231F1F"/>
        </w:rPr>
        <w:t>piezas  de  </w:t>
      </w:r>
      <w:r>
        <w:rPr>
          <w:color w:val="231F1F"/>
          <w:sz w:val="20"/>
        </w:rPr>
        <w:t>8  </w:t>
      </w:r>
      <w:r>
        <w:rPr>
          <w:color w:val="231F1F"/>
        </w:rPr>
        <w:t>reales.  Es  </w:t>
      </w:r>
      <w:r>
        <w:rPr>
          <w:color w:val="231F1F"/>
          <w:spacing w:val="-3"/>
        </w:rPr>
        <w:t>decir,  </w:t>
      </w:r>
      <w:r>
        <w:rPr>
          <w:color w:val="231F1F"/>
          <w:spacing w:val="40"/>
        </w:rPr>
        <w:t> </w:t>
      </w:r>
      <w:r>
        <w:rPr>
          <w:color w:val="231F1F"/>
        </w:rPr>
        <w:t>era</w:t>
      </w:r>
    </w:p>
    <w:p>
      <w:pPr>
        <w:spacing w:after="0" w:line="268" w:lineRule="auto"/>
        <w:jc w:val="both"/>
        <w:sectPr>
          <w:pgSz w:w="13100" w:h="17920"/>
          <w:pgMar w:top="1660" w:bottom="280" w:left="820" w:right="0"/>
        </w:sectPr>
      </w:pPr>
    </w:p>
    <w:p>
      <w:pPr>
        <w:pStyle w:val="BodyText"/>
        <w:spacing w:line="268" w:lineRule="auto" w:before="41"/>
        <w:ind w:left="109" w:right="2840"/>
        <w:jc w:val="both"/>
      </w:pPr>
      <w:r>
        <w:rPr>
          <w:color w:val="231F1F"/>
        </w:rPr>
        <w:t>dueña de más de un tercio de todas las monedas incautadas con esa misma denominación. Otras seis personas poseían entre </w:t>
      </w:r>
      <w:r>
        <w:rPr>
          <w:color w:val="231F1F"/>
          <w:sz w:val="20"/>
        </w:rPr>
        <w:t>49 </w:t>
      </w:r>
      <w:r>
        <w:rPr>
          <w:color w:val="231F1F"/>
        </w:rPr>
        <w:t>y </w:t>
      </w:r>
      <w:r>
        <w:rPr>
          <w:color w:val="231F1F"/>
          <w:sz w:val="20"/>
        </w:rPr>
        <w:t>99 </w:t>
      </w:r>
      <w:r>
        <w:rPr>
          <w:color w:val="231F1F"/>
        </w:rPr>
        <w:t>piezas cada una. Estos dos grupos formaban una verdadera élite económica en Sultepec por el número de monedas que tenían en sus manos y porque     a todas ellas se les menciona en la relación con el título </w:t>
      </w:r>
      <w:r>
        <w:rPr>
          <w:i/>
          <w:color w:val="231F1F"/>
        </w:rPr>
        <w:t>don</w:t>
      </w:r>
      <w:r>
        <w:rPr>
          <w:color w:val="231F1F"/>
        </w:rPr>
        <w:t>, excepto al padre guardián del convento de capuchinas que ahí existía. Un grupo menor lo componían ocho personas poseedoras de entre </w:t>
      </w:r>
      <w:r>
        <w:rPr>
          <w:color w:val="231F1F"/>
          <w:sz w:val="20"/>
        </w:rPr>
        <w:t>15 </w:t>
      </w:r>
      <w:r>
        <w:rPr>
          <w:color w:val="231F1F"/>
        </w:rPr>
        <w:t>y </w:t>
      </w:r>
      <w:r>
        <w:rPr>
          <w:color w:val="231F1F"/>
          <w:sz w:val="20"/>
        </w:rPr>
        <w:t>48  </w:t>
      </w:r>
      <w:r>
        <w:rPr>
          <w:color w:val="231F1F"/>
        </w:rPr>
        <w:t>piezas  de plata. Finalmente, un grupo numeroso, compuesto por </w:t>
      </w:r>
      <w:r>
        <w:rPr>
          <w:color w:val="231F1F"/>
          <w:sz w:val="20"/>
        </w:rPr>
        <w:t>35 </w:t>
      </w:r>
      <w:r>
        <w:rPr>
          <w:color w:val="231F1F"/>
        </w:rPr>
        <w:t>personas sólo poseían entre </w:t>
      </w:r>
      <w:r>
        <w:rPr>
          <w:color w:val="231F1F"/>
          <w:sz w:val="20"/>
        </w:rPr>
        <w:t>1 </w:t>
      </w:r>
      <w:r>
        <w:rPr>
          <w:color w:val="231F1F"/>
        </w:rPr>
        <w:t>y </w:t>
      </w:r>
      <w:r>
        <w:rPr>
          <w:color w:val="231F1F"/>
          <w:sz w:val="20"/>
        </w:rPr>
        <w:t>14 </w:t>
      </w:r>
      <w:r>
        <w:rPr>
          <w:color w:val="231F1F"/>
        </w:rPr>
        <w:t>monedas, ello las ubicaba en la escala social inferior de esta relación. Este pequeño microcosmos social retratado en la relación escrita de Sultepec era similar al de toda la Nueva España, en       la que debe haberse presentado una proporción análoga en cuanto a la concentración de numerario según los diversos grupos   </w:t>
      </w:r>
      <w:r>
        <w:rPr>
          <w:color w:val="231F1F"/>
          <w:spacing w:val="30"/>
        </w:rPr>
        <w:t> </w:t>
      </w:r>
      <w:r>
        <w:rPr>
          <w:color w:val="231F1F"/>
        </w:rPr>
        <w:t>sociales.</w:t>
      </w:r>
    </w:p>
    <w:p>
      <w:pPr>
        <w:pStyle w:val="BodyText"/>
        <w:spacing w:before="9"/>
        <w:rPr>
          <w:sz w:val="27"/>
        </w:rPr>
      </w:pPr>
    </w:p>
    <w:p>
      <w:pPr>
        <w:pStyle w:val="BodyText"/>
        <w:spacing w:line="268" w:lineRule="auto"/>
        <w:ind w:left="109" w:right="2840"/>
        <w:jc w:val="both"/>
      </w:pPr>
      <w:r>
        <w:rPr>
          <w:color w:val="231F1F"/>
        </w:rPr>
        <w:t>En cuanto al valor nominal de las monedas insurgentes confiscadas, la relación reporta que todas ellas sumaban la cifra de </w:t>
      </w:r>
      <w:r>
        <w:rPr>
          <w:color w:val="231F1F"/>
          <w:sz w:val="20"/>
        </w:rPr>
        <w:t>2,359 </w:t>
      </w:r>
      <w:r>
        <w:rPr>
          <w:color w:val="231F1F"/>
        </w:rPr>
        <w:t>pesos. Sin embargo, los ensayadores realistas cotizaron todas las monedas incau- tadas y las valoraron en </w:t>
      </w:r>
      <w:r>
        <w:rPr>
          <w:color w:val="231F1F"/>
          <w:sz w:val="20"/>
        </w:rPr>
        <w:t>1,032 </w:t>
      </w:r>
      <w:r>
        <w:rPr>
          <w:color w:val="231F1F"/>
        </w:rPr>
        <w:t>pesos de oro común. Es decir, que sólo  tenían un valor intrínseco del </w:t>
      </w:r>
      <w:r>
        <w:rPr>
          <w:color w:val="231F1F"/>
          <w:sz w:val="20"/>
        </w:rPr>
        <w:t>43.7% </w:t>
      </w:r>
      <w:r>
        <w:rPr>
          <w:color w:val="231F1F"/>
        </w:rPr>
        <w:t>con respecto a las monedas oficiales del rey o del cuño novohispano. Esto significa que a pesar de haber lo- grado monedas de plata, éstas habían sido de valores intrínsecos mucho menores a los de las monedas realistas de uso corriente. No obstante, sorprende que en sólo seis meses se haya generalizado el uso de la moneda insurgente entre los vecinos de un centro minero, que se supone era uno de los principales productores de plata en pasta de esa época.</w:t>
      </w:r>
    </w:p>
    <w:p>
      <w:pPr>
        <w:pStyle w:val="BodyText"/>
        <w:spacing w:before="9"/>
        <w:rPr>
          <w:sz w:val="27"/>
        </w:rPr>
      </w:pPr>
    </w:p>
    <w:p>
      <w:pPr>
        <w:pStyle w:val="BodyText"/>
        <w:spacing w:line="268" w:lineRule="auto"/>
        <w:ind w:left="109" w:right="2836"/>
        <w:jc w:val="both"/>
      </w:pPr>
      <w:r>
        <w:rPr>
          <w:color w:val="231F1F"/>
        </w:rPr>
        <w:t>Hay otros tres datos en esta relación que tienen gran </w:t>
      </w:r>
      <w:r>
        <w:rPr>
          <w:color w:val="231F1F"/>
          <w:spacing w:val="2"/>
        </w:rPr>
        <w:t>importancia </w:t>
      </w:r>
      <w:r>
        <w:rPr>
          <w:color w:val="231F1F"/>
        </w:rPr>
        <w:t>para nuestros propósitos. Se confiscaron además </w:t>
      </w:r>
      <w:r>
        <w:rPr>
          <w:color w:val="231F1F"/>
          <w:sz w:val="20"/>
        </w:rPr>
        <w:t>72 </w:t>
      </w:r>
      <w:r>
        <w:rPr>
          <w:color w:val="231F1F"/>
        </w:rPr>
        <w:t>pesos de plata de varias denominaciones del colector de impuestos reales en el vecino poblado   de Tejupilco. Si como pensamos, estas monedas de plata también fueron acuñadas</w:t>
      </w:r>
      <w:r>
        <w:rPr>
          <w:color w:val="231F1F"/>
          <w:spacing w:val="-7"/>
        </w:rPr>
        <w:t> </w:t>
      </w:r>
      <w:r>
        <w:rPr>
          <w:color w:val="231F1F"/>
        </w:rPr>
        <w:t>por</w:t>
      </w:r>
      <w:r>
        <w:rPr>
          <w:color w:val="231F1F"/>
          <w:spacing w:val="-7"/>
        </w:rPr>
        <w:t> </w:t>
      </w:r>
      <w:r>
        <w:rPr>
          <w:color w:val="231F1F"/>
        </w:rPr>
        <w:t>la</w:t>
      </w:r>
      <w:r>
        <w:rPr>
          <w:color w:val="231F1F"/>
          <w:spacing w:val="-7"/>
        </w:rPr>
        <w:t> </w:t>
      </w:r>
      <w:r>
        <w:rPr>
          <w:color w:val="231F1F"/>
        </w:rPr>
        <w:t>Suprema</w:t>
      </w:r>
      <w:r>
        <w:rPr>
          <w:color w:val="231F1F"/>
          <w:spacing w:val="-7"/>
        </w:rPr>
        <w:t> </w:t>
      </w:r>
      <w:r>
        <w:rPr>
          <w:color w:val="231F1F"/>
        </w:rPr>
        <w:t>Junta</w:t>
      </w:r>
      <w:r>
        <w:rPr>
          <w:color w:val="231F1F"/>
          <w:spacing w:val="-7"/>
        </w:rPr>
        <w:t> </w:t>
      </w:r>
      <w:r>
        <w:rPr>
          <w:color w:val="231F1F"/>
        </w:rPr>
        <w:t>radicada</w:t>
      </w:r>
      <w:r>
        <w:rPr>
          <w:color w:val="231F1F"/>
          <w:spacing w:val="-7"/>
        </w:rPr>
        <w:t> </w:t>
      </w:r>
      <w:r>
        <w:rPr>
          <w:color w:val="231F1F"/>
        </w:rPr>
        <w:t>en</w:t>
      </w:r>
      <w:r>
        <w:rPr>
          <w:color w:val="231F1F"/>
          <w:spacing w:val="-7"/>
        </w:rPr>
        <w:t> </w:t>
      </w:r>
      <w:r>
        <w:rPr>
          <w:color w:val="231F1F"/>
        </w:rPr>
        <w:t>Sultepec,</w:t>
      </w:r>
      <w:r>
        <w:rPr>
          <w:color w:val="231F1F"/>
          <w:spacing w:val="-7"/>
        </w:rPr>
        <w:t> </w:t>
      </w:r>
      <w:r>
        <w:rPr>
          <w:color w:val="231F1F"/>
        </w:rPr>
        <w:t>entonces</w:t>
      </w:r>
      <w:r>
        <w:rPr>
          <w:color w:val="231F1F"/>
          <w:spacing w:val="-7"/>
        </w:rPr>
        <w:t> </w:t>
      </w:r>
      <w:r>
        <w:rPr>
          <w:color w:val="231F1F"/>
        </w:rPr>
        <w:t>tendríamos que en poco tiempo el flujo de monedas insurgentes se había expandido a un radio territorial que tenía como eje al citado centro minero. Otro dato, un tanto ambiguo, es que se confiscaron </w:t>
      </w:r>
      <w:r>
        <w:rPr>
          <w:color w:val="231F1F"/>
          <w:sz w:val="20"/>
        </w:rPr>
        <w:t>73  </w:t>
      </w:r>
      <w:r>
        <w:rPr>
          <w:color w:val="231F1F"/>
        </w:rPr>
        <w:t>piezas o pesos –no se sabe      a ciencia cierta de cuál de los dos– de cobre de los indios. </w:t>
      </w:r>
      <w:r>
        <w:rPr>
          <w:color w:val="231F1F"/>
          <w:spacing w:val="-3"/>
        </w:rPr>
        <w:t>Tampoco </w:t>
      </w:r>
      <w:r>
        <w:rPr>
          <w:color w:val="231F1F"/>
        </w:rPr>
        <w:t>sabemos si se trataba de emisiones de la Suprema Junta, de las acuñadas por Morelos, o de simples tlacos de circulación local. Lo que sí podemos confirmar es que los indios manejaban las monedas de cobre y no las      de plata en esos momentos históricos. Finalmente, la relación tuvo como propósito informar las cantidades de moneda insurgente  confiscadas,  que debían ser fundidas para salir definitivamente de circulación y volver  a reinsertar, en el flujo comercial, las monedas realistas que se pagaron por ellas a sus antiguos tenedores. En otras palabras, lo que se buscaba era</w:t>
      </w:r>
      <w:r>
        <w:rPr>
          <w:color w:val="231F1F"/>
          <w:spacing w:val="-8"/>
        </w:rPr>
        <w:t> </w:t>
      </w:r>
      <w:r>
        <w:rPr>
          <w:color w:val="231F1F"/>
        </w:rPr>
        <w:t>volver</w:t>
      </w:r>
      <w:r>
        <w:rPr>
          <w:color w:val="231F1F"/>
          <w:spacing w:val="-8"/>
        </w:rPr>
        <w:t> </w:t>
      </w:r>
      <w:r>
        <w:rPr>
          <w:color w:val="231F1F"/>
        </w:rPr>
        <w:t>a</w:t>
      </w:r>
      <w:r>
        <w:rPr>
          <w:color w:val="231F1F"/>
          <w:spacing w:val="-8"/>
        </w:rPr>
        <w:t> </w:t>
      </w:r>
      <w:r>
        <w:rPr>
          <w:color w:val="231F1F"/>
        </w:rPr>
        <w:t>restablecer</w:t>
      </w:r>
      <w:r>
        <w:rPr>
          <w:color w:val="231F1F"/>
          <w:spacing w:val="-8"/>
        </w:rPr>
        <w:t> </w:t>
      </w:r>
      <w:r>
        <w:rPr>
          <w:color w:val="231F1F"/>
        </w:rPr>
        <w:t>estos</w:t>
      </w:r>
      <w:r>
        <w:rPr>
          <w:color w:val="231F1F"/>
          <w:spacing w:val="-8"/>
        </w:rPr>
        <w:t> </w:t>
      </w:r>
      <w:r>
        <w:rPr>
          <w:color w:val="231F1F"/>
        </w:rPr>
        <w:t>poblados</w:t>
      </w:r>
      <w:r>
        <w:rPr>
          <w:color w:val="231F1F"/>
          <w:spacing w:val="-8"/>
        </w:rPr>
        <w:t> </w:t>
      </w:r>
      <w:r>
        <w:rPr>
          <w:color w:val="231F1F"/>
        </w:rPr>
        <w:t>dentro</w:t>
      </w:r>
      <w:r>
        <w:rPr>
          <w:color w:val="231F1F"/>
          <w:spacing w:val="-8"/>
        </w:rPr>
        <w:t> </w:t>
      </w:r>
      <w:r>
        <w:rPr>
          <w:color w:val="231F1F"/>
        </w:rPr>
        <w:t>de</w:t>
      </w:r>
      <w:r>
        <w:rPr>
          <w:color w:val="231F1F"/>
          <w:spacing w:val="-8"/>
        </w:rPr>
        <w:t> </w:t>
      </w:r>
      <w:r>
        <w:rPr>
          <w:color w:val="231F1F"/>
        </w:rPr>
        <w:t>los</w:t>
      </w:r>
      <w:r>
        <w:rPr>
          <w:color w:val="231F1F"/>
          <w:spacing w:val="-8"/>
        </w:rPr>
        <w:t> </w:t>
      </w:r>
      <w:r>
        <w:rPr>
          <w:color w:val="231F1F"/>
        </w:rPr>
        <w:t>territorios</w:t>
      </w:r>
      <w:r>
        <w:rPr>
          <w:color w:val="231F1F"/>
          <w:spacing w:val="-8"/>
        </w:rPr>
        <w:t> </w:t>
      </w:r>
      <w:r>
        <w:rPr>
          <w:color w:val="231F1F"/>
        </w:rPr>
        <w:t>y</w:t>
      </w:r>
      <w:r>
        <w:rPr>
          <w:color w:val="231F1F"/>
          <w:spacing w:val="-8"/>
        </w:rPr>
        <w:t> </w:t>
      </w:r>
      <w:r>
        <w:rPr>
          <w:color w:val="231F1F"/>
        </w:rPr>
        <w:t>dominios</w:t>
      </w:r>
    </w:p>
    <w:p>
      <w:pPr>
        <w:pStyle w:val="BodyText"/>
        <w:rPr>
          <w:sz w:val="20"/>
        </w:rPr>
      </w:pPr>
    </w:p>
    <w:p>
      <w:pPr>
        <w:pStyle w:val="BodyText"/>
        <w:rPr>
          <w:sz w:val="20"/>
        </w:rPr>
      </w:pPr>
    </w:p>
    <w:p>
      <w:pPr>
        <w:pStyle w:val="BodyText"/>
        <w:rPr>
          <w:sz w:val="20"/>
        </w:rPr>
      </w:pPr>
    </w:p>
    <w:p>
      <w:pPr>
        <w:pStyle w:val="BodyText"/>
        <w:spacing w:before="8"/>
        <w:rPr>
          <w:sz w:val="21"/>
        </w:rPr>
      </w:pPr>
    </w:p>
    <w:p>
      <w:pPr>
        <w:spacing w:after="0"/>
        <w:rPr>
          <w:sz w:val="21"/>
        </w:rPr>
        <w:sectPr>
          <w:pgSz w:w="13100" w:h="17920"/>
          <w:pgMar w:top="1660" w:bottom="280" w:left="1620" w:right="1860"/>
        </w:sectPr>
      </w:pPr>
    </w:p>
    <w:p>
      <w:pPr>
        <w:spacing w:line="194" w:lineRule="exact" w:before="79"/>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119</w:t>
      </w:r>
    </w:p>
    <w:p>
      <w:pPr>
        <w:spacing w:after="0"/>
        <w:jc w:val="left"/>
        <w:rPr>
          <w:sz w:val="18"/>
        </w:rPr>
        <w:sectPr>
          <w:type w:val="continuous"/>
          <w:pgSz w:w="13100" w:h="17920"/>
          <w:pgMar w:top="0" w:bottom="0" w:left="1620" w:right="1860"/>
          <w:cols w:num="2" w:equalWidth="0">
            <w:col w:w="8413" w:space="40"/>
            <w:col w:w="1167"/>
          </w:cols>
        </w:sectPr>
      </w:pPr>
    </w:p>
    <w:p>
      <w:pPr>
        <w:pStyle w:val="BodyText"/>
        <w:tabs>
          <w:tab w:pos="3913" w:val="left" w:leader="none"/>
        </w:tabs>
        <w:spacing w:line="268" w:lineRule="auto" w:before="29"/>
        <w:ind w:left="3913" w:right="1723" w:hanging="3580"/>
        <w:jc w:val="both"/>
      </w:pPr>
      <w:r>
        <w:rPr/>
        <w:drawing>
          <wp:anchor distT="0" distB="0" distL="0" distR="0" allowOverlap="1" layoutInCell="1" locked="0" behindDoc="1" simplePos="0" relativeHeight="268361519">
            <wp:simplePos x="0" y="0"/>
            <wp:positionH relativeFrom="page">
              <wp:posOffset>589533</wp:posOffset>
            </wp:positionH>
            <wp:positionV relativeFrom="paragraph">
              <wp:posOffset>362513</wp:posOffset>
            </wp:positionV>
            <wp:extent cx="522296" cy="457949"/>
            <wp:effectExtent l="0" t="0" r="0" b="0"/>
            <wp:wrapNone/>
            <wp:docPr id="67" name="image24.png" descr=""/>
            <wp:cNvGraphicFramePr>
              <a:graphicFrameLocks noChangeAspect="1"/>
            </wp:cNvGraphicFramePr>
            <a:graphic>
              <a:graphicData uri="http://schemas.openxmlformats.org/drawingml/2006/picture">
                <pic:pic>
                  <pic:nvPicPr>
                    <pic:cNvPr id="68" name="image24.png"/>
                    <pic:cNvPicPr/>
                  </pic:nvPicPr>
                  <pic:blipFill>
                    <a:blip r:embed="rId29" cstate="print"/>
                    <a:stretch>
                      <a:fillRect/>
                    </a:stretch>
                  </pic:blipFill>
                  <pic:spPr>
                    <a:xfrm>
                      <a:off x="0" y="0"/>
                      <a:ext cx="522296" cy="457949"/>
                    </a:xfrm>
                    <a:prstGeom prst="rect">
                      <a:avLst/>
                    </a:prstGeom>
                  </pic:spPr>
                </pic:pic>
              </a:graphicData>
            </a:graphic>
          </wp:anchor>
        </w:drawing>
      </w:r>
      <w:r>
        <w:rPr>
          <w:rFonts w:ascii="Verdana" w:hAnsi="Verdana"/>
          <w:b/>
          <w:color w:val="4F3628"/>
          <w:position w:val="4"/>
          <w:sz w:val="18"/>
        </w:rPr>
        <w:t>120</w:t>
        <w:tab/>
      </w:r>
      <w:r>
        <w:rPr>
          <w:color w:val="231F1F"/>
        </w:rPr>
        <w:t>realengos.</w:t>
      </w:r>
      <w:r>
        <w:rPr>
          <w:color w:val="231F1F"/>
          <w:spacing w:val="31"/>
        </w:rPr>
        <w:t> </w:t>
      </w:r>
      <w:r>
        <w:rPr>
          <w:color w:val="231F1F"/>
        </w:rPr>
        <w:t>Esto</w:t>
      </w:r>
      <w:r>
        <w:rPr>
          <w:color w:val="231F1F"/>
          <w:spacing w:val="31"/>
        </w:rPr>
        <w:t> </w:t>
      </w:r>
      <w:r>
        <w:rPr>
          <w:color w:val="231F1F"/>
        </w:rPr>
        <w:t>significaba</w:t>
      </w:r>
      <w:r>
        <w:rPr>
          <w:color w:val="231F1F"/>
          <w:spacing w:val="31"/>
        </w:rPr>
        <w:t> </w:t>
      </w:r>
      <w:r>
        <w:rPr>
          <w:color w:val="231F1F"/>
        </w:rPr>
        <w:t>a</w:t>
      </w:r>
      <w:r>
        <w:rPr>
          <w:color w:val="231F1F"/>
          <w:spacing w:val="31"/>
        </w:rPr>
        <w:t> </w:t>
      </w:r>
      <w:r>
        <w:rPr>
          <w:color w:val="231F1F"/>
        </w:rPr>
        <w:t>la</w:t>
      </w:r>
      <w:r>
        <w:rPr>
          <w:color w:val="231F1F"/>
          <w:spacing w:val="31"/>
        </w:rPr>
        <w:t> </w:t>
      </w:r>
      <w:r>
        <w:rPr>
          <w:color w:val="231F1F"/>
        </w:rPr>
        <w:t>inversa,</w:t>
      </w:r>
      <w:r>
        <w:rPr>
          <w:color w:val="231F1F"/>
          <w:spacing w:val="31"/>
        </w:rPr>
        <w:t> </w:t>
      </w:r>
      <w:r>
        <w:rPr>
          <w:color w:val="231F1F"/>
        </w:rPr>
        <w:t>que</w:t>
      </w:r>
      <w:r>
        <w:rPr>
          <w:color w:val="231F1F"/>
          <w:spacing w:val="31"/>
        </w:rPr>
        <w:t> </w:t>
      </w:r>
      <w:r>
        <w:rPr>
          <w:color w:val="231F1F"/>
        </w:rPr>
        <w:t>la</w:t>
      </w:r>
      <w:r>
        <w:rPr>
          <w:color w:val="231F1F"/>
          <w:spacing w:val="31"/>
        </w:rPr>
        <w:t> </w:t>
      </w:r>
      <w:r>
        <w:rPr>
          <w:color w:val="231F1F"/>
        </w:rPr>
        <w:t>política</w:t>
      </w:r>
      <w:r>
        <w:rPr>
          <w:color w:val="231F1F"/>
          <w:spacing w:val="31"/>
        </w:rPr>
        <w:t> </w:t>
      </w:r>
      <w:r>
        <w:rPr>
          <w:color w:val="231F1F"/>
        </w:rPr>
        <w:t>monetaria</w:t>
      </w:r>
      <w:r>
        <w:rPr>
          <w:color w:val="231F1F"/>
          <w:spacing w:val="31"/>
        </w:rPr>
        <w:t> </w:t>
      </w:r>
      <w:r>
        <w:rPr>
          <w:color w:val="231F1F"/>
        </w:rPr>
        <w:t>insur-</w:t>
      </w:r>
      <w:r>
        <w:rPr>
          <w:color w:val="231F1F"/>
          <w:w w:val="62"/>
        </w:rPr>
        <w:t> </w:t>
      </w:r>
      <w:r>
        <w:rPr>
          <w:color w:val="231F1F"/>
        </w:rPr>
        <w:t>gente era acertada dadas las circunstancias de guerra y el funcionamiento general de la economía novohispana, pero también que las medidas tomadas para su pronta acuñación habían operado de manera  </w:t>
      </w:r>
      <w:r>
        <w:rPr>
          <w:color w:val="231F1F"/>
          <w:spacing w:val="35"/>
        </w:rPr>
        <w:t> </w:t>
      </w:r>
      <w:r>
        <w:rPr>
          <w:color w:val="231F1F"/>
        </w:rPr>
        <w:t>eficiente.</w:t>
      </w:r>
    </w:p>
    <w:p>
      <w:pPr>
        <w:pStyle w:val="BodyText"/>
        <w:spacing w:before="9"/>
        <w:rPr>
          <w:sz w:val="27"/>
        </w:rPr>
      </w:pPr>
    </w:p>
    <w:p>
      <w:pPr>
        <w:pStyle w:val="BodyText"/>
        <w:spacing w:line="268" w:lineRule="auto"/>
        <w:ind w:left="3913" w:right="1723"/>
        <w:jc w:val="both"/>
      </w:pPr>
      <w:r>
        <w:rPr/>
        <w:pict>
          <v:shape style="position:absolute;margin-left:60.653416pt;margin-top:-6.759357pt;width:11pt;height:76.350pt;mso-position-horizontal-relative:page;mso-position-vertical-relative:paragraph;z-index:275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color w:val="231F1F"/>
        </w:rPr>
        <w:t>Hay otras disposiciones interesantes en la época sobre la política comer- cial y monetaria insurgente. Por ejemplo, el </w:t>
      </w:r>
      <w:r>
        <w:rPr>
          <w:color w:val="231F1F"/>
          <w:sz w:val="20"/>
        </w:rPr>
        <w:t>29 </w:t>
      </w:r>
      <w:r>
        <w:rPr>
          <w:color w:val="231F1F"/>
        </w:rPr>
        <w:t>de diciembre de </w:t>
      </w:r>
      <w:r>
        <w:rPr>
          <w:color w:val="231F1F"/>
          <w:sz w:val="20"/>
        </w:rPr>
        <w:t>1812 </w:t>
      </w:r>
      <w:r>
        <w:rPr>
          <w:color w:val="231F1F"/>
        </w:rPr>
        <w:t>el cura de Carácuaro recomendaba a Rayón, instalado en Tlalpujahua, in- crementar el peso del metálico de las monedas allí acuñadas a una onza, con el fin de evitar que los falsificadores de moneda insurgente pudieran introducir fácilmente piezas con bajo peso en sus zonas de influencia.      Lo que acarreaba un problema gravísimo para  la  “Caja  Nacional”,  ya  que ello hacía que se convirtieran los pesos insurgentes en “tostones”. Es </w:t>
      </w:r>
      <w:r>
        <w:rPr>
          <w:color w:val="231F1F"/>
          <w:spacing w:val="-3"/>
        </w:rPr>
        <w:t>decir,  </w:t>
      </w:r>
      <w:r>
        <w:rPr>
          <w:color w:val="231F1F"/>
        </w:rPr>
        <w:t>se redujeran a la mitad de su valor de cambio y que en el futuro    las finanzas nacionales tendrían que hacer frente a un enorme problema inflacionario. El </w:t>
      </w:r>
      <w:r>
        <w:rPr>
          <w:color w:val="231F1F"/>
          <w:sz w:val="20"/>
        </w:rPr>
        <w:t>4 </w:t>
      </w:r>
      <w:r>
        <w:rPr>
          <w:color w:val="231F1F"/>
        </w:rPr>
        <w:t>de junio de </w:t>
      </w:r>
      <w:r>
        <w:rPr>
          <w:color w:val="231F1F"/>
          <w:sz w:val="20"/>
        </w:rPr>
        <w:t>1813</w:t>
      </w:r>
      <w:r>
        <w:rPr>
          <w:color w:val="231F1F"/>
        </w:rPr>
        <w:t>, estando en Acapulco, Morelos tuvo que dictar medidas más enérgicas para evitar la extracción de las pocas monedas de plata que circulaban en los territorios insurgentes (“libres”) por parte de los comerciantes de los territorios realistas (“enemigos” o de “pueblos y ciudades cautivas”) que introducían mercancías exigiendo su pago en monedas de plata, tanto realistas como insurgentes. Eso sí, las monedas de plata realistas circulaban dentro de los territorios</w:t>
      </w:r>
      <w:r>
        <w:rPr>
          <w:color w:val="231F1F"/>
          <w:spacing w:val="-19"/>
        </w:rPr>
        <w:t> </w:t>
      </w:r>
      <w:r>
        <w:rPr>
          <w:color w:val="231F1F"/>
        </w:rPr>
        <w:t>insurgentes con un resello o contramarca con el anagrama de Morelos que les daba legitimidad. Debido a ello, Morelos ordenó que todas las transacciones comerciales</w:t>
      </w:r>
      <w:r>
        <w:rPr>
          <w:color w:val="231F1F"/>
          <w:spacing w:val="-11"/>
        </w:rPr>
        <w:t> </w:t>
      </w:r>
      <w:r>
        <w:rPr>
          <w:color w:val="231F1F"/>
        </w:rPr>
        <w:t>al</w:t>
      </w:r>
      <w:r>
        <w:rPr>
          <w:color w:val="231F1F"/>
          <w:spacing w:val="-11"/>
        </w:rPr>
        <w:t> </w:t>
      </w:r>
      <w:r>
        <w:rPr>
          <w:color w:val="231F1F"/>
        </w:rPr>
        <w:t>menudeo,</w:t>
      </w:r>
      <w:r>
        <w:rPr>
          <w:color w:val="231F1F"/>
          <w:spacing w:val="-11"/>
        </w:rPr>
        <w:t> </w:t>
      </w:r>
      <w:r>
        <w:rPr>
          <w:color w:val="231F1F"/>
        </w:rPr>
        <w:t>entre</w:t>
      </w:r>
      <w:r>
        <w:rPr>
          <w:color w:val="231F1F"/>
          <w:spacing w:val="-11"/>
        </w:rPr>
        <w:t> </w:t>
      </w:r>
      <w:r>
        <w:rPr>
          <w:color w:val="231F1F"/>
        </w:rPr>
        <w:t>los</w:t>
      </w:r>
      <w:r>
        <w:rPr>
          <w:color w:val="231F1F"/>
          <w:spacing w:val="-11"/>
        </w:rPr>
        <w:t> </w:t>
      </w:r>
      <w:r>
        <w:rPr>
          <w:color w:val="231F1F"/>
        </w:rPr>
        <w:t>mercaderes</w:t>
      </w:r>
      <w:r>
        <w:rPr>
          <w:color w:val="231F1F"/>
          <w:spacing w:val="-11"/>
        </w:rPr>
        <w:t> </w:t>
      </w:r>
      <w:r>
        <w:rPr>
          <w:color w:val="231F1F"/>
        </w:rPr>
        <w:t>realistas</w:t>
      </w:r>
      <w:r>
        <w:rPr>
          <w:color w:val="231F1F"/>
          <w:spacing w:val="-11"/>
        </w:rPr>
        <w:t> </w:t>
      </w:r>
      <w:r>
        <w:rPr>
          <w:color w:val="231F1F"/>
        </w:rPr>
        <w:t>y</w:t>
      </w:r>
      <w:r>
        <w:rPr>
          <w:color w:val="231F1F"/>
          <w:spacing w:val="-11"/>
        </w:rPr>
        <w:t> </w:t>
      </w:r>
      <w:r>
        <w:rPr>
          <w:color w:val="231F1F"/>
        </w:rPr>
        <w:t>los</w:t>
      </w:r>
      <w:r>
        <w:rPr>
          <w:color w:val="231F1F"/>
          <w:spacing w:val="-11"/>
        </w:rPr>
        <w:t> </w:t>
      </w:r>
      <w:r>
        <w:rPr>
          <w:color w:val="231F1F"/>
        </w:rPr>
        <w:t>vecinos</w:t>
      </w:r>
      <w:r>
        <w:rPr>
          <w:color w:val="231F1F"/>
          <w:spacing w:val="-11"/>
        </w:rPr>
        <w:t> </w:t>
      </w:r>
      <w:r>
        <w:rPr>
          <w:color w:val="231F1F"/>
        </w:rPr>
        <w:t>de</w:t>
      </w:r>
      <w:r>
        <w:rPr>
          <w:color w:val="231F1F"/>
          <w:spacing w:val="-11"/>
        </w:rPr>
        <w:t> </w:t>
      </w:r>
      <w:r>
        <w:rPr>
          <w:color w:val="231F1F"/>
          <w:spacing w:val="-2"/>
        </w:rPr>
        <w:t>los </w:t>
      </w:r>
      <w:r>
        <w:rPr>
          <w:color w:val="231F1F"/>
        </w:rPr>
        <w:t>territorios</w:t>
      </w:r>
      <w:r>
        <w:rPr>
          <w:color w:val="231F1F"/>
          <w:spacing w:val="22"/>
        </w:rPr>
        <w:t> </w:t>
      </w:r>
      <w:r>
        <w:rPr>
          <w:color w:val="231F1F"/>
        </w:rPr>
        <w:t>insurgentes,</w:t>
      </w:r>
      <w:r>
        <w:rPr>
          <w:color w:val="231F1F"/>
          <w:spacing w:val="22"/>
        </w:rPr>
        <w:t> </w:t>
      </w:r>
      <w:r>
        <w:rPr>
          <w:color w:val="231F1F"/>
        </w:rPr>
        <w:t>debían</w:t>
      </w:r>
      <w:r>
        <w:rPr>
          <w:color w:val="231F1F"/>
          <w:spacing w:val="22"/>
        </w:rPr>
        <w:t> </w:t>
      </w:r>
      <w:r>
        <w:rPr>
          <w:color w:val="231F1F"/>
        </w:rPr>
        <w:t>hacerse</w:t>
      </w:r>
      <w:r>
        <w:rPr>
          <w:color w:val="231F1F"/>
          <w:spacing w:val="22"/>
        </w:rPr>
        <w:t> </w:t>
      </w:r>
      <w:r>
        <w:rPr>
          <w:color w:val="231F1F"/>
        </w:rPr>
        <w:t>en</w:t>
      </w:r>
      <w:r>
        <w:rPr>
          <w:color w:val="231F1F"/>
          <w:spacing w:val="22"/>
        </w:rPr>
        <w:t> </w:t>
      </w:r>
      <w:r>
        <w:rPr>
          <w:color w:val="231F1F"/>
        </w:rPr>
        <w:t>la</w:t>
      </w:r>
      <w:r>
        <w:rPr>
          <w:color w:val="231F1F"/>
          <w:spacing w:val="22"/>
        </w:rPr>
        <w:t> </w:t>
      </w:r>
      <w:r>
        <w:rPr>
          <w:color w:val="231F1F"/>
        </w:rPr>
        <w:t>moneda</w:t>
      </w:r>
      <w:r>
        <w:rPr>
          <w:color w:val="231F1F"/>
          <w:spacing w:val="22"/>
        </w:rPr>
        <w:t> </w:t>
      </w:r>
      <w:r>
        <w:rPr>
          <w:color w:val="231F1F"/>
        </w:rPr>
        <w:t>nacional</w:t>
      </w:r>
      <w:r>
        <w:rPr>
          <w:color w:val="231F1F"/>
          <w:spacing w:val="22"/>
        </w:rPr>
        <w:t> </w:t>
      </w:r>
      <w:r>
        <w:rPr>
          <w:color w:val="231F1F"/>
        </w:rPr>
        <w:t>de</w:t>
      </w:r>
      <w:r>
        <w:rPr>
          <w:color w:val="231F1F"/>
          <w:spacing w:val="22"/>
        </w:rPr>
        <w:t> </w:t>
      </w:r>
      <w:r>
        <w:rPr>
          <w:color w:val="231F1F"/>
        </w:rPr>
        <w:t>cobre,</w:t>
      </w:r>
    </w:p>
    <w:p>
      <w:pPr>
        <w:pStyle w:val="BodyText"/>
        <w:spacing w:before="10"/>
        <w:rPr>
          <w:sz w:val="13"/>
        </w:rPr>
      </w:pPr>
      <w:r>
        <w:rPr/>
        <w:drawing>
          <wp:anchor distT="0" distB="0" distL="0" distR="0" allowOverlap="1" layoutInCell="1" locked="0" behindDoc="0" simplePos="0" relativeHeight="2632">
            <wp:simplePos x="0" y="0"/>
            <wp:positionH relativeFrom="page">
              <wp:posOffset>1648167</wp:posOffset>
            </wp:positionH>
            <wp:positionV relativeFrom="paragraph">
              <wp:posOffset>149740</wp:posOffset>
            </wp:positionV>
            <wp:extent cx="2335404" cy="2382393"/>
            <wp:effectExtent l="0" t="0" r="0" b="0"/>
            <wp:wrapTopAndBottom/>
            <wp:docPr id="69" name="image33.png" descr=""/>
            <wp:cNvGraphicFramePr>
              <a:graphicFrameLocks noChangeAspect="1"/>
            </wp:cNvGraphicFramePr>
            <a:graphic>
              <a:graphicData uri="http://schemas.openxmlformats.org/drawingml/2006/picture">
                <pic:pic>
                  <pic:nvPicPr>
                    <pic:cNvPr id="70" name="image33.png"/>
                    <pic:cNvPicPr/>
                  </pic:nvPicPr>
                  <pic:blipFill>
                    <a:blip r:embed="rId38" cstate="print"/>
                    <a:stretch>
                      <a:fillRect/>
                    </a:stretch>
                  </pic:blipFill>
                  <pic:spPr>
                    <a:xfrm>
                      <a:off x="0" y="0"/>
                      <a:ext cx="2335404" cy="2382393"/>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4770005</wp:posOffset>
            </wp:positionH>
            <wp:positionV relativeFrom="paragraph">
              <wp:posOffset>132455</wp:posOffset>
            </wp:positionV>
            <wp:extent cx="2430393" cy="2420016"/>
            <wp:effectExtent l="0" t="0" r="0" b="0"/>
            <wp:wrapTopAndBottom/>
            <wp:docPr id="71" name="image34.png" descr=""/>
            <wp:cNvGraphicFramePr>
              <a:graphicFrameLocks noChangeAspect="1"/>
            </wp:cNvGraphicFramePr>
            <a:graphic>
              <a:graphicData uri="http://schemas.openxmlformats.org/drawingml/2006/picture">
                <pic:pic>
                  <pic:nvPicPr>
                    <pic:cNvPr id="72" name="image34.png"/>
                    <pic:cNvPicPr/>
                  </pic:nvPicPr>
                  <pic:blipFill>
                    <a:blip r:embed="rId39" cstate="print"/>
                    <a:stretch>
                      <a:fillRect/>
                    </a:stretch>
                  </pic:blipFill>
                  <pic:spPr>
                    <a:xfrm>
                      <a:off x="0" y="0"/>
                      <a:ext cx="2430393" cy="2420016"/>
                    </a:xfrm>
                    <a:prstGeom prst="rect">
                      <a:avLst/>
                    </a:prstGeom>
                  </pic:spPr>
                </pic:pic>
              </a:graphicData>
            </a:graphic>
          </wp:anchor>
        </w:drawing>
      </w:r>
      <w:r>
        <w:rPr/>
        <w:pict>
          <v:shape style="position:absolute;margin-left:129.115997pt;margin-top:215.800583pt;width:12.65pt;height:6.35pt;mso-position-horizontal-relative:page;mso-position-vertical-relative:paragraph;z-index:2680;mso-wrap-distance-left:0;mso-wrap-distance-right:0" coordorigin="2582,4316" coordsize="253,127" path="m2708,4316l2582,4442,2835,4442,2708,4316xe" filled="true" fillcolor="#a8483d" stroked="false">
            <v:path arrowok="t"/>
            <v:fill type="solid"/>
            <w10:wrap type="topAndBottom"/>
          </v:shape>
        </w:pict>
      </w:r>
    </w:p>
    <w:p>
      <w:pPr>
        <w:pStyle w:val="BodyText"/>
        <w:spacing w:before="8"/>
        <w:rPr>
          <w:sz w:val="18"/>
        </w:rPr>
      </w:pPr>
    </w:p>
    <w:p>
      <w:pPr>
        <w:pStyle w:val="ListParagraph"/>
        <w:numPr>
          <w:ilvl w:val="0"/>
          <w:numId w:val="2"/>
        </w:numPr>
        <w:tabs>
          <w:tab w:pos="2019" w:val="left" w:leader="none"/>
        </w:tabs>
        <w:spacing w:line="240" w:lineRule="auto" w:before="80" w:after="0"/>
        <w:ind w:left="1768" w:right="8247" w:firstLine="0"/>
        <w:jc w:val="left"/>
        <w:rPr>
          <w:sz w:val="16"/>
        </w:rPr>
      </w:pPr>
      <w:r>
        <w:rPr>
          <w:color w:val="383434"/>
          <w:sz w:val="16"/>
        </w:rPr>
        <w:t>Moneda cobre. Morelos – </w:t>
      </w:r>
      <w:r>
        <w:rPr>
          <w:color w:val="383434"/>
          <w:sz w:val="14"/>
        </w:rPr>
        <w:t>SUD</w:t>
      </w:r>
      <w:r>
        <w:rPr>
          <w:color w:val="383434"/>
          <w:sz w:val="16"/>
        </w:rPr>
        <w:t>. Anverso y reverso. 8 reales, 1813. Resello</w:t>
      </w:r>
      <w:r>
        <w:rPr>
          <w:color w:val="383434"/>
          <w:spacing w:val="18"/>
          <w:sz w:val="16"/>
        </w:rPr>
        <w:t> </w:t>
      </w:r>
      <w:r>
        <w:rPr>
          <w:color w:val="383434"/>
          <w:sz w:val="16"/>
        </w:rPr>
        <w:t>“Morelos”.</w:t>
      </w:r>
    </w:p>
    <w:p>
      <w:pPr>
        <w:pStyle w:val="BodyText"/>
        <w:spacing w:before="9"/>
        <w:rPr>
          <w:rFonts w:ascii="Tahoma"/>
          <w:sz w:val="12"/>
        </w:rPr>
      </w:pPr>
      <w:r>
        <w:rPr/>
        <w:pict>
          <v:line style="position:absolute;mso-position-horizontal-relative:page;mso-position-vertical-relative:paragraph;z-index:2704;mso-wrap-distance-left:0;mso-wrap-distance-right:0" from="129.429993pt,9.936652pt" to="242.815993pt,9.936652pt" stroked="true" strokeweight=".5pt" strokecolor="#a8483d">
            <w10:wrap type="topAndBottom"/>
          </v:line>
        </w:pict>
      </w:r>
    </w:p>
    <w:p>
      <w:pPr>
        <w:spacing w:after="0"/>
        <w:rPr>
          <w:rFonts w:ascii="Tahoma"/>
          <w:sz w:val="12"/>
        </w:rPr>
        <w:sectPr>
          <w:pgSz w:w="13100" w:h="17920"/>
          <w:pgMar w:top="1660" w:bottom="280" w:left="820" w:right="0"/>
        </w:sectPr>
      </w:pPr>
    </w:p>
    <w:p>
      <w:pPr>
        <w:pStyle w:val="BodyText"/>
        <w:spacing w:before="6"/>
        <w:rPr>
          <w:rFonts w:ascii="Tahoma"/>
          <w:sz w:val="3"/>
        </w:rPr>
      </w:pPr>
    </w:p>
    <w:p>
      <w:pPr>
        <w:tabs>
          <w:tab w:pos="4806" w:val="left" w:leader="none"/>
        </w:tabs>
        <w:spacing w:line="240" w:lineRule="auto"/>
        <w:ind w:left="125" w:right="0" w:firstLine="0"/>
        <w:rPr>
          <w:rFonts w:ascii="Tahoma"/>
          <w:sz w:val="20"/>
        </w:rPr>
      </w:pPr>
      <w:r>
        <w:rPr>
          <w:rFonts w:ascii="Tahoma"/>
          <w:position w:val="9"/>
          <w:sz w:val="20"/>
        </w:rPr>
        <w:drawing>
          <wp:inline distT="0" distB="0" distL="0" distR="0">
            <wp:extent cx="2428576" cy="2394299"/>
            <wp:effectExtent l="0" t="0" r="0" b="0"/>
            <wp:docPr id="73" name="image35.png" descr=""/>
            <wp:cNvGraphicFramePr>
              <a:graphicFrameLocks noChangeAspect="1"/>
            </wp:cNvGraphicFramePr>
            <a:graphic>
              <a:graphicData uri="http://schemas.openxmlformats.org/drawingml/2006/picture">
                <pic:pic>
                  <pic:nvPicPr>
                    <pic:cNvPr id="74" name="image35.png"/>
                    <pic:cNvPicPr/>
                  </pic:nvPicPr>
                  <pic:blipFill>
                    <a:blip r:embed="rId40" cstate="print"/>
                    <a:stretch>
                      <a:fillRect/>
                    </a:stretch>
                  </pic:blipFill>
                  <pic:spPr>
                    <a:xfrm>
                      <a:off x="0" y="0"/>
                      <a:ext cx="2428576" cy="2394299"/>
                    </a:xfrm>
                    <a:prstGeom prst="rect">
                      <a:avLst/>
                    </a:prstGeom>
                  </pic:spPr>
                </pic:pic>
              </a:graphicData>
            </a:graphic>
          </wp:inline>
        </w:drawing>
      </w:r>
      <w:r>
        <w:rPr>
          <w:rFonts w:ascii="Tahoma"/>
          <w:position w:val="9"/>
          <w:sz w:val="20"/>
        </w:rPr>
      </w:r>
      <w:r>
        <w:rPr>
          <w:rFonts w:ascii="Tahoma"/>
          <w:position w:val="9"/>
          <w:sz w:val="20"/>
        </w:rPr>
        <w:tab/>
      </w:r>
      <w:r>
        <w:rPr>
          <w:rFonts w:ascii="Tahoma"/>
          <w:sz w:val="20"/>
        </w:rPr>
        <w:drawing>
          <wp:inline distT="0" distB="0" distL="0" distR="0">
            <wp:extent cx="2516103" cy="2450973"/>
            <wp:effectExtent l="0" t="0" r="0" b="0"/>
            <wp:docPr id="75" name="image36.png" descr=""/>
            <wp:cNvGraphicFramePr>
              <a:graphicFrameLocks noChangeAspect="1"/>
            </wp:cNvGraphicFramePr>
            <a:graphic>
              <a:graphicData uri="http://schemas.openxmlformats.org/drawingml/2006/picture">
                <pic:pic>
                  <pic:nvPicPr>
                    <pic:cNvPr id="76" name="image36.png"/>
                    <pic:cNvPicPr/>
                  </pic:nvPicPr>
                  <pic:blipFill>
                    <a:blip r:embed="rId41" cstate="print"/>
                    <a:stretch>
                      <a:fillRect/>
                    </a:stretch>
                  </pic:blipFill>
                  <pic:spPr>
                    <a:xfrm>
                      <a:off x="0" y="0"/>
                      <a:ext cx="2516103" cy="2450973"/>
                    </a:xfrm>
                    <a:prstGeom prst="rect">
                      <a:avLst/>
                    </a:prstGeom>
                  </pic:spPr>
                </pic:pic>
              </a:graphicData>
            </a:graphic>
          </wp:inline>
        </w:drawing>
      </w:r>
      <w:r>
        <w:rPr>
          <w:rFonts w:ascii="Tahoma"/>
          <w:sz w:val="20"/>
        </w:rPr>
      </w:r>
    </w:p>
    <w:p>
      <w:pPr>
        <w:pStyle w:val="BodyText"/>
        <w:spacing w:before="8"/>
        <w:rPr>
          <w:rFonts w:ascii="Tahoma"/>
          <w:sz w:val="14"/>
        </w:rPr>
      </w:pPr>
      <w:r>
        <w:rPr/>
        <w:pict>
          <v:shape style="position:absolute;margin-left:86.003601pt;margin-top:10.798453pt;width:12.65pt;height:6.35pt;mso-position-horizontal-relative:page;mso-position-vertical-relative:paragraph;z-index:2776;mso-wrap-distance-left:0;mso-wrap-distance-right:0" coordorigin="1720,216" coordsize="253,127" path="m1846,216l1720,342,1972,342,1846,216xe" filled="true" fillcolor="#a8483d" stroked="false">
            <v:path arrowok="t"/>
            <v:fill type="solid"/>
            <w10:wrap type="topAndBottom"/>
          </v:shape>
        </w:pict>
      </w:r>
      <w:r>
        <w:rPr/>
        <w:pict>
          <v:shape style="position:absolute;margin-left:320.372009pt;margin-top:10.834454pt;width:12.65pt;height:6.35pt;mso-position-horizontal-relative:page;mso-position-vertical-relative:paragraph;z-index:2800;mso-wrap-distance-left:0;mso-wrap-distance-right:0" coordorigin="6407,217" coordsize="253,127" path="m6534,217l6407,343,6660,343,6534,217xe" filled="true" fillcolor="#a8483d" stroked="false">
            <v:path arrowok="t"/>
            <v:fill type="solid"/>
            <w10:wrap type="topAndBottom"/>
          </v:shape>
        </w:pict>
      </w:r>
    </w:p>
    <w:p>
      <w:pPr>
        <w:pStyle w:val="BodyText"/>
        <w:spacing w:before="9"/>
        <w:rPr>
          <w:rFonts w:ascii="Tahoma"/>
          <w:sz w:val="5"/>
        </w:rPr>
      </w:pPr>
    </w:p>
    <w:p>
      <w:pPr>
        <w:spacing w:after="0"/>
        <w:rPr>
          <w:rFonts w:ascii="Tahoma"/>
          <w:sz w:val="5"/>
        </w:rPr>
        <w:sectPr>
          <w:pgSz w:w="13100" w:h="17920"/>
          <w:pgMar w:top="1700" w:bottom="280" w:left="1600" w:right="1860"/>
        </w:sectPr>
      </w:pPr>
    </w:p>
    <w:p>
      <w:pPr>
        <w:pStyle w:val="ListParagraph"/>
        <w:numPr>
          <w:ilvl w:val="0"/>
          <w:numId w:val="2"/>
        </w:numPr>
        <w:tabs>
          <w:tab w:pos="367" w:val="left" w:leader="none"/>
        </w:tabs>
        <w:spacing w:line="193" w:lineRule="exact" w:before="14" w:after="0"/>
        <w:ind w:left="366" w:right="0" w:hanging="246"/>
        <w:jc w:val="left"/>
        <w:rPr>
          <w:sz w:val="16"/>
        </w:rPr>
      </w:pPr>
      <w:r>
        <w:rPr>
          <w:color w:val="383434"/>
          <w:w w:val="105"/>
          <w:sz w:val="16"/>
        </w:rPr>
        <w:t>Moneda</w:t>
      </w:r>
      <w:r>
        <w:rPr>
          <w:color w:val="383434"/>
          <w:spacing w:val="-25"/>
          <w:w w:val="105"/>
          <w:sz w:val="16"/>
        </w:rPr>
        <w:t> </w:t>
      </w:r>
      <w:r>
        <w:rPr>
          <w:color w:val="383434"/>
          <w:w w:val="105"/>
          <w:sz w:val="16"/>
        </w:rPr>
        <w:t>plata.</w:t>
      </w:r>
      <w:r>
        <w:rPr>
          <w:color w:val="383434"/>
          <w:spacing w:val="-25"/>
          <w:w w:val="105"/>
          <w:sz w:val="16"/>
        </w:rPr>
        <w:t> </w:t>
      </w:r>
      <w:r>
        <w:rPr>
          <w:color w:val="383434"/>
          <w:w w:val="105"/>
          <w:sz w:val="16"/>
        </w:rPr>
        <w:t>Carlos</w:t>
      </w:r>
    </w:p>
    <w:p>
      <w:pPr>
        <w:spacing w:before="0"/>
        <w:ind w:left="120" w:right="2080" w:firstLine="0"/>
        <w:jc w:val="left"/>
        <w:rPr>
          <w:rFonts w:ascii="Tahoma" w:hAnsi="Tahoma"/>
          <w:sz w:val="16"/>
        </w:rPr>
      </w:pPr>
      <w:r>
        <w:rPr>
          <w:rFonts w:ascii="Tahoma" w:hAnsi="Tahoma"/>
          <w:color w:val="383434"/>
          <w:sz w:val="14"/>
        </w:rPr>
        <w:t>III</w:t>
      </w:r>
      <w:r>
        <w:rPr>
          <w:rFonts w:ascii="Tahoma" w:hAnsi="Tahoma"/>
          <w:color w:val="383434"/>
          <w:sz w:val="16"/>
        </w:rPr>
        <w:t>.</w:t>
      </w:r>
      <w:r>
        <w:rPr>
          <w:rFonts w:ascii="Tahoma" w:hAnsi="Tahoma"/>
          <w:color w:val="383434"/>
          <w:spacing w:val="-35"/>
          <w:sz w:val="16"/>
        </w:rPr>
        <w:t> </w:t>
      </w:r>
      <w:r>
        <w:rPr>
          <w:rFonts w:ascii="Tahoma" w:hAnsi="Tahoma"/>
          <w:color w:val="383434"/>
          <w:sz w:val="16"/>
        </w:rPr>
        <w:t>Anverso,</w:t>
      </w:r>
      <w:r>
        <w:rPr>
          <w:rFonts w:ascii="Tahoma" w:hAnsi="Tahoma"/>
          <w:color w:val="383434"/>
          <w:spacing w:val="-35"/>
          <w:sz w:val="16"/>
        </w:rPr>
        <w:t> </w:t>
      </w:r>
      <w:r>
        <w:rPr>
          <w:rFonts w:ascii="Tahoma" w:hAnsi="Tahoma"/>
          <w:color w:val="383434"/>
          <w:sz w:val="16"/>
        </w:rPr>
        <w:t>1807.</w:t>
      </w:r>
      <w:r>
        <w:rPr>
          <w:rFonts w:ascii="Tahoma" w:hAnsi="Tahoma"/>
          <w:color w:val="383434"/>
          <w:spacing w:val="-35"/>
          <w:sz w:val="16"/>
        </w:rPr>
        <w:t> </w:t>
      </w:r>
      <w:r>
        <w:rPr>
          <w:rFonts w:ascii="Tahoma" w:hAnsi="Tahoma"/>
          <w:color w:val="383434"/>
          <w:sz w:val="16"/>
        </w:rPr>
        <w:t>Resello “Morelos”.</w:t>
      </w:r>
    </w:p>
    <w:p>
      <w:pPr>
        <w:pStyle w:val="ListParagraph"/>
        <w:numPr>
          <w:ilvl w:val="0"/>
          <w:numId w:val="2"/>
        </w:numPr>
        <w:tabs>
          <w:tab w:pos="368" w:val="left" w:leader="none"/>
        </w:tabs>
        <w:spacing w:line="193" w:lineRule="exact" w:before="10" w:after="0"/>
        <w:ind w:left="367" w:right="0" w:hanging="246"/>
        <w:jc w:val="left"/>
        <w:rPr>
          <w:sz w:val="16"/>
        </w:rPr>
      </w:pPr>
      <w:r>
        <w:rPr>
          <w:color w:val="383434"/>
          <w:spacing w:val="-1"/>
          <w:w w:val="107"/>
          <w:sz w:val="16"/>
        </w:rPr>
        <w:br w:type="column"/>
      </w:r>
      <w:r>
        <w:rPr>
          <w:color w:val="383434"/>
          <w:w w:val="105"/>
          <w:sz w:val="16"/>
        </w:rPr>
        <w:t>Moneda</w:t>
      </w:r>
      <w:r>
        <w:rPr>
          <w:color w:val="383434"/>
          <w:spacing w:val="-30"/>
          <w:w w:val="105"/>
          <w:sz w:val="16"/>
        </w:rPr>
        <w:t> </w:t>
      </w:r>
      <w:r>
        <w:rPr>
          <w:color w:val="383434"/>
          <w:w w:val="105"/>
          <w:sz w:val="16"/>
        </w:rPr>
        <w:t>plata.</w:t>
      </w:r>
      <w:r>
        <w:rPr>
          <w:color w:val="383434"/>
          <w:spacing w:val="-30"/>
          <w:w w:val="105"/>
          <w:sz w:val="16"/>
        </w:rPr>
        <w:t> </w:t>
      </w:r>
      <w:r>
        <w:rPr>
          <w:color w:val="383434"/>
          <w:w w:val="105"/>
          <w:sz w:val="16"/>
        </w:rPr>
        <w:t>Fernando</w:t>
      </w:r>
    </w:p>
    <w:p>
      <w:pPr>
        <w:spacing w:before="0"/>
        <w:ind w:left="121" w:right="3006" w:firstLine="0"/>
        <w:jc w:val="left"/>
        <w:rPr>
          <w:rFonts w:ascii="Tahoma" w:hAnsi="Tahoma"/>
          <w:sz w:val="16"/>
        </w:rPr>
      </w:pPr>
      <w:r>
        <w:rPr>
          <w:rFonts w:ascii="Tahoma" w:hAnsi="Tahoma"/>
          <w:color w:val="383434"/>
          <w:sz w:val="14"/>
        </w:rPr>
        <w:t>VII</w:t>
      </w:r>
      <w:r>
        <w:rPr>
          <w:rFonts w:ascii="Tahoma" w:hAnsi="Tahoma"/>
          <w:color w:val="383434"/>
          <w:sz w:val="16"/>
        </w:rPr>
        <w:t>.</w:t>
      </w:r>
      <w:r>
        <w:rPr>
          <w:rFonts w:ascii="Tahoma" w:hAnsi="Tahoma"/>
          <w:color w:val="383434"/>
          <w:spacing w:val="-30"/>
          <w:sz w:val="16"/>
        </w:rPr>
        <w:t> </w:t>
      </w:r>
      <w:r>
        <w:rPr>
          <w:rFonts w:ascii="Tahoma" w:hAnsi="Tahoma"/>
          <w:color w:val="383434"/>
          <w:sz w:val="16"/>
        </w:rPr>
        <w:t>Anverso,</w:t>
      </w:r>
      <w:r>
        <w:rPr>
          <w:rFonts w:ascii="Tahoma" w:hAnsi="Tahoma"/>
          <w:color w:val="383434"/>
          <w:spacing w:val="-30"/>
          <w:sz w:val="16"/>
        </w:rPr>
        <w:t> </w:t>
      </w:r>
      <w:r>
        <w:rPr>
          <w:rFonts w:ascii="Tahoma" w:hAnsi="Tahoma"/>
          <w:color w:val="383434"/>
          <w:sz w:val="16"/>
        </w:rPr>
        <w:t>1810.</w:t>
      </w:r>
      <w:r>
        <w:rPr>
          <w:rFonts w:ascii="Tahoma" w:hAnsi="Tahoma"/>
          <w:color w:val="383434"/>
          <w:spacing w:val="-30"/>
          <w:sz w:val="16"/>
        </w:rPr>
        <w:t> </w:t>
      </w:r>
      <w:r>
        <w:rPr>
          <w:rFonts w:ascii="Tahoma" w:hAnsi="Tahoma"/>
          <w:color w:val="383434"/>
          <w:sz w:val="16"/>
        </w:rPr>
        <w:t>Resello “Morelos”.</w:t>
      </w:r>
    </w:p>
    <w:p>
      <w:pPr>
        <w:spacing w:after="0"/>
        <w:jc w:val="left"/>
        <w:rPr>
          <w:rFonts w:ascii="Tahoma" w:hAnsi="Tahoma"/>
          <w:sz w:val="16"/>
        </w:rPr>
        <w:sectPr>
          <w:type w:val="continuous"/>
          <w:pgSz w:w="13100" w:h="17920"/>
          <w:pgMar w:top="0" w:bottom="0" w:left="1600" w:right="1860"/>
          <w:cols w:num="2" w:equalWidth="0">
            <w:col w:w="3981" w:space="705"/>
            <w:col w:w="4954"/>
          </w:cols>
        </w:sectPr>
      </w:pPr>
    </w:p>
    <w:p>
      <w:pPr>
        <w:pStyle w:val="BodyText"/>
        <w:spacing w:before="8"/>
        <w:rPr>
          <w:rFonts w:ascii="Tahoma"/>
          <w:sz w:val="15"/>
        </w:rPr>
      </w:pPr>
    </w:p>
    <w:p>
      <w:pPr>
        <w:tabs>
          <w:tab w:pos="4802" w:val="left" w:leader="none"/>
        </w:tabs>
        <w:spacing w:line="20" w:lineRule="exact"/>
        <w:ind w:left="115" w:right="0" w:firstLine="0"/>
        <w:rPr>
          <w:rFonts w:ascii="Tahoma"/>
          <w:sz w:val="2"/>
        </w:rPr>
      </w:pPr>
      <w:r>
        <w:rPr>
          <w:rFonts w:ascii="Tahoma"/>
          <w:sz w:val="2"/>
        </w:rPr>
        <w:pict>
          <v:group style="width:113.9pt;height:.5pt;mso-position-horizontal-relative:char;mso-position-vertical-relative:line" coordorigin="0,0" coordsize="2278,10">
            <v:line style="position:absolute" from="5,5" to="2273,5" stroked="true" strokeweight=".5pt" strokecolor="#a8483d"/>
          </v:group>
        </w:pict>
      </w:r>
      <w:r>
        <w:rPr>
          <w:rFonts w:ascii="Tahoma"/>
          <w:sz w:val="2"/>
        </w:rPr>
      </w:r>
      <w:r>
        <w:rPr>
          <w:rFonts w:ascii="Tahoma"/>
          <w:sz w:val="2"/>
        </w:rPr>
        <w:tab/>
      </w:r>
      <w:r>
        <w:rPr>
          <w:rFonts w:ascii="Tahoma"/>
          <w:sz w:val="2"/>
        </w:rPr>
        <w:pict>
          <v:group style="width:113.9pt;height:.5pt;mso-position-horizontal-relative:char;mso-position-vertical-relative:line" coordorigin="0,0" coordsize="2278,10">
            <v:line style="position:absolute" from="5,5" to="2273,5" stroked="true" strokeweight=".5pt" strokecolor="#a8483d"/>
          </v:group>
        </w:pict>
      </w:r>
      <w:r>
        <w:rPr>
          <w:rFonts w:ascii="Tahoma"/>
          <w:sz w:val="2"/>
        </w:rPr>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8"/>
        <w:rPr>
          <w:rFonts w:ascii="Tahoma"/>
          <w:sz w:val="17"/>
        </w:rPr>
      </w:pPr>
      <w:r>
        <w:rPr/>
        <w:pict>
          <v:shape style="position:absolute;margin-left:320.372009pt;margin-top:12.62625pt;width:8.950pt;height:8.950pt;mso-position-horizontal-relative:page;mso-position-vertical-relative:paragraph;z-index:2872;mso-wrap-distance-left:0;mso-wrap-distance-right:0" coordorigin="6407,253" coordsize="179,179" path="m6586,253l6407,253,6407,431,6586,253xe" filled="true" fillcolor="#a8483d" stroked="false">
            <v:path arrowok="t"/>
            <v:fill type="solid"/>
            <w10:wrap type="topAndBottom"/>
          </v:shape>
        </w:pict>
      </w:r>
    </w:p>
    <w:p>
      <w:pPr>
        <w:pStyle w:val="ListParagraph"/>
        <w:numPr>
          <w:ilvl w:val="0"/>
          <w:numId w:val="2"/>
        </w:numPr>
        <w:tabs>
          <w:tab w:pos="5058" w:val="left" w:leader="none"/>
        </w:tabs>
        <w:spacing w:line="193" w:lineRule="exact" w:before="76" w:after="0"/>
        <w:ind w:left="5057" w:right="0" w:hanging="250"/>
        <w:jc w:val="left"/>
        <w:rPr>
          <w:sz w:val="16"/>
        </w:rPr>
      </w:pPr>
      <w:r>
        <w:rPr>
          <w:color w:val="383434"/>
          <w:w w:val="105"/>
          <w:sz w:val="16"/>
        </w:rPr>
        <w:t>Moneda plata.</w:t>
      </w:r>
      <w:r>
        <w:rPr>
          <w:color w:val="383434"/>
          <w:spacing w:val="-40"/>
          <w:w w:val="105"/>
          <w:sz w:val="16"/>
        </w:rPr>
        <w:t> </w:t>
      </w:r>
      <w:r>
        <w:rPr>
          <w:color w:val="383434"/>
          <w:w w:val="105"/>
          <w:sz w:val="16"/>
        </w:rPr>
        <w:t>Fernando</w:t>
      </w:r>
    </w:p>
    <w:p>
      <w:pPr>
        <w:spacing w:before="0"/>
        <w:ind w:left="4807" w:right="2916" w:firstLine="0"/>
        <w:jc w:val="left"/>
        <w:rPr>
          <w:rFonts w:ascii="Tahoma" w:hAnsi="Tahoma"/>
          <w:sz w:val="16"/>
        </w:rPr>
      </w:pPr>
      <w:r>
        <w:rPr/>
        <w:drawing>
          <wp:anchor distT="0" distB="0" distL="0" distR="0" allowOverlap="1" layoutInCell="1" locked="0" behindDoc="0" simplePos="0" relativeHeight="2920">
            <wp:simplePos x="0" y="0"/>
            <wp:positionH relativeFrom="page">
              <wp:posOffset>1131840</wp:posOffset>
            </wp:positionH>
            <wp:positionV relativeFrom="paragraph">
              <wp:posOffset>-1986674</wp:posOffset>
            </wp:positionV>
            <wp:extent cx="2447997" cy="2360396"/>
            <wp:effectExtent l="0" t="0" r="0" b="0"/>
            <wp:wrapNone/>
            <wp:docPr id="77" name="image37.png" descr=""/>
            <wp:cNvGraphicFramePr>
              <a:graphicFrameLocks noChangeAspect="1"/>
            </wp:cNvGraphicFramePr>
            <a:graphic>
              <a:graphicData uri="http://schemas.openxmlformats.org/drawingml/2006/picture">
                <pic:pic>
                  <pic:nvPicPr>
                    <pic:cNvPr id="78" name="image37.png"/>
                    <pic:cNvPicPr/>
                  </pic:nvPicPr>
                  <pic:blipFill>
                    <a:blip r:embed="rId42" cstate="print"/>
                    <a:stretch>
                      <a:fillRect/>
                    </a:stretch>
                  </pic:blipFill>
                  <pic:spPr>
                    <a:xfrm>
                      <a:off x="0" y="0"/>
                      <a:ext cx="2447997" cy="2360396"/>
                    </a:xfrm>
                    <a:prstGeom prst="rect">
                      <a:avLst/>
                    </a:prstGeom>
                  </pic:spPr>
                </pic:pic>
              </a:graphicData>
            </a:graphic>
          </wp:anchor>
        </w:drawing>
      </w:r>
      <w:r>
        <w:rPr>
          <w:rFonts w:ascii="Tahoma" w:hAnsi="Tahoma"/>
          <w:color w:val="383434"/>
          <w:sz w:val="14"/>
        </w:rPr>
        <w:t>VII</w:t>
      </w:r>
      <w:r>
        <w:rPr>
          <w:rFonts w:ascii="Tahoma" w:hAnsi="Tahoma"/>
          <w:color w:val="383434"/>
          <w:sz w:val="16"/>
        </w:rPr>
        <w:t>. Anverso, 1810. Resello “Morelos”.</w:t>
      </w:r>
    </w:p>
    <w:p>
      <w:pPr>
        <w:pStyle w:val="BodyText"/>
        <w:spacing w:before="9"/>
        <w:rPr>
          <w:rFonts w:ascii="Tahoma"/>
          <w:sz w:val="12"/>
        </w:rPr>
      </w:pPr>
      <w:r>
        <w:rPr/>
        <w:pict>
          <v:line style="position:absolute;mso-position-horizontal-relative:page;mso-position-vertical-relative:paragraph;z-index:2896;mso-wrap-distance-left:0;mso-wrap-distance-right:0" from="320.372009pt,9.936655pt" to="433.758009pt,9.936655pt" stroked="true" strokeweight=".5pt" strokecolor="#a8483d">
            <w10:wrap type="topAndBottom"/>
          </v:line>
        </w:pict>
      </w:r>
    </w:p>
    <w:p>
      <w:pPr>
        <w:pStyle w:val="BodyText"/>
        <w:rPr>
          <w:rFonts w:ascii="Tahoma"/>
          <w:sz w:val="20"/>
        </w:rPr>
      </w:pPr>
    </w:p>
    <w:p>
      <w:pPr>
        <w:pStyle w:val="BodyText"/>
        <w:spacing w:line="268" w:lineRule="auto" w:before="180"/>
        <w:ind w:left="125" w:right="460"/>
        <w:jc w:val="both"/>
      </w:pPr>
      <w:r>
        <w:rPr>
          <w:color w:val="231F1F"/>
        </w:rPr>
        <w:t>o bien, a través del simple trueque (“cambio”). Excepto en los alimentos básicos, carne y semillas, donde aparentemente sí estaba autorizado hacerse los pagos en moneda argéntea, quizás de las pocas monedas de plata que mandó acuñar Morelos o incluso de las reselladas. Sin embargo, no estaba prohibido venderles mercancías locales a los comerciantes foráneos a cambio de monedas    de plata (Lemoine, </w:t>
      </w:r>
      <w:r>
        <w:rPr>
          <w:color w:val="231F1F"/>
          <w:sz w:val="20"/>
        </w:rPr>
        <w:t>1991: 245 </w:t>
      </w:r>
      <w:r>
        <w:rPr>
          <w:color w:val="231F1F"/>
        </w:rPr>
        <w:t>y </w:t>
      </w:r>
      <w:r>
        <w:rPr>
          <w:color w:val="231F1F"/>
          <w:sz w:val="20"/>
        </w:rPr>
        <w:t>323</w:t>
      </w:r>
      <w:r>
        <w:rPr>
          <w:color w:val="231F1F"/>
        </w:rPr>
        <w:t>; Haynes y León, </w:t>
      </w:r>
      <w:r>
        <w:rPr>
          <w:color w:val="231F1F"/>
          <w:sz w:val="20"/>
        </w:rPr>
        <w:t>2010</w:t>
      </w:r>
      <w:r>
        <w:rPr>
          <w:color w:val="231F1F"/>
        </w:rPr>
        <w:t>). Lo que significa, que en los territorios insurgentes</w:t>
      </w:r>
      <w:r>
        <w:rPr>
          <w:color w:val="231F1F"/>
          <w:spacing w:val="13"/>
        </w:rPr>
        <w:t> </w:t>
      </w:r>
      <w:r>
        <w:rPr>
          <w:color w:val="231F1F"/>
        </w:rPr>
        <w:t>del</w:t>
      </w:r>
      <w:r>
        <w:rPr>
          <w:color w:val="231F1F"/>
          <w:spacing w:val="13"/>
        </w:rPr>
        <w:t> </w:t>
      </w:r>
      <w:r>
        <w:rPr>
          <w:color w:val="231F1F"/>
          <w:spacing w:val="-5"/>
        </w:rPr>
        <w:t>sur,</w:t>
      </w:r>
      <w:r>
        <w:rPr>
          <w:color w:val="231F1F"/>
          <w:spacing w:val="13"/>
        </w:rPr>
        <w:t> </w:t>
      </w:r>
      <w:r>
        <w:rPr>
          <w:color w:val="231F1F"/>
        </w:rPr>
        <w:t>las</w:t>
      </w:r>
      <w:r>
        <w:rPr>
          <w:color w:val="231F1F"/>
          <w:spacing w:val="13"/>
        </w:rPr>
        <w:t> </w:t>
      </w:r>
      <w:r>
        <w:rPr>
          <w:color w:val="231F1F"/>
        </w:rPr>
        <w:t>monedas</w:t>
      </w:r>
      <w:r>
        <w:rPr>
          <w:color w:val="231F1F"/>
          <w:spacing w:val="13"/>
        </w:rPr>
        <w:t> </w:t>
      </w:r>
      <w:r>
        <w:rPr>
          <w:color w:val="231F1F"/>
        </w:rPr>
        <w:t>de</w:t>
      </w:r>
      <w:r>
        <w:rPr>
          <w:color w:val="231F1F"/>
          <w:spacing w:val="13"/>
        </w:rPr>
        <w:t> </w:t>
      </w:r>
      <w:r>
        <w:rPr>
          <w:color w:val="231F1F"/>
        </w:rPr>
        <w:t>plata</w:t>
      </w:r>
      <w:r>
        <w:rPr>
          <w:color w:val="231F1F"/>
          <w:spacing w:val="13"/>
        </w:rPr>
        <w:t> </w:t>
      </w:r>
      <w:r>
        <w:rPr>
          <w:color w:val="231F1F"/>
        </w:rPr>
        <w:t>fungían</w:t>
      </w:r>
      <w:r>
        <w:rPr>
          <w:color w:val="231F1F"/>
          <w:spacing w:val="13"/>
        </w:rPr>
        <w:t> </w:t>
      </w:r>
      <w:r>
        <w:rPr>
          <w:color w:val="231F1F"/>
        </w:rPr>
        <w:t>como</w:t>
      </w:r>
      <w:r>
        <w:rPr>
          <w:color w:val="231F1F"/>
          <w:spacing w:val="13"/>
        </w:rPr>
        <w:t> </w:t>
      </w:r>
      <w:r>
        <w:rPr>
          <w:color w:val="231F1F"/>
        </w:rPr>
        <w:t>divisas</w:t>
      </w:r>
      <w:r>
        <w:rPr>
          <w:color w:val="231F1F"/>
          <w:spacing w:val="13"/>
        </w:rPr>
        <w:t> </w:t>
      </w:r>
      <w:r>
        <w:rPr>
          <w:color w:val="231F1F"/>
        </w:rPr>
        <w:t>externas</w:t>
      </w:r>
      <w:r>
        <w:rPr>
          <w:color w:val="231F1F"/>
          <w:spacing w:val="13"/>
        </w:rPr>
        <w:t> </w:t>
      </w:r>
      <w:r>
        <w:rPr>
          <w:color w:val="231F1F"/>
        </w:rPr>
        <w:t>o</w:t>
      </w:r>
      <w:r>
        <w:rPr>
          <w:color w:val="231F1F"/>
          <w:spacing w:val="13"/>
        </w:rPr>
        <w:t> </w:t>
      </w:r>
      <w:r>
        <w:rPr>
          <w:color w:val="231F1F"/>
        </w:rPr>
        <w:t>internas</w:t>
      </w:r>
      <w:r>
        <w:rPr>
          <w:color w:val="231F1F"/>
          <w:spacing w:val="13"/>
        </w:rPr>
        <w:t> </w:t>
      </w:r>
      <w:r>
        <w:rPr>
          <w:color w:val="231F1F"/>
        </w:rPr>
        <w:t>muy</w:t>
      </w:r>
      <w:r>
        <w:rPr>
          <w:color w:val="231F1F"/>
          <w:spacing w:val="13"/>
        </w:rPr>
        <w:t> </w:t>
      </w:r>
      <w:r>
        <w:rPr>
          <w:color w:val="231F1F"/>
        </w:rPr>
        <w:t>codiciadas.</w:t>
      </w:r>
    </w:p>
    <w:p>
      <w:pPr>
        <w:pStyle w:val="BodyText"/>
        <w:spacing w:before="9"/>
        <w:rPr>
          <w:sz w:val="27"/>
        </w:rPr>
      </w:pPr>
    </w:p>
    <w:p>
      <w:pPr>
        <w:pStyle w:val="BodyText"/>
        <w:spacing w:line="268" w:lineRule="auto"/>
        <w:ind w:left="125" w:right="460"/>
        <w:jc w:val="both"/>
      </w:pPr>
      <w:r>
        <w:rPr>
          <w:color w:val="231F1F"/>
        </w:rPr>
        <w:t>Una nueva disposición de Morelos, fechada el 30 de septiembre de 1813, a escasos cuatro meses    de la anterior, ordenaba, desde el Congreso de Chilpancingo, que por el término de tres meses          la Tesorería de esta nueva ciudad recibiría toda aquella moneda de cobre falsa que circulase en       los</w:t>
      </w:r>
      <w:r>
        <w:rPr>
          <w:color w:val="231F1F"/>
          <w:spacing w:val="27"/>
        </w:rPr>
        <w:t> </w:t>
      </w:r>
      <w:r>
        <w:rPr>
          <w:color w:val="231F1F"/>
        </w:rPr>
        <w:t>territorios</w:t>
      </w:r>
      <w:r>
        <w:rPr>
          <w:color w:val="231F1F"/>
          <w:spacing w:val="27"/>
        </w:rPr>
        <w:t> </w:t>
      </w:r>
      <w:r>
        <w:rPr>
          <w:color w:val="231F1F"/>
        </w:rPr>
        <w:t>insurgentes</w:t>
      </w:r>
      <w:r>
        <w:rPr>
          <w:color w:val="231F1F"/>
          <w:spacing w:val="27"/>
        </w:rPr>
        <w:t> </w:t>
      </w:r>
      <w:r>
        <w:rPr>
          <w:color w:val="231F1F"/>
        </w:rPr>
        <w:t>para</w:t>
      </w:r>
      <w:r>
        <w:rPr>
          <w:color w:val="231F1F"/>
          <w:spacing w:val="27"/>
        </w:rPr>
        <w:t> </w:t>
      </w:r>
      <w:r>
        <w:rPr>
          <w:color w:val="231F1F"/>
        </w:rPr>
        <w:t>ser</w:t>
      </w:r>
      <w:r>
        <w:rPr>
          <w:color w:val="231F1F"/>
          <w:spacing w:val="27"/>
        </w:rPr>
        <w:t> </w:t>
      </w:r>
      <w:r>
        <w:rPr>
          <w:color w:val="231F1F"/>
        </w:rPr>
        <w:t>resellada</w:t>
      </w:r>
      <w:r>
        <w:rPr>
          <w:color w:val="231F1F"/>
          <w:spacing w:val="27"/>
        </w:rPr>
        <w:t> </w:t>
      </w:r>
      <w:r>
        <w:rPr>
          <w:color w:val="231F1F"/>
        </w:rPr>
        <w:t>con</w:t>
      </w:r>
      <w:r>
        <w:rPr>
          <w:color w:val="231F1F"/>
          <w:spacing w:val="27"/>
        </w:rPr>
        <w:t> </w:t>
      </w:r>
      <w:r>
        <w:rPr>
          <w:color w:val="231F1F"/>
        </w:rPr>
        <w:t>el</w:t>
      </w:r>
      <w:r>
        <w:rPr>
          <w:color w:val="231F1F"/>
          <w:spacing w:val="27"/>
        </w:rPr>
        <w:t> </w:t>
      </w:r>
      <w:r>
        <w:rPr>
          <w:color w:val="231F1F"/>
        </w:rPr>
        <w:t>cuño</w:t>
      </w:r>
      <w:r>
        <w:rPr>
          <w:color w:val="231F1F"/>
          <w:spacing w:val="27"/>
        </w:rPr>
        <w:t> </w:t>
      </w:r>
      <w:r>
        <w:rPr>
          <w:color w:val="231F1F"/>
        </w:rPr>
        <w:t>autorizado</w:t>
      </w:r>
      <w:r>
        <w:rPr>
          <w:color w:val="231F1F"/>
          <w:spacing w:val="27"/>
        </w:rPr>
        <w:t> </w:t>
      </w:r>
      <w:r>
        <w:rPr>
          <w:color w:val="231F1F"/>
        </w:rPr>
        <w:t>(Lemoine,</w:t>
      </w:r>
      <w:r>
        <w:rPr>
          <w:color w:val="231F1F"/>
          <w:spacing w:val="27"/>
        </w:rPr>
        <w:t> </w:t>
      </w:r>
      <w:r>
        <w:rPr>
          <w:color w:val="231F1F"/>
          <w:sz w:val="20"/>
        </w:rPr>
        <w:t>1991:</w:t>
      </w:r>
      <w:r>
        <w:rPr>
          <w:color w:val="231F1F"/>
          <w:spacing w:val="24"/>
          <w:sz w:val="20"/>
        </w:rPr>
        <w:t> </w:t>
      </w:r>
      <w:r>
        <w:rPr>
          <w:color w:val="231F1F"/>
          <w:sz w:val="20"/>
        </w:rPr>
        <w:t>382</w:t>
      </w:r>
      <w:r>
        <w:rPr>
          <w:color w:val="231F1F"/>
        </w:rPr>
        <w:t>).</w:t>
      </w:r>
      <w:r>
        <w:rPr>
          <w:color w:val="231F1F"/>
          <w:spacing w:val="27"/>
        </w:rPr>
        <w:t> </w:t>
      </w:r>
      <w:r>
        <w:rPr>
          <w:color w:val="231F1F"/>
        </w:rPr>
        <w:t>De</w:t>
      </w:r>
      <w:r>
        <w:rPr>
          <w:color w:val="231F1F"/>
          <w:spacing w:val="27"/>
        </w:rPr>
        <w:t> </w:t>
      </w:r>
      <w:r>
        <w:rPr>
          <w:color w:val="231F1F"/>
        </w:rPr>
        <w:t>esta</w:t>
      </w: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3100" w:h="17920"/>
          <w:pgMar w:top="0" w:bottom="0" w:left="1600" w:right="1860"/>
        </w:sectPr>
      </w:pPr>
    </w:p>
    <w:p>
      <w:pPr>
        <w:pStyle w:val="BodyText"/>
        <w:spacing w:before="11"/>
        <w:rPr>
          <w:sz w:val="18"/>
        </w:rPr>
      </w:pPr>
    </w:p>
    <w:p>
      <w:pPr>
        <w:spacing w:line="194" w:lineRule="exact" w:before="1"/>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pStyle w:val="BodyText"/>
        <w:rPr>
          <w:sz w:val="18"/>
        </w:rPr>
      </w:pPr>
      <w:r>
        <w:rPr/>
        <w:br w:type="column"/>
      </w:r>
      <w:r>
        <w:rPr>
          <w:sz w:val="18"/>
        </w:rPr>
      </w:r>
    </w:p>
    <w:p>
      <w:pPr>
        <w:spacing w:before="0"/>
        <w:ind w:left="335" w:right="0" w:firstLine="0"/>
        <w:jc w:val="left"/>
        <w:rPr>
          <w:sz w:val="18"/>
        </w:rPr>
      </w:pPr>
      <w:r>
        <w:rPr>
          <w:color w:val="4F3628"/>
          <w:w w:val="120"/>
          <w:sz w:val="18"/>
        </w:rPr>
        <w:t>121</w:t>
      </w:r>
    </w:p>
    <w:p>
      <w:pPr>
        <w:spacing w:after="0"/>
        <w:jc w:val="left"/>
        <w:rPr>
          <w:sz w:val="18"/>
        </w:rPr>
        <w:sectPr>
          <w:type w:val="continuous"/>
          <w:pgSz w:w="13100" w:h="17920"/>
          <w:pgMar w:top="0" w:bottom="0" w:left="1600" w:right="1860"/>
          <w:cols w:num="2" w:equalWidth="0">
            <w:col w:w="8433" w:space="40"/>
            <w:col w:w="1167"/>
          </w:cols>
        </w:sectPr>
      </w:pPr>
    </w:p>
    <w:p>
      <w:pPr>
        <w:pStyle w:val="BodyText"/>
        <w:tabs>
          <w:tab w:pos="1504" w:val="left" w:leader="none"/>
        </w:tabs>
        <w:spacing w:line="268" w:lineRule="auto" w:before="29"/>
        <w:ind w:left="1504" w:right="1725" w:hanging="1170"/>
        <w:jc w:val="both"/>
      </w:pPr>
      <w:r>
        <w:rPr/>
        <w:drawing>
          <wp:anchor distT="0" distB="0" distL="0" distR="0" allowOverlap="1" layoutInCell="1" locked="0" behindDoc="1" simplePos="0" relativeHeight="268361735">
            <wp:simplePos x="0" y="0"/>
            <wp:positionH relativeFrom="page">
              <wp:posOffset>589533</wp:posOffset>
            </wp:positionH>
            <wp:positionV relativeFrom="paragraph">
              <wp:posOffset>362513</wp:posOffset>
            </wp:positionV>
            <wp:extent cx="522296" cy="457949"/>
            <wp:effectExtent l="0" t="0" r="0" b="0"/>
            <wp:wrapNone/>
            <wp:docPr id="79" name="image24.png" descr=""/>
            <wp:cNvGraphicFramePr>
              <a:graphicFrameLocks noChangeAspect="1"/>
            </wp:cNvGraphicFramePr>
            <a:graphic>
              <a:graphicData uri="http://schemas.openxmlformats.org/drawingml/2006/picture">
                <pic:pic>
                  <pic:nvPicPr>
                    <pic:cNvPr id="80" name="image24.png"/>
                    <pic:cNvPicPr/>
                  </pic:nvPicPr>
                  <pic:blipFill>
                    <a:blip r:embed="rId29" cstate="print"/>
                    <a:stretch>
                      <a:fillRect/>
                    </a:stretch>
                  </pic:blipFill>
                  <pic:spPr>
                    <a:xfrm>
                      <a:off x="0" y="0"/>
                      <a:ext cx="522296" cy="457949"/>
                    </a:xfrm>
                    <a:prstGeom prst="rect">
                      <a:avLst/>
                    </a:prstGeom>
                  </pic:spPr>
                </pic:pic>
              </a:graphicData>
            </a:graphic>
          </wp:anchor>
        </w:drawing>
      </w:r>
      <w:r>
        <w:rPr/>
        <w:pict>
          <v:shape style="position:absolute;margin-left:60.653416pt;margin-top:72.273346pt;width:11pt;height:76.350pt;mso-position-horizontal-relative:page;mso-position-vertical-relative:paragraph;z-index:-73696"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hAnsi="Verdana"/>
          <w:b/>
          <w:color w:val="4F3628"/>
          <w:position w:val="4"/>
          <w:sz w:val="18"/>
        </w:rPr>
        <w:t>122</w:t>
        <w:tab/>
      </w:r>
      <w:r>
        <w:rPr>
          <w:color w:val="231F1F"/>
        </w:rPr>
        <w:t>forma</w:t>
      </w:r>
      <w:r>
        <w:rPr>
          <w:color w:val="231F1F"/>
          <w:spacing w:val="17"/>
        </w:rPr>
        <w:t> </w:t>
      </w:r>
      <w:r>
        <w:rPr>
          <w:color w:val="231F1F"/>
        </w:rPr>
        <w:t>todos</w:t>
      </w:r>
      <w:r>
        <w:rPr>
          <w:color w:val="231F1F"/>
          <w:spacing w:val="17"/>
        </w:rPr>
        <w:t> </w:t>
      </w:r>
      <w:r>
        <w:rPr>
          <w:color w:val="231F1F"/>
        </w:rPr>
        <w:t>los</w:t>
      </w:r>
      <w:r>
        <w:rPr>
          <w:color w:val="231F1F"/>
          <w:spacing w:val="17"/>
        </w:rPr>
        <w:t> </w:t>
      </w:r>
      <w:r>
        <w:rPr>
          <w:color w:val="231F1F"/>
        </w:rPr>
        <w:t>comercios</w:t>
      </w:r>
      <w:r>
        <w:rPr>
          <w:color w:val="231F1F"/>
          <w:spacing w:val="17"/>
        </w:rPr>
        <w:t> </w:t>
      </w:r>
      <w:r>
        <w:rPr>
          <w:color w:val="231F1F"/>
        </w:rPr>
        <w:t>y</w:t>
      </w:r>
      <w:r>
        <w:rPr>
          <w:color w:val="231F1F"/>
          <w:spacing w:val="17"/>
        </w:rPr>
        <w:t> </w:t>
      </w:r>
      <w:r>
        <w:rPr>
          <w:color w:val="231F1F"/>
        </w:rPr>
        <w:t>servicios</w:t>
      </w:r>
      <w:r>
        <w:rPr>
          <w:color w:val="231F1F"/>
          <w:spacing w:val="17"/>
        </w:rPr>
        <w:t> </w:t>
      </w:r>
      <w:r>
        <w:rPr>
          <w:color w:val="231F1F"/>
        </w:rPr>
        <w:t>tendrían</w:t>
      </w:r>
      <w:r>
        <w:rPr>
          <w:color w:val="231F1F"/>
          <w:spacing w:val="17"/>
        </w:rPr>
        <w:t> </w:t>
      </w:r>
      <w:r>
        <w:rPr>
          <w:color w:val="231F1F"/>
        </w:rPr>
        <w:t>la</w:t>
      </w:r>
      <w:r>
        <w:rPr>
          <w:color w:val="231F1F"/>
          <w:spacing w:val="17"/>
        </w:rPr>
        <w:t> </w:t>
      </w:r>
      <w:r>
        <w:rPr>
          <w:color w:val="231F1F"/>
        </w:rPr>
        <w:t>obligación</w:t>
      </w:r>
      <w:r>
        <w:rPr>
          <w:color w:val="231F1F"/>
          <w:spacing w:val="17"/>
        </w:rPr>
        <w:t> </w:t>
      </w:r>
      <w:r>
        <w:rPr>
          <w:color w:val="231F1F"/>
        </w:rPr>
        <w:t>de</w:t>
      </w:r>
      <w:r>
        <w:rPr>
          <w:color w:val="231F1F"/>
          <w:spacing w:val="17"/>
        </w:rPr>
        <w:t> </w:t>
      </w:r>
      <w:r>
        <w:rPr>
          <w:color w:val="231F1F"/>
        </w:rPr>
        <w:t>recibirlos</w:t>
      </w:r>
      <w:r>
        <w:rPr>
          <w:color w:val="231F1F"/>
          <w:spacing w:val="17"/>
        </w:rPr>
        <w:t> </w:t>
      </w:r>
      <w:r>
        <w:rPr>
          <w:color w:val="231F1F"/>
        </w:rPr>
        <w:t>como</w:t>
      </w:r>
      <w:r>
        <w:rPr>
          <w:color w:val="231F1F"/>
          <w:spacing w:val="17"/>
        </w:rPr>
        <w:t> </w:t>
      </w:r>
      <w:r>
        <w:rPr>
          <w:color w:val="231F1F"/>
        </w:rPr>
        <w:t>moneda</w:t>
      </w:r>
      <w:r>
        <w:rPr>
          <w:color w:val="231F1F"/>
          <w:spacing w:val="17"/>
        </w:rPr>
        <w:t> </w:t>
      </w:r>
      <w:r>
        <w:rPr>
          <w:color w:val="231F1F"/>
        </w:rPr>
        <w:t>legal,</w:t>
      </w:r>
      <w:r>
        <w:rPr>
          <w:color w:val="231F1F"/>
          <w:spacing w:val="17"/>
        </w:rPr>
        <w:t> </w:t>
      </w:r>
      <w:r>
        <w:rPr>
          <w:color w:val="231F1F"/>
        </w:rPr>
        <w:t>para</w:t>
      </w:r>
      <w:r>
        <w:rPr>
          <w:color w:val="231F1F"/>
          <w:spacing w:val="1"/>
          <w:w w:val="106"/>
        </w:rPr>
        <w:t> </w:t>
      </w:r>
      <w:r>
        <w:rPr>
          <w:color w:val="231F1F"/>
        </w:rPr>
        <w:t>aliviar las penas de los pobres que hasta ahora habían recibido de buena fe estas malas monedas  que nadie quería recibir. Lo anterior indica que la falsificación de monedas de cobre insurgentes       se había salido de control y estaba repercutiendo, negativamente, en el comercio interno y sobre todo en los bolsillos de los más   </w:t>
      </w:r>
      <w:r>
        <w:rPr>
          <w:color w:val="231F1F"/>
          <w:spacing w:val="2"/>
        </w:rPr>
        <w:t> </w:t>
      </w:r>
      <w:r>
        <w:rPr>
          <w:color w:val="231F1F"/>
        </w:rPr>
        <w:t>pobres.</w:t>
      </w:r>
    </w:p>
    <w:p>
      <w:pPr>
        <w:pStyle w:val="BodyText"/>
        <w:spacing w:before="9"/>
        <w:rPr>
          <w:sz w:val="27"/>
        </w:rPr>
      </w:pPr>
    </w:p>
    <w:p>
      <w:pPr>
        <w:pStyle w:val="BodyText"/>
        <w:spacing w:line="268" w:lineRule="auto"/>
        <w:ind w:left="1504" w:right="1717"/>
        <w:jc w:val="center"/>
      </w:pPr>
      <w:r>
        <w:rPr>
          <w:color w:val="231F1F"/>
          <w:w w:val="105"/>
        </w:rPr>
        <w:t>Aunque</w:t>
      </w:r>
      <w:r>
        <w:rPr>
          <w:color w:val="231F1F"/>
          <w:spacing w:val="-24"/>
          <w:w w:val="105"/>
        </w:rPr>
        <w:t> </w:t>
      </w:r>
      <w:r>
        <w:rPr>
          <w:color w:val="231F1F"/>
          <w:w w:val="105"/>
        </w:rPr>
        <w:t>ni</w:t>
      </w:r>
      <w:r>
        <w:rPr>
          <w:color w:val="231F1F"/>
          <w:spacing w:val="-24"/>
          <w:w w:val="105"/>
        </w:rPr>
        <w:t> </w:t>
      </w:r>
      <w:r>
        <w:rPr>
          <w:color w:val="231F1F"/>
          <w:w w:val="105"/>
        </w:rPr>
        <w:t>la</w:t>
      </w:r>
      <w:r>
        <w:rPr>
          <w:color w:val="231F1F"/>
          <w:spacing w:val="-24"/>
          <w:w w:val="105"/>
        </w:rPr>
        <w:t> </w:t>
      </w:r>
      <w:r>
        <w:rPr>
          <w:color w:val="231F1F"/>
          <w:w w:val="105"/>
        </w:rPr>
        <w:t>historiografía</w:t>
      </w:r>
      <w:r>
        <w:rPr>
          <w:color w:val="231F1F"/>
          <w:spacing w:val="-24"/>
          <w:w w:val="105"/>
        </w:rPr>
        <w:t> </w:t>
      </w:r>
      <w:r>
        <w:rPr>
          <w:color w:val="231F1F"/>
          <w:w w:val="105"/>
        </w:rPr>
        <w:t>ni</w:t>
      </w:r>
      <w:r>
        <w:rPr>
          <w:color w:val="231F1F"/>
          <w:spacing w:val="-24"/>
          <w:w w:val="105"/>
        </w:rPr>
        <w:t> </w:t>
      </w:r>
      <w:r>
        <w:rPr>
          <w:color w:val="231F1F"/>
          <w:w w:val="105"/>
        </w:rPr>
        <w:t>la</w:t>
      </w:r>
      <w:r>
        <w:rPr>
          <w:color w:val="231F1F"/>
          <w:spacing w:val="-24"/>
          <w:w w:val="105"/>
        </w:rPr>
        <w:t> </w:t>
      </w:r>
      <w:r>
        <w:rPr>
          <w:color w:val="231F1F"/>
          <w:w w:val="105"/>
        </w:rPr>
        <w:t>numismática</w:t>
      </w:r>
      <w:r>
        <w:rPr>
          <w:color w:val="231F1F"/>
          <w:spacing w:val="-24"/>
          <w:w w:val="105"/>
        </w:rPr>
        <w:t> </w:t>
      </w:r>
      <w:r>
        <w:rPr>
          <w:color w:val="231F1F"/>
          <w:w w:val="105"/>
        </w:rPr>
        <w:t>nos</w:t>
      </w:r>
      <w:r>
        <w:rPr>
          <w:color w:val="231F1F"/>
          <w:spacing w:val="-24"/>
          <w:w w:val="105"/>
        </w:rPr>
        <w:t> </w:t>
      </w:r>
      <w:r>
        <w:rPr>
          <w:color w:val="231F1F"/>
          <w:w w:val="105"/>
        </w:rPr>
        <w:t>han</w:t>
      </w:r>
      <w:r>
        <w:rPr>
          <w:color w:val="231F1F"/>
          <w:spacing w:val="-24"/>
          <w:w w:val="105"/>
        </w:rPr>
        <w:t> </w:t>
      </w:r>
      <w:r>
        <w:rPr>
          <w:color w:val="231F1F"/>
          <w:w w:val="105"/>
        </w:rPr>
        <w:t>revelado</w:t>
      </w:r>
      <w:r>
        <w:rPr>
          <w:color w:val="231F1F"/>
          <w:spacing w:val="-24"/>
          <w:w w:val="105"/>
        </w:rPr>
        <w:t> </w:t>
      </w:r>
      <w:r>
        <w:rPr>
          <w:color w:val="231F1F"/>
          <w:w w:val="105"/>
        </w:rPr>
        <w:t>hasta</w:t>
      </w:r>
      <w:r>
        <w:rPr>
          <w:color w:val="231F1F"/>
          <w:spacing w:val="-24"/>
          <w:w w:val="105"/>
        </w:rPr>
        <w:t> </w:t>
      </w:r>
      <w:r>
        <w:rPr>
          <w:color w:val="231F1F"/>
          <w:w w:val="105"/>
        </w:rPr>
        <w:t>ahora</w:t>
      </w:r>
      <w:r>
        <w:rPr>
          <w:color w:val="231F1F"/>
          <w:spacing w:val="-24"/>
          <w:w w:val="105"/>
        </w:rPr>
        <w:t> </w:t>
      </w:r>
      <w:r>
        <w:rPr>
          <w:color w:val="231F1F"/>
          <w:w w:val="105"/>
        </w:rPr>
        <w:t>las</w:t>
      </w:r>
      <w:r>
        <w:rPr>
          <w:color w:val="231F1F"/>
          <w:spacing w:val="-24"/>
          <w:w w:val="105"/>
        </w:rPr>
        <w:t> </w:t>
      </w:r>
      <w:r>
        <w:rPr>
          <w:color w:val="231F1F"/>
          <w:w w:val="105"/>
        </w:rPr>
        <w:t>cantidades</w:t>
      </w:r>
      <w:r>
        <w:rPr>
          <w:color w:val="231F1F"/>
          <w:spacing w:val="-24"/>
          <w:w w:val="105"/>
        </w:rPr>
        <w:t> </w:t>
      </w:r>
      <w:r>
        <w:rPr>
          <w:color w:val="231F1F"/>
          <w:w w:val="105"/>
        </w:rPr>
        <w:t>–por</w:t>
      </w:r>
      <w:r>
        <w:rPr>
          <w:color w:val="231F1F"/>
          <w:spacing w:val="-24"/>
          <w:w w:val="105"/>
        </w:rPr>
        <w:t> </w:t>
      </w:r>
      <w:r>
        <w:rPr>
          <w:color w:val="231F1F"/>
          <w:w w:val="105"/>
        </w:rPr>
        <w:t>falta de</w:t>
      </w:r>
      <w:r>
        <w:rPr>
          <w:color w:val="231F1F"/>
          <w:spacing w:val="-29"/>
          <w:w w:val="105"/>
        </w:rPr>
        <w:t> </w:t>
      </w:r>
      <w:r>
        <w:rPr>
          <w:color w:val="231F1F"/>
          <w:w w:val="105"/>
        </w:rPr>
        <w:t>información–,</w:t>
      </w:r>
      <w:r>
        <w:rPr>
          <w:color w:val="231F1F"/>
          <w:spacing w:val="-29"/>
          <w:w w:val="105"/>
        </w:rPr>
        <w:t> </w:t>
      </w:r>
      <w:r>
        <w:rPr>
          <w:color w:val="231F1F"/>
          <w:w w:val="105"/>
        </w:rPr>
        <w:t>por</w:t>
      </w:r>
      <w:r>
        <w:rPr>
          <w:color w:val="231F1F"/>
          <w:spacing w:val="-29"/>
          <w:w w:val="105"/>
        </w:rPr>
        <w:t> </w:t>
      </w:r>
      <w:r>
        <w:rPr>
          <w:color w:val="231F1F"/>
          <w:w w:val="105"/>
        </w:rPr>
        <w:t>denominación,</w:t>
      </w:r>
      <w:r>
        <w:rPr>
          <w:color w:val="231F1F"/>
          <w:spacing w:val="-29"/>
          <w:w w:val="105"/>
        </w:rPr>
        <w:t> </w:t>
      </w:r>
      <w:r>
        <w:rPr>
          <w:color w:val="231F1F"/>
          <w:w w:val="105"/>
        </w:rPr>
        <w:t>de</w:t>
      </w:r>
      <w:r>
        <w:rPr>
          <w:color w:val="231F1F"/>
          <w:spacing w:val="-29"/>
          <w:w w:val="105"/>
        </w:rPr>
        <w:t> </w:t>
      </w:r>
      <w:r>
        <w:rPr>
          <w:color w:val="231F1F"/>
          <w:w w:val="105"/>
        </w:rPr>
        <w:t>moneda</w:t>
      </w:r>
      <w:r>
        <w:rPr>
          <w:color w:val="231F1F"/>
          <w:spacing w:val="-29"/>
          <w:w w:val="105"/>
        </w:rPr>
        <w:t> </w:t>
      </w:r>
      <w:r>
        <w:rPr>
          <w:color w:val="231F1F"/>
          <w:w w:val="105"/>
        </w:rPr>
        <w:t>acuñada</w:t>
      </w:r>
      <w:r>
        <w:rPr>
          <w:color w:val="231F1F"/>
          <w:spacing w:val="-29"/>
          <w:w w:val="105"/>
        </w:rPr>
        <w:t> </w:t>
      </w:r>
      <w:r>
        <w:rPr>
          <w:color w:val="231F1F"/>
          <w:w w:val="105"/>
        </w:rPr>
        <w:t>por</w:t>
      </w:r>
      <w:r>
        <w:rPr>
          <w:color w:val="231F1F"/>
          <w:spacing w:val="-29"/>
          <w:w w:val="105"/>
        </w:rPr>
        <w:t> </w:t>
      </w:r>
      <w:r>
        <w:rPr>
          <w:color w:val="231F1F"/>
          <w:w w:val="105"/>
        </w:rPr>
        <w:t>Morelos,</w:t>
      </w:r>
      <w:r>
        <w:rPr>
          <w:color w:val="231F1F"/>
          <w:spacing w:val="-29"/>
          <w:w w:val="105"/>
        </w:rPr>
        <w:t> </w:t>
      </w:r>
      <w:r>
        <w:rPr>
          <w:color w:val="231F1F"/>
          <w:w w:val="105"/>
        </w:rPr>
        <w:t>tenemos</w:t>
      </w:r>
      <w:r>
        <w:rPr>
          <w:color w:val="231F1F"/>
          <w:spacing w:val="-29"/>
          <w:w w:val="105"/>
        </w:rPr>
        <w:t> </w:t>
      </w:r>
      <w:r>
        <w:rPr>
          <w:color w:val="231F1F"/>
          <w:w w:val="105"/>
        </w:rPr>
        <w:t>en</w:t>
      </w:r>
      <w:r>
        <w:rPr>
          <w:color w:val="231F1F"/>
          <w:spacing w:val="-29"/>
          <w:w w:val="105"/>
        </w:rPr>
        <w:t> </w:t>
      </w:r>
      <w:r>
        <w:rPr>
          <w:color w:val="231F1F"/>
          <w:w w:val="105"/>
        </w:rPr>
        <w:t>cambio</w:t>
      </w:r>
      <w:r>
        <w:rPr>
          <w:color w:val="231F1F"/>
          <w:spacing w:val="-29"/>
          <w:w w:val="105"/>
        </w:rPr>
        <w:t> </w:t>
      </w:r>
      <w:r>
        <w:rPr>
          <w:color w:val="231F1F"/>
          <w:w w:val="105"/>
        </w:rPr>
        <w:t>un</w:t>
      </w:r>
      <w:r>
        <w:rPr>
          <w:color w:val="231F1F"/>
          <w:spacing w:val="-29"/>
          <w:w w:val="105"/>
        </w:rPr>
        <w:t> </w:t>
      </w:r>
      <w:r>
        <w:rPr>
          <w:color w:val="231F1F"/>
          <w:w w:val="105"/>
        </w:rPr>
        <w:t>buen catálogo que nos revela la complejidad de las acuñaciones insurgentes del período </w:t>
      </w:r>
      <w:r>
        <w:rPr>
          <w:color w:val="231F1F"/>
          <w:w w:val="105"/>
          <w:sz w:val="20"/>
        </w:rPr>
        <w:t>1811 </w:t>
      </w:r>
      <w:r>
        <w:rPr>
          <w:color w:val="231F1F"/>
          <w:w w:val="105"/>
        </w:rPr>
        <w:t>a  </w:t>
      </w:r>
      <w:r>
        <w:rPr>
          <w:color w:val="231F1F"/>
          <w:spacing w:val="17"/>
          <w:w w:val="105"/>
        </w:rPr>
        <w:t> </w:t>
      </w:r>
      <w:r>
        <w:rPr>
          <w:color w:val="231F1F"/>
          <w:w w:val="105"/>
          <w:sz w:val="20"/>
        </w:rPr>
        <w:t>1814</w:t>
      </w:r>
      <w:r>
        <w:rPr>
          <w:color w:val="231F1F"/>
          <w:w w:val="105"/>
        </w:rPr>
        <w:t>.</w:t>
      </w:r>
    </w:p>
    <w:p>
      <w:pPr>
        <w:pStyle w:val="BodyText"/>
        <w:spacing w:before="6"/>
        <w:rPr>
          <w:sz w:val="18"/>
        </w:rPr>
      </w:pPr>
    </w:p>
    <w:p>
      <w:pPr>
        <w:spacing w:before="0"/>
        <w:ind w:left="1495" w:right="1717" w:firstLine="0"/>
        <w:jc w:val="center"/>
        <w:rPr>
          <w:sz w:val="22"/>
        </w:rPr>
      </w:pPr>
      <w:r>
        <w:rPr>
          <w:color w:val="603328"/>
          <w:w w:val="140"/>
          <w:sz w:val="22"/>
        </w:rPr>
        <w:t>c</w:t>
      </w:r>
      <w:r>
        <w:rPr>
          <w:color w:val="603328"/>
          <w:w w:val="140"/>
          <w:sz w:val="15"/>
        </w:rPr>
        <w:t>uadro </w:t>
      </w:r>
      <w:r>
        <w:rPr>
          <w:color w:val="603328"/>
          <w:w w:val="140"/>
          <w:sz w:val="22"/>
        </w:rPr>
        <w:t>2</w:t>
      </w:r>
    </w:p>
    <w:p>
      <w:pPr>
        <w:pStyle w:val="BodyText"/>
        <w:spacing w:line="268" w:lineRule="auto" w:before="31"/>
        <w:ind w:left="3398" w:right="3620"/>
        <w:jc w:val="center"/>
        <w:rPr>
          <w:sz w:val="20"/>
        </w:rPr>
      </w:pPr>
      <w:r>
        <w:rPr>
          <w:color w:val="603328"/>
          <w:w w:val="110"/>
        </w:rPr>
        <w:t>Monedas con valores, metales y variedades acuñadas por Morelos entre </w:t>
      </w:r>
      <w:r>
        <w:rPr>
          <w:color w:val="603328"/>
          <w:w w:val="110"/>
          <w:sz w:val="20"/>
        </w:rPr>
        <w:t>1811 </w:t>
      </w:r>
      <w:r>
        <w:rPr>
          <w:color w:val="603328"/>
          <w:w w:val="110"/>
        </w:rPr>
        <w:t>y  </w:t>
      </w:r>
      <w:r>
        <w:rPr>
          <w:color w:val="603328"/>
          <w:w w:val="110"/>
          <w:sz w:val="20"/>
        </w:rPr>
        <w:t>1814</w:t>
      </w:r>
    </w:p>
    <w:p>
      <w:pPr>
        <w:pStyle w:val="BodyText"/>
        <w:spacing w:before="3"/>
        <w:rPr>
          <w:sz w:val="18"/>
        </w:rPr>
      </w:pPr>
    </w:p>
    <w:tbl>
      <w:tblPr>
        <w:tblW w:w="0" w:type="auto"/>
        <w:jc w:val="left"/>
        <w:tblInd w:w="32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8"/>
        <w:gridCol w:w="1772"/>
        <w:gridCol w:w="1151"/>
        <w:gridCol w:w="1670"/>
      </w:tblGrid>
      <w:tr>
        <w:trPr>
          <w:trHeight w:val="737" w:hRule="exact"/>
        </w:trPr>
        <w:tc>
          <w:tcPr>
            <w:tcW w:w="958" w:type="dxa"/>
            <w:shd w:val="clear" w:color="auto" w:fill="A8483D"/>
          </w:tcPr>
          <w:p>
            <w:pPr>
              <w:pStyle w:val="TableParagraph"/>
              <w:spacing w:before="11"/>
              <w:rPr>
                <w:sz w:val="20"/>
              </w:rPr>
            </w:pPr>
          </w:p>
          <w:p>
            <w:pPr>
              <w:pStyle w:val="TableParagraph"/>
              <w:spacing w:before="0"/>
              <w:ind w:left="198"/>
              <w:rPr>
                <w:sz w:val="20"/>
              </w:rPr>
            </w:pPr>
            <w:r>
              <w:rPr>
                <w:color w:val="FFFFFF"/>
                <w:w w:val="110"/>
                <w:sz w:val="20"/>
              </w:rPr>
              <w:t>Año</w:t>
            </w:r>
          </w:p>
        </w:tc>
        <w:tc>
          <w:tcPr>
            <w:tcW w:w="1772" w:type="dxa"/>
            <w:shd w:val="clear" w:color="auto" w:fill="A8483D"/>
          </w:tcPr>
          <w:p>
            <w:pPr>
              <w:pStyle w:val="TableParagraph"/>
              <w:spacing w:before="11"/>
              <w:rPr>
                <w:sz w:val="20"/>
              </w:rPr>
            </w:pPr>
          </w:p>
          <w:p>
            <w:pPr>
              <w:pStyle w:val="TableParagraph"/>
              <w:spacing w:before="0"/>
              <w:ind w:left="263"/>
              <w:rPr>
                <w:sz w:val="20"/>
              </w:rPr>
            </w:pPr>
            <w:r>
              <w:rPr>
                <w:color w:val="FFFFFF"/>
                <w:w w:val="105"/>
                <w:sz w:val="20"/>
              </w:rPr>
              <w:t>Denominación</w:t>
            </w:r>
          </w:p>
        </w:tc>
        <w:tc>
          <w:tcPr>
            <w:tcW w:w="1151" w:type="dxa"/>
            <w:shd w:val="clear" w:color="auto" w:fill="A8483D"/>
          </w:tcPr>
          <w:p>
            <w:pPr>
              <w:pStyle w:val="TableParagraph"/>
              <w:spacing w:before="11"/>
              <w:rPr>
                <w:sz w:val="20"/>
              </w:rPr>
            </w:pPr>
          </w:p>
          <w:p>
            <w:pPr>
              <w:pStyle w:val="TableParagraph"/>
              <w:spacing w:before="0"/>
              <w:ind w:left="257"/>
              <w:rPr>
                <w:sz w:val="20"/>
              </w:rPr>
            </w:pPr>
            <w:r>
              <w:rPr>
                <w:color w:val="FFFFFF"/>
                <w:w w:val="105"/>
                <w:sz w:val="20"/>
              </w:rPr>
              <w:t>Metal</w:t>
            </w:r>
          </w:p>
        </w:tc>
        <w:tc>
          <w:tcPr>
            <w:tcW w:w="1670" w:type="dxa"/>
            <w:shd w:val="clear" w:color="auto" w:fill="A8483D"/>
          </w:tcPr>
          <w:p>
            <w:pPr>
              <w:pStyle w:val="TableParagraph"/>
              <w:spacing w:line="240" w:lineRule="exact" w:before="134"/>
              <w:ind w:left="401" w:right="121"/>
              <w:rPr>
                <w:sz w:val="20"/>
              </w:rPr>
            </w:pPr>
            <w:r>
              <w:rPr>
                <w:color w:val="FFFFFF"/>
                <w:w w:val="105"/>
                <w:sz w:val="20"/>
              </w:rPr>
              <w:t>Variedades en el diseño</w:t>
            </w:r>
          </w:p>
        </w:tc>
      </w:tr>
      <w:tr>
        <w:trPr>
          <w:trHeight w:val="336" w:hRule="exact"/>
        </w:trPr>
        <w:tc>
          <w:tcPr>
            <w:tcW w:w="958" w:type="dxa"/>
          </w:tcPr>
          <w:p>
            <w:pPr>
              <w:pStyle w:val="TableParagraph"/>
              <w:spacing w:before="42"/>
              <w:ind w:left="198"/>
              <w:rPr>
                <w:sz w:val="20"/>
              </w:rPr>
            </w:pPr>
            <w:r>
              <w:rPr>
                <w:color w:val="231F1F"/>
                <w:w w:val="120"/>
                <w:sz w:val="20"/>
              </w:rPr>
              <w:t>1811</w:t>
            </w:r>
          </w:p>
        </w:tc>
        <w:tc>
          <w:tcPr>
            <w:tcW w:w="1772" w:type="dxa"/>
          </w:tcPr>
          <w:p>
            <w:pPr>
              <w:pStyle w:val="TableParagraph"/>
              <w:spacing w:before="42"/>
              <w:ind w:left="263"/>
              <w:rPr>
                <w:sz w:val="20"/>
              </w:rPr>
            </w:pPr>
            <w:r>
              <w:rPr>
                <w:color w:val="231F1F"/>
                <w:w w:val="110"/>
                <w:sz w:val="20"/>
              </w:rPr>
              <w:t>8 reales</w:t>
            </w:r>
          </w:p>
        </w:tc>
        <w:tc>
          <w:tcPr>
            <w:tcW w:w="1151" w:type="dxa"/>
          </w:tcPr>
          <w:p>
            <w:pPr>
              <w:pStyle w:val="TableParagraph"/>
              <w:spacing w:before="42"/>
              <w:ind w:left="257"/>
              <w:rPr>
                <w:sz w:val="20"/>
              </w:rPr>
            </w:pPr>
            <w:r>
              <w:rPr>
                <w:color w:val="231F1F"/>
                <w:sz w:val="20"/>
              </w:rPr>
              <w:t>plata</w:t>
            </w:r>
          </w:p>
        </w:tc>
        <w:tc>
          <w:tcPr>
            <w:tcW w:w="1670" w:type="dxa"/>
          </w:tcPr>
          <w:p>
            <w:pPr>
              <w:pStyle w:val="TableParagraph"/>
              <w:spacing w:before="42"/>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2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Style w:val="TableParagraph"/>
              <w:spacing w:before="18"/>
              <w:ind w:left="198"/>
              <w:rPr>
                <w:sz w:val="20"/>
              </w:rPr>
            </w:pPr>
            <w:r>
              <w:rPr>
                <w:color w:val="231F1F"/>
                <w:w w:val="120"/>
                <w:sz w:val="20"/>
              </w:rPr>
              <w:t>1812</w:t>
            </w: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w w:val="95"/>
                <w:sz w:val="20"/>
              </w:rPr>
              <w:t>tres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2 reales</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w w:val="105"/>
                <w:sz w:val="20"/>
              </w:rPr>
              <w:t>dos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sz w:val="20"/>
              </w:rPr>
              <w:t>nueve</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2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sz w:val="20"/>
              </w:rPr>
              <w:t>siete</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1 real</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w w:val="95"/>
                <w:sz w:val="20"/>
              </w:rPr>
              <w:t>tres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20"/>
                <w:sz w:val="20"/>
              </w:rPr>
              <w:t>½ real</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w w:val="105"/>
                <w:sz w:val="20"/>
              </w:rPr>
              <w:t>dos</w:t>
            </w:r>
          </w:p>
        </w:tc>
      </w:tr>
      <w:tr>
        <w:trPr>
          <w:trHeight w:val="313" w:hRule="exact"/>
        </w:trPr>
        <w:tc>
          <w:tcPr>
            <w:tcW w:w="958" w:type="dxa"/>
          </w:tcPr>
          <w:p>
            <w:pPr>
              <w:pStyle w:val="TableParagraph"/>
              <w:spacing w:before="18"/>
              <w:ind w:left="198"/>
              <w:rPr>
                <w:sz w:val="20"/>
              </w:rPr>
            </w:pPr>
            <w:r>
              <w:rPr>
                <w:color w:val="231F1F"/>
                <w:w w:val="120"/>
                <w:sz w:val="20"/>
              </w:rPr>
              <w:t>1813</w:t>
            </w: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oro</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20"/>
                <w:sz w:val="20"/>
              </w:rPr>
              <w:t>½ real</w:t>
            </w:r>
          </w:p>
        </w:tc>
        <w:tc>
          <w:tcPr>
            <w:tcW w:w="1151" w:type="dxa"/>
          </w:tcPr>
          <w:p>
            <w:pPr>
              <w:pStyle w:val="TableParagraph"/>
              <w:spacing w:before="18"/>
              <w:ind w:left="257"/>
              <w:rPr>
                <w:sz w:val="20"/>
              </w:rPr>
            </w:pPr>
            <w:r>
              <w:rPr>
                <w:color w:val="231F1F"/>
                <w:sz w:val="20"/>
              </w:rPr>
              <w:t>oro</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w w:val="105"/>
                <w:sz w:val="20"/>
              </w:rPr>
              <w:t>dos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2 reales</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1 real</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w w:val="105"/>
                <w:sz w:val="20"/>
              </w:rPr>
              <w:t>dos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20"/>
                <w:sz w:val="20"/>
              </w:rPr>
              <w:t>½ real</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w w:val="95"/>
                <w:sz w:val="20"/>
              </w:rPr>
              <w:t>tres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sz w:val="20"/>
              </w:rPr>
              <w:t>cuatro</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2 reales</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w w:val="95"/>
                <w:sz w:val="20"/>
              </w:rPr>
              <w:t>tres</w:t>
            </w:r>
          </w:p>
        </w:tc>
      </w:tr>
      <w:tr>
        <w:trPr>
          <w:trHeight w:val="313" w:hRule="exact"/>
        </w:trPr>
        <w:tc>
          <w:tcPr>
            <w:tcW w:w="958" w:type="dxa"/>
          </w:tcPr>
          <w:p>
            <w:pPr/>
          </w:p>
        </w:tc>
        <w:tc>
          <w:tcPr>
            <w:tcW w:w="1772" w:type="dxa"/>
          </w:tcPr>
          <w:p>
            <w:pPr>
              <w:pStyle w:val="TableParagraph"/>
              <w:spacing w:before="18"/>
              <w:ind w:left="263"/>
              <w:rPr>
                <w:sz w:val="20"/>
              </w:rPr>
            </w:pPr>
            <w:r>
              <w:rPr>
                <w:color w:val="231F1F"/>
                <w:w w:val="120"/>
                <w:sz w:val="20"/>
              </w:rPr>
              <w:t>½ real</w:t>
            </w:r>
          </w:p>
        </w:tc>
        <w:tc>
          <w:tcPr>
            <w:tcW w:w="1151" w:type="dxa"/>
          </w:tcPr>
          <w:p>
            <w:pPr>
              <w:pStyle w:val="TableParagraph"/>
              <w:spacing w:before="18"/>
              <w:ind w:left="257"/>
              <w:rPr>
                <w:sz w:val="20"/>
              </w:rPr>
            </w:pPr>
            <w:r>
              <w:rPr>
                <w:color w:val="231F1F"/>
                <w:sz w:val="20"/>
              </w:rPr>
              <w:t>cobre</w:t>
            </w:r>
          </w:p>
        </w:tc>
        <w:tc>
          <w:tcPr>
            <w:tcW w:w="1670" w:type="dxa"/>
          </w:tcPr>
          <w:p>
            <w:pPr>
              <w:pStyle w:val="TableParagraph"/>
              <w:spacing w:before="18"/>
              <w:ind w:left="401" w:right="121"/>
              <w:rPr>
                <w:sz w:val="20"/>
              </w:rPr>
            </w:pPr>
            <w:r>
              <w:rPr>
                <w:color w:val="231F1F"/>
                <w:w w:val="105"/>
                <w:sz w:val="20"/>
              </w:rPr>
              <w:t>dos</w:t>
            </w:r>
          </w:p>
        </w:tc>
      </w:tr>
      <w:tr>
        <w:trPr>
          <w:trHeight w:val="313" w:hRule="exact"/>
        </w:trPr>
        <w:tc>
          <w:tcPr>
            <w:tcW w:w="958" w:type="dxa"/>
          </w:tcPr>
          <w:p>
            <w:pPr>
              <w:pStyle w:val="TableParagraph"/>
              <w:spacing w:before="18"/>
              <w:ind w:left="198"/>
              <w:rPr>
                <w:sz w:val="20"/>
              </w:rPr>
            </w:pPr>
            <w:r>
              <w:rPr>
                <w:color w:val="231F1F"/>
                <w:w w:val="120"/>
                <w:sz w:val="20"/>
              </w:rPr>
              <w:t>1814</w:t>
            </w:r>
          </w:p>
        </w:tc>
        <w:tc>
          <w:tcPr>
            <w:tcW w:w="1772" w:type="dxa"/>
          </w:tcPr>
          <w:p>
            <w:pPr>
              <w:pStyle w:val="TableParagraph"/>
              <w:spacing w:before="18"/>
              <w:ind w:left="263"/>
              <w:rPr>
                <w:sz w:val="20"/>
              </w:rPr>
            </w:pPr>
            <w:r>
              <w:rPr>
                <w:color w:val="231F1F"/>
                <w:w w:val="110"/>
                <w:sz w:val="20"/>
              </w:rPr>
              <w:t>8 reales</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sz w:val="20"/>
              </w:rPr>
              <w:t>una</w:t>
            </w:r>
          </w:p>
        </w:tc>
      </w:tr>
      <w:tr>
        <w:trPr>
          <w:trHeight w:val="313" w:hRule="exact"/>
        </w:trPr>
        <w:tc>
          <w:tcPr>
            <w:tcW w:w="958" w:type="dxa"/>
          </w:tcPr>
          <w:p>
            <w:pPr/>
          </w:p>
        </w:tc>
        <w:tc>
          <w:tcPr>
            <w:tcW w:w="1772" w:type="dxa"/>
          </w:tcPr>
          <w:p>
            <w:pPr>
              <w:pStyle w:val="TableParagraph"/>
              <w:spacing w:before="18"/>
              <w:ind w:left="263"/>
              <w:rPr>
                <w:sz w:val="20"/>
              </w:rPr>
            </w:pPr>
            <w:r>
              <w:rPr>
                <w:color w:val="231F1F"/>
                <w:w w:val="110"/>
                <w:sz w:val="20"/>
              </w:rPr>
              <w:t>1 real</w:t>
            </w:r>
          </w:p>
        </w:tc>
        <w:tc>
          <w:tcPr>
            <w:tcW w:w="1151" w:type="dxa"/>
          </w:tcPr>
          <w:p>
            <w:pPr>
              <w:pStyle w:val="TableParagraph"/>
              <w:spacing w:before="18"/>
              <w:ind w:left="257"/>
              <w:rPr>
                <w:sz w:val="20"/>
              </w:rPr>
            </w:pPr>
            <w:r>
              <w:rPr>
                <w:color w:val="231F1F"/>
                <w:sz w:val="20"/>
              </w:rPr>
              <w:t>plata</w:t>
            </w:r>
          </w:p>
        </w:tc>
        <w:tc>
          <w:tcPr>
            <w:tcW w:w="1670" w:type="dxa"/>
          </w:tcPr>
          <w:p>
            <w:pPr>
              <w:pStyle w:val="TableParagraph"/>
              <w:spacing w:before="18"/>
              <w:ind w:left="401" w:right="121"/>
              <w:rPr>
                <w:sz w:val="20"/>
              </w:rPr>
            </w:pPr>
            <w:r>
              <w:rPr>
                <w:color w:val="231F1F"/>
                <w:sz w:val="20"/>
              </w:rPr>
              <w:t>una</w:t>
            </w:r>
          </w:p>
        </w:tc>
      </w:tr>
      <w:tr>
        <w:trPr>
          <w:trHeight w:val="289" w:hRule="exact"/>
        </w:trPr>
        <w:tc>
          <w:tcPr>
            <w:tcW w:w="958" w:type="dxa"/>
            <w:tcBorders>
              <w:left w:val="single" w:sz="4" w:space="0" w:color="A8483D"/>
              <w:bottom w:val="single" w:sz="6" w:space="0" w:color="A8483D"/>
            </w:tcBorders>
          </w:tcPr>
          <w:p>
            <w:pPr/>
          </w:p>
        </w:tc>
        <w:tc>
          <w:tcPr>
            <w:tcW w:w="1772" w:type="dxa"/>
            <w:tcBorders>
              <w:bottom w:val="single" w:sz="6" w:space="0" w:color="A8483D"/>
            </w:tcBorders>
          </w:tcPr>
          <w:p>
            <w:pPr>
              <w:pStyle w:val="TableParagraph"/>
              <w:spacing w:before="18"/>
              <w:ind w:left="263"/>
              <w:rPr>
                <w:sz w:val="20"/>
              </w:rPr>
            </w:pPr>
            <w:r>
              <w:rPr>
                <w:color w:val="231F1F"/>
                <w:w w:val="110"/>
                <w:sz w:val="20"/>
              </w:rPr>
              <w:t>8 reales</w:t>
            </w:r>
          </w:p>
        </w:tc>
        <w:tc>
          <w:tcPr>
            <w:tcW w:w="1151" w:type="dxa"/>
            <w:tcBorders>
              <w:bottom w:val="single" w:sz="6" w:space="0" w:color="A8483D"/>
            </w:tcBorders>
          </w:tcPr>
          <w:p>
            <w:pPr>
              <w:pStyle w:val="TableParagraph"/>
              <w:spacing w:before="18"/>
              <w:ind w:left="257"/>
              <w:rPr>
                <w:sz w:val="20"/>
              </w:rPr>
            </w:pPr>
            <w:r>
              <w:rPr>
                <w:color w:val="231F1F"/>
                <w:sz w:val="20"/>
              </w:rPr>
              <w:t>cobre</w:t>
            </w:r>
          </w:p>
        </w:tc>
        <w:tc>
          <w:tcPr>
            <w:tcW w:w="1670" w:type="dxa"/>
            <w:tcBorders>
              <w:bottom w:val="single" w:sz="6" w:space="0" w:color="A8483D"/>
            </w:tcBorders>
          </w:tcPr>
          <w:p>
            <w:pPr>
              <w:pStyle w:val="TableParagraph"/>
              <w:spacing w:before="18"/>
              <w:ind w:left="401" w:right="121"/>
              <w:rPr>
                <w:sz w:val="20"/>
              </w:rPr>
            </w:pPr>
            <w:r>
              <w:rPr>
                <w:color w:val="231F1F"/>
                <w:sz w:val="20"/>
              </w:rPr>
              <w:t>una</w:t>
            </w:r>
          </w:p>
        </w:tc>
      </w:tr>
    </w:tbl>
    <w:p>
      <w:pPr>
        <w:spacing w:before="78"/>
        <w:ind w:left="3261" w:right="1725" w:firstLine="0"/>
        <w:jc w:val="left"/>
        <w:rPr>
          <w:sz w:val="18"/>
        </w:rPr>
      </w:pPr>
      <w:r>
        <w:rPr>
          <w:color w:val="231F1F"/>
          <w:sz w:val="18"/>
        </w:rPr>
        <w:t>Fuentes: Haynes y León, </w:t>
      </w:r>
      <w:r>
        <w:rPr>
          <w:color w:val="231F1F"/>
          <w:sz w:val="16"/>
        </w:rPr>
        <w:t>2010</w:t>
      </w:r>
      <w:r>
        <w:rPr>
          <w:color w:val="231F1F"/>
          <w:sz w:val="18"/>
        </w:rPr>
        <w:t>; Gómez-Wulschner, en este libro.</w:t>
      </w:r>
    </w:p>
    <w:p>
      <w:pPr>
        <w:pStyle w:val="BodyText"/>
        <w:rPr>
          <w:sz w:val="18"/>
        </w:rPr>
      </w:pPr>
    </w:p>
    <w:p>
      <w:pPr>
        <w:pStyle w:val="BodyText"/>
        <w:spacing w:before="3"/>
        <w:rPr>
          <w:sz w:val="13"/>
        </w:rPr>
      </w:pPr>
    </w:p>
    <w:p>
      <w:pPr>
        <w:pStyle w:val="BodyText"/>
        <w:spacing w:line="268" w:lineRule="auto" w:before="1"/>
        <w:ind w:left="1504" w:right="1726"/>
        <w:jc w:val="both"/>
      </w:pPr>
      <w:r>
        <w:rPr>
          <w:color w:val="231F1F"/>
        </w:rPr>
        <w:t>Los autores de este catálogo refieren que las acuñaciones de Morelos en oro y plata son realmente escasas y raras. </w:t>
      </w:r>
      <w:r>
        <w:rPr>
          <w:color w:val="231F1F"/>
          <w:spacing w:val="-11"/>
        </w:rPr>
        <w:t>Yo  </w:t>
      </w:r>
      <w:r>
        <w:rPr>
          <w:color w:val="231F1F"/>
        </w:rPr>
        <w:t>agregaría que las primeras, de metal aurífero, son de dudosa autenticidad. En  esta</w:t>
      </w:r>
      <w:r>
        <w:rPr>
          <w:color w:val="231F1F"/>
          <w:spacing w:val="27"/>
        </w:rPr>
        <w:t> </w:t>
      </w:r>
      <w:r>
        <w:rPr>
          <w:color w:val="231F1F"/>
        </w:rPr>
        <w:t>línea,</w:t>
      </w:r>
      <w:r>
        <w:rPr>
          <w:color w:val="231F1F"/>
          <w:spacing w:val="27"/>
        </w:rPr>
        <w:t> </w:t>
      </w:r>
      <w:r>
        <w:rPr>
          <w:color w:val="231F1F"/>
        </w:rPr>
        <w:t>el</w:t>
      </w:r>
      <w:r>
        <w:rPr>
          <w:color w:val="231F1F"/>
          <w:spacing w:val="27"/>
        </w:rPr>
        <w:t> </w:t>
      </w:r>
      <w:r>
        <w:rPr>
          <w:color w:val="231F1F"/>
        </w:rPr>
        <w:t>grueso</w:t>
      </w:r>
      <w:r>
        <w:rPr>
          <w:color w:val="231F1F"/>
          <w:spacing w:val="27"/>
        </w:rPr>
        <w:t> </w:t>
      </w:r>
      <w:r>
        <w:rPr>
          <w:color w:val="231F1F"/>
        </w:rPr>
        <w:t>de</w:t>
      </w:r>
      <w:r>
        <w:rPr>
          <w:color w:val="231F1F"/>
          <w:spacing w:val="27"/>
        </w:rPr>
        <w:t> </w:t>
      </w:r>
      <w:r>
        <w:rPr>
          <w:color w:val="231F1F"/>
        </w:rPr>
        <w:t>las</w:t>
      </w:r>
      <w:r>
        <w:rPr>
          <w:color w:val="231F1F"/>
          <w:spacing w:val="27"/>
        </w:rPr>
        <w:t> </w:t>
      </w:r>
      <w:r>
        <w:rPr>
          <w:color w:val="231F1F"/>
        </w:rPr>
        <w:t>emisiones</w:t>
      </w:r>
      <w:r>
        <w:rPr>
          <w:color w:val="231F1F"/>
          <w:spacing w:val="27"/>
        </w:rPr>
        <w:t> </w:t>
      </w:r>
      <w:r>
        <w:rPr>
          <w:color w:val="231F1F"/>
          <w:sz w:val="18"/>
        </w:rPr>
        <w:t>SUD</w:t>
      </w:r>
      <w:r>
        <w:rPr>
          <w:color w:val="231F1F"/>
          <w:spacing w:val="36"/>
          <w:sz w:val="18"/>
        </w:rPr>
        <w:t> </w:t>
      </w:r>
      <w:r>
        <w:rPr>
          <w:color w:val="231F1F"/>
        </w:rPr>
        <w:t>fueron</w:t>
      </w:r>
      <w:r>
        <w:rPr>
          <w:color w:val="231F1F"/>
          <w:spacing w:val="27"/>
        </w:rPr>
        <w:t> </w:t>
      </w:r>
      <w:r>
        <w:rPr>
          <w:color w:val="231F1F"/>
        </w:rPr>
        <w:t>hechas</w:t>
      </w:r>
      <w:r>
        <w:rPr>
          <w:color w:val="231F1F"/>
          <w:spacing w:val="27"/>
        </w:rPr>
        <w:t> </w:t>
      </w:r>
      <w:r>
        <w:rPr>
          <w:color w:val="231F1F"/>
        </w:rPr>
        <w:t>en</w:t>
      </w:r>
      <w:r>
        <w:rPr>
          <w:color w:val="231F1F"/>
          <w:spacing w:val="27"/>
        </w:rPr>
        <w:t> </w:t>
      </w:r>
      <w:r>
        <w:rPr>
          <w:color w:val="231F1F"/>
        </w:rPr>
        <w:t>cobre,</w:t>
      </w:r>
      <w:r>
        <w:rPr>
          <w:color w:val="231F1F"/>
          <w:spacing w:val="27"/>
        </w:rPr>
        <w:t> </w:t>
      </w:r>
      <w:r>
        <w:rPr>
          <w:color w:val="231F1F"/>
          <w:spacing w:val="-9"/>
        </w:rPr>
        <w:t>y,</w:t>
      </w:r>
      <w:r>
        <w:rPr>
          <w:color w:val="231F1F"/>
          <w:spacing w:val="27"/>
        </w:rPr>
        <w:t> </w:t>
      </w:r>
      <w:r>
        <w:rPr>
          <w:color w:val="231F1F"/>
        </w:rPr>
        <w:t>como</w:t>
      </w:r>
      <w:r>
        <w:rPr>
          <w:color w:val="231F1F"/>
          <w:spacing w:val="27"/>
        </w:rPr>
        <w:t> </w:t>
      </w:r>
      <w:r>
        <w:rPr>
          <w:color w:val="231F1F"/>
        </w:rPr>
        <w:t>puede</w:t>
      </w:r>
      <w:r>
        <w:rPr>
          <w:color w:val="231F1F"/>
          <w:spacing w:val="27"/>
        </w:rPr>
        <w:t> </w:t>
      </w:r>
      <w:r>
        <w:rPr>
          <w:color w:val="231F1F"/>
        </w:rPr>
        <w:t>observarse,</w:t>
      </w:r>
      <w:r>
        <w:rPr>
          <w:color w:val="231F1F"/>
          <w:spacing w:val="27"/>
        </w:rPr>
        <w:t> </w:t>
      </w:r>
      <w:r>
        <w:rPr>
          <w:color w:val="231F1F"/>
        </w:rPr>
        <w:t>las</w:t>
      </w:r>
    </w:p>
    <w:p>
      <w:pPr>
        <w:spacing w:after="0" w:line="268" w:lineRule="auto"/>
        <w:jc w:val="both"/>
        <w:sectPr>
          <w:pgSz w:w="13100" w:h="17920"/>
          <w:pgMar w:top="1660" w:bottom="280" w:left="820" w:right="0"/>
        </w:sectPr>
      </w:pPr>
    </w:p>
    <w:p>
      <w:pPr>
        <w:pStyle w:val="BodyText"/>
        <w:rPr>
          <w:sz w:val="20"/>
        </w:rPr>
      </w:pPr>
    </w:p>
    <w:p>
      <w:pPr>
        <w:pStyle w:val="BodyText"/>
        <w:rPr>
          <w:sz w:val="20"/>
        </w:rPr>
      </w:pPr>
    </w:p>
    <w:p>
      <w:pPr>
        <w:pStyle w:val="BodyText"/>
        <w:spacing w:before="1" w:after="1"/>
        <w:rPr>
          <w:sz w:val="16"/>
        </w:rPr>
      </w:pPr>
    </w:p>
    <w:p>
      <w:pPr>
        <w:tabs>
          <w:tab w:pos="4787" w:val="left" w:leader="none"/>
        </w:tabs>
        <w:spacing w:line="240" w:lineRule="auto"/>
        <w:ind w:left="109" w:right="0" w:firstLine="0"/>
        <w:rPr>
          <w:sz w:val="20"/>
        </w:rPr>
      </w:pPr>
      <w:r>
        <w:rPr>
          <w:position w:val="15"/>
          <w:sz w:val="20"/>
        </w:rPr>
        <w:drawing>
          <wp:inline distT="0" distB="0" distL="0" distR="0">
            <wp:extent cx="2520320" cy="2482977"/>
            <wp:effectExtent l="0" t="0" r="0" b="0"/>
            <wp:docPr id="81" name="image38.png" descr=""/>
            <wp:cNvGraphicFramePr>
              <a:graphicFrameLocks noChangeAspect="1"/>
            </wp:cNvGraphicFramePr>
            <a:graphic>
              <a:graphicData uri="http://schemas.openxmlformats.org/drawingml/2006/picture">
                <pic:pic>
                  <pic:nvPicPr>
                    <pic:cNvPr id="82" name="image38.png"/>
                    <pic:cNvPicPr/>
                  </pic:nvPicPr>
                  <pic:blipFill>
                    <a:blip r:embed="rId43" cstate="print"/>
                    <a:stretch>
                      <a:fillRect/>
                    </a:stretch>
                  </pic:blipFill>
                  <pic:spPr>
                    <a:xfrm>
                      <a:off x="0" y="0"/>
                      <a:ext cx="2520320" cy="2482977"/>
                    </a:xfrm>
                    <a:prstGeom prst="rect">
                      <a:avLst/>
                    </a:prstGeom>
                  </pic:spPr>
                </pic:pic>
              </a:graphicData>
            </a:graphic>
          </wp:inline>
        </w:drawing>
      </w:r>
      <w:r>
        <w:rPr>
          <w:position w:val="15"/>
          <w:sz w:val="20"/>
        </w:rPr>
      </w:r>
      <w:r>
        <w:rPr>
          <w:position w:val="15"/>
          <w:sz w:val="20"/>
        </w:rPr>
        <w:tab/>
      </w:r>
      <w:r>
        <w:rPr>
          <w:sz w:val="20"/>
        </w:rPr>
        <w:drawing>
          <wp:inline distT="0" distB="0" distL="0" distR="0">
            <wp:extent cx="2608452" cy="2555081"/>
            <wp:effectExtent l="0" t="0" r="0" b="0"/>
            <wp:docPr id="83" name="image39.png" descr=""/>
            <wp:cNvGraphicFramePr>
              <a:graphicFrameLocks noChangeAspect="1"/>
            </wp:cNvGraphicFramePr>
            <a:graphic>
              <a:graphicData uri="http://schemas.openxmlformats.org/drawingml/2006/picture">
                <pic:pic>
                  <pic:nvPicPr>
                    <pic:cNvPr id="84" name="image39.png"/>
                    <pic:cNvPicPr/>
                  </pic:nvPicPr>
                  <pic:blipFill>
                    <a:blip r:embed="rId44" cstate="print"/>
                    <a:stretch>
                      <a:fillRect/>
                    </a:stretch>
                  </pic:blipFill>
                  <pic:spPr>
                    <a:xfrm>
                      <a:off x="0" y="0"/>
                      <a:ext cx="2608452" cy="2555081"/>
                    </a:xfrm>
                    <a:prstGeom prst="rect">
                      <a:avLst/>
                    </a:prstGeom>
                  </pic:spPr>
                </pic:pic>
              </a:graphicData>
            </a:graphic>
          </wp:inline>
        </w:drawing>
      </w:r>
      <w:r>
        <w:rPr>
          <w:sz w:val="20"/>
        </w:rPr>
      </w:r>
    </w:p>
    <w:p>
      <w:pPr>
        <w:pStyle w:val="BodyText"/>
        <w:spacing w:before="9"/>
      </w:pPr>
      <w:r>
        <w:rPr/>
        <w:pict>
          <v:shape style="position:absolute;margin-left:86.457199pt;margin-top:15.835pt;width:12.65pt;height:6.35pt;mso-position-horizontal-relative:page;mso-position-vertical-relative:paragraph;z-index:2992;mso-wrap-distance-left:0;mso-wrap-distance-right:0" coordorigin="1729,317" coordsize="253,127" path="m1855,317l1729,443,1981,443,1855,317xe" filled="true" fillcolor="#a8483d" stroked="false">
            <v:path arrowok="t"/>
            <v:fill type="solid"/>
            <w10:wrap type="topAndBottom"/>
          </v:shape>
        </w:pict>
      </w:r>
    </w:p>
    <w:p>
      <w:pPr>
        <w:pStyle w:val="ListParagraph"/>
        <w:numPr>
          <w:ilvl w:val="0"/>
          <w:numId w:val="2"/>
        </w:numPr>
        <w:tabs>
          <w:tab w:pos="356" w:val="left" w:leader="none"/>
        </w:tabs>
        <w:spacing w:line="240" w:lineRule="auto" w:before="87" w:after="0"/>
        <w:ind w:left="109" w:right="7124" w:firstLine="0"/>
        <w:jc w:val="left"/>
        <w:rPr>
          <w:sz w:val="16"/>
        </w:rPr>
      </w:pPr>
      <w:r>
        <w:rPr>
          <w:color w:val="383434"/>
          <w:sz w:val="16"/>
        </w:rPr>
        <w:t>Moneda cobre. Morelos– </w:t>
      </w:r>
      <w:r>
        <w:rPr>
          <w:color w:val="383434"/>
          <w:sz w:val="14"/>
        </w:rPr>
        <w:t>SUD</w:t>
      </w:r>
      <w:r>
        <w:rPr>
          <w:color w:val="383434"/>
          <w:sz w:val="16"/>
        </w:rPr>
        <w:t>. Anverso</w:t>
      </w:r>
      <w:r>
        <w:rPr>
          <w:color w:val="383434"/>
          <w:spacing w:val="-23"/>
          <w:sz w:val="16"/>
        </w:rPr>
        <w:t> </w:t>
      </w:r>
      <w:r>
        <w:rPr>
          <w:color w:val="383434"/>
          <w:sz w:val="16"/>
        </w:rPr>
        <w:t>y</w:t>
      </w:r>
      <w:r>
        <w:rPr>
          <w:color w:val="383434"/>
          <w:spacing w:val="-23"/>
          <w:sz w:val="16"/>
        </w:rPr>
        <w:t> </w:t>
      </w:r>
      <w:r>
        <w:rPr>
          <w:color w:val="383434"/>
          <w:sz w:val="16"/>
        </w:rPr>
        <w:t>reverso.</w:t>
      </w:r>
      <w:r>
        <w:rPr>
          <w:color w:val="383434"/>
          <w:spacing w:val="-23"/>
          <w:sz w:val="16"/>
        </w:rPr>
        <w:t> </w:t>
      </w:r>
      <w:r>
        <w:rPr>
          <w:color w:val="383434"/>
          <w:sz w:val="16"/>
        </w:rPr>
        <w:t>8</w:t>
      </w:r>
      <w:r>
        <w:rPr>
          <w:color w:val="383434"/>
          <w:spacing w:val="-23"/>
          <w:sz w:val="16"/>
        </w:rPr>
        <w:t> </w:t>
      </w:r>
      <w:r>
        <w:rPr>
          <w:color w:val="383434"/>
          <w:sz w:val="16"/>
        </w:rPr>
        <w:t>reales,</w:t>
      </w:r>
      <w:r>
        <w:rPr>
          <w:color w:val="383434"/>
          <w:spacing w:val="-23"/>
          <w:sz w:val="16"/>
        </w:rPr>
        <w:t> </w:t>
      </w:r>
      <w:r>
        <w:rPr>
          <w:color w:val="383434"/>
          <w:sz w:val="16"/>
        </w:rPr>
        <w:t>1812.</w:t>
      </w:r>
    </w:p>
    <w:p>
      <w:pPr>
        <w:pStyle w:val="BodyText"/>
        <w:spacing w:before="9"/>
        <w:rPr>
          <w:rFonts w:ascii="Tahoma"/>
          <w:sz w:val="12"/>
        </w:rPr>
      </w:pPr>
      <w:r>
        <w:rPr/>
        <w:pict>
          <v:line style="position:absolute;mso-position-horizontal-relative:page;mso-position-vertical-relative:paragraph;z-index:3016;mso-wrap-distance-left:0;mso-wrap-distance-right:0" from="86.456703pt,9.935644pt" to="205.511703pt,9.935644pt" stroked="true" strokeweight=".5pt" strokecolor="#a8483d">
            <w10:wrap type="topAndBottom"/>
          </v:line>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16"/>
        </w:rPr>
      </w:pPr>
      <w:r>
        <w:rPr/>
        <w:drawing>
          <wp:anchor distT="0" distB="0" distL="0" distR="0" allowOverlap="1" layoutInCell="1" locked="0" behindDoc="0" simplePos="0" relativeHeight="3040">
            <wp:simplePos x="0" y="0"/>
            <wp:positionH relativeFrom="page">
              <wp:posOffset>1103007</wp:posOffset>
            </wp:positionH>
            <wp:positionV relativeFrom="paragraph">
              <wp:posOffset>147727</wp:posOffset>
            </wp:positionV>
            <wp:extent cx="2609796" cy="2538507"/>
            <wp:effectExtent l="0" t="0" r="0" b="0"/>
            <wp:wrapTopAndBottom/>
            <wp:docPr id="85" name="image40.png" descr=""/>
            <wp:cNvGraphicFramePr>
              <a:graphicFrameLocks noChangeAspect="1"/>
            </wp:cNvGraphicFramePr>
            <a:graphic>
              <a:graphicData uri="http://schemas.openxmlformats.org/drawingml/2006/picture">
                <pic:pic>
                  <pic:nvPicPr>
                    <pic:cNvPr id="86" name="image40.png"/>
                    <pic:cNvPicPr/>
                  </pic:nvPicPr>
                  <pic:blipFill>
                    <a:blip r:embed="rId45" cstate="print"/>
                    <a:stretch>
                      <a:fillRect/>
                    </a:stretch>
                  </pic:blipFill>
                  <pic:spPr>
                    <a:xfrm>
                      <a:off x="0" y="0"/>
                      <a:ext cx="2609796" cy="2538507"/>
                    </a:xfrm>
                    <a:prstGeom prst="rect">
                      <a:avLst/>
                    </a:prstGeom>
                  </pic:spPr>
                </pic:pic>
              </a:graphicData>
            </a:graphic>
          </wp:anchor>
        </w:drawing>
      </w:r>
      <w:r>
        <w:rPr/>
        <w:drawing>
          <wp:anchor distT="0" distB="0" distL="0" distR="0" allowOverlap="1" layoutInCell="1" locked="0" behindDoc="0" simplePos="0" relativeHeight="3064">
            <wp:simplePos x="0" y="0"/>
            <wp:positionH relativeFrom="page">
              <wp:posOffset>4073728</wp:posOffset>
            </wp:positionH>
            <wp:positionV relativeFrom="paragraph">
              <wp:posOffset>175438</wp:posOffset>
            </wp:positionV>
            <wp:extent cx="2608430" cy="2510885"/>
            <wp:effectExtent l="0" t="0" r="0" b="0"/>
            <wp:wrapTopAndBottom/>
            <wp:docPr id="87" name="image41.png" descr=""/>
            <wp:cNvGraphicFramePr>
              <a:graphicFrameLocks noChangeAspect="1"/>
            </wp:cNvGraphicFramePr>
            <a:graphic>
              <a:graphicData uri="http://schemas.openxmlformats.org/drawingml/2006/picture">
                <pic:pic>
                  <pic:nvPicPr>
                    <pic:cNvPr id="88" name="image41.png"/>
                    <pic:cNvPicPr/>
                  </pic:nvPicPr>
                  <pic:blipFill>
                    <a:blip r:embed="rId46" cstate="print"/>
                    <a:stretch>
                      <a:fillRect/>
                    </a:stretch>
                  </pic:blipFill>
                  <pic:spPr>
                    <a:xfrm>
                      <a:off x="0" y="0"/>
                      <a:ext cx="2608430" cy="2510885"/>
                    </a:xfrm>
                    <a:prstGeom prst="rect">
                      <a:avLst/>
                    </a:prstGeom>
                  </pic:spPr>
                </pic:pic>
              </a:graphicData>
            </a:graphic>
          </wp:anchor>
        </w:drawing>
      </w:r>
      <w:r>
        <w:rPr/>
        <w:pict>
          <v:shape style="position:absolute;margin-left:86.457199pt;margin-top:229.006058pt;width:12.65pt;height:6.35pt;mso-position-horizontal-relative:page;mso-position-vertical-relative:paragraph;z-index:3088;mso-wrap-distance-left:0;mso-wrap-distance-right:0" coordorigin="1729,4580" coordsize="253,127" path="m1855,4580l1729,4706,1981,4706,1855,4580xe" filled="true" fillcolor="#a8483d" stroked="false">
            <v:path arrowok="t"/>
            <v:fill type="solid"/>
            <w10:wrap type="topAndBottom"/>
          </v:shape>
        </w:pict>
      </w:r>
    </w:p>
    <w:p>
      <w:pPr>
        <w:pStyle w:val="BodyText"/>
        <w:spacing w:before="4"/>
        <w:rPr>
          <w:rFonts w:ascii="Tahoma"/>
          <w:sz w:val="23"/>
        </w:rPr>
      </w:pPr>
    </w:p>
    <w:p>
      <w:pPr>
        <w:pStyle w:val="ListParagraph"/>
        <w:numPr>
          <w:ilvl w:val="0"/>
          <w:numId w:val="2"/>
        </w:numPr>
        <w:tabs>
          <w:tab w:pos="353" w:val="left" w:leader="none"/>
        </w:tabs>
        <w:spacing w:line="240" w:lineRule="auto" w:before="84" w:after="0"/>
        <w:ind w:left="109" w:right="7148" w:firstLine="0"/>
        <w:jc w:val="left"/>
        <w:rPr>
          <w:sz w:val="16"/>
        </w:rPr>
      </w:pPr>
      <w:r>
        <w:rPr>
          <w:color w:val="383434"/>
          <w:sz w:val="16"/>
        </w:rPr>
        <w:t>Moneda </w:t>
      </w:r>
      <w:r>
        <w:rPr>
          <w:color w:val="383434"/>
          <w:spacing w:val="-3"/>
          <w:sz w:val="16"/>
        </w:rPr>
        <w:t>cobre. </w:t>
      </w:r>
      <w:r>
        <w:rPr>
          <w:color w:val="383434"/>
          <w:sz w:val="16"/>
        </w:rPr>
        <w:t>Morelos– </w:t>
      </w:r>
      <w:r>
        <w:rPr>
          <w:color w:val="383434"/>
          <w:sz w:val="14"/>
        </w:rPr>
        <w:t>SUD</w:t>
      </w:r>
      <w:r>
        <w:rPr>
          <w:color w:val="383434"/>
          <w:sz w:val="16"/>
        </w:rPr>
        <w:t>. Anverso</w:t>
      </w:r>
      <w:r>
        <w:rPr>
          <w:color w:val="383434"/>
          <w:spacing w:val="-17"/>
          <w:sz w:val="16"/>
        </w:rPr>
        <w:t> </w:t>
      </w:r>
      <w:r>
        <w:rPr>
          <w:color w:val="383434"/>
          <w:sz w:val="16"/>
        </w:rPr>
        <w:t>y</w:t>
      </w:r>
      <w:r>
        <w:rPr>
          <w:color w:val="383434"/>
          <w:spacing w:val="-17"/>
          <w:sz w:val="16"/>
        </w:rPr>
        <w:t> </w:t>
      </w:r>
      <w:r>
        <w:rPr>
          <w:color w:val="383434"/>
          <w:sz w:val="16"/>
        </w:rPr>
        <w:t>reverso.</w:t>
      </w:r>
      <w:r>
        <w:rPr>
          <w:color w:val="383434"/>
          <w:spacing w:val="-17"/>
          <w:sz w:val="16"/>
        </w:rPr>
        <w:t> </w:t>
      </w:r>
      <w:r>
        <w:rPr>
          <w:color w:val="383434"/>
          <w:sz w:val="16"/>
        </w:rPr>
        <w:t>8</w:t>
      </w:r>
      <w:r>
        <w:rPr>
          <w:color w:val="383434"/>
          <w:spacing w:val="-17"/>
          <w:sz w:val="16"/>
        </w:rPr>
        <w:t> </w:t>
      </w:r>
      <w:r>
        <w:rPr>
          <w:color w:val="383434"/>
          <w:sz w:val="16"/>
        </w:rPr>
        <w:t>reales,</w:t>
      </w:r>
      <w:r>
        <w:rPr>
          <w:color w:val="383434"/>
          <w:spacing w:val="-17"/>
          <w:sz w:val="16"/>
        </w:rPr>
        <w:t> </w:t>
      </w:r>
      <w:r>
        <w:rPr>
          <w:color w:val="383434"/>
          <w:sz w:val="16"/>
        </w:rPr>
        <w:t>1813.</w:t>
      </w:r>
    </w:p>
    <w:p>
      <w:pPr>
        <w:pStyle w:val="BodyText"/>
        <w:spacing w:before="9"/>
        <w:rPr>
          <w:rFonts w:ascii="Tahoma"/>
          <w:sz w:val="12"/>
        </w:rPr>
      </w:pPr>
      <w:r>
        <w:rPr/>
        <w:pict>
          <v:line style="position:absolute;mso-position-horizontal-relative:page;mso-position-vertical-relative:paragraph;z-index:3112;mso-wrap-distance-left:0;mso-wrap-distance-right:0" from="86.456703pt,9.936659pt" to="205.511703pt,9.936659pt" stroked="true" strokeweight=".5pt" strokecolor="#a8483d">
            <w10:wrap type="topAndBottom"/>
          </v:line>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0"/>
        <w:rPr>
          <w:rFonts w:ascii="Tahoma"/>
          <w:sz w:val="21"/>
        </w:rPr>
      </w:pPr>
    </w:p>
    <w:p>
      <w:pPr>
        <w:spacing w:after="0"/>
        <w:rPr>
          <w:rFonts w:ascii="Tahoma"/>
          <w:sz w:val="21"/>
        </w:rPr>
        <w:sectPr>
          <w:pgSz w:w="13100" w:h="17920"/>
          <w:pgMar w:top="1700" w:bottom="280" w:left="1620" w:right="1860"/>
        </w:sectPr>
      </w:pPr>
    </w:p>
    <w:p>
      <w:pPr>
        <w:spacing w:line="194" w:lineRule="exact" w:before="79"/>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123</w:t>
      </w:r>
    </w:p>
    <w:p>
      <w:pPr>
        <w:spacing w:after="0"/>
        <w:jc w:val="left"/>
        <w:rPr>
          <w:sz w:val="18"/>
        </w:rPr>
        <w:sectPr>
          <w:type w:val="continuous"/>
          <w:pgSz w:w="13100" w:h="17920"/>
          <w:pgMar w:top="0" w:bottom="0" w:left="1620" w:right="1860"/>
          <w:cols w:num="2" w:equalWidth="0">
            <w:col w:w="8413" w:space="40"/>
            <w:col w:w="1167"/>
          </w:cols>
        </w:sectPr>
      </w:pPr>
    </w:p>
    <w:p>
      <w:pPr>
        <w:spacing w:before="33"/>
        <w:ind w:left="334" w:right="1725" w:firstLine="0"/>
        <w:jc w:val="left"/>
        <w:rPr>
          <w:rFonts w:ascii="Verdana"/>
          <w:b/>
          <w:sz w:val="18"/>
        </w:rPr>
      </w:pPr>
      <w:r>
        <w:rPr/>
        <w:drawing>
          <wp:anchor distT="0" distB="0" distL="0" distR="0" allowOverlap="1" layoutInCell="1" locked="0" behindDoc="0" simplePos="0" relativeHeight="3280">
            <wp:simplePos x="0" y="0"/>
            <wp:positionH relativeFrom="page">
              <wp:posOffset>589533</wp:posOffset>
            </wp:positionH>
            <wp:positionV relativeFrom="paragraph">
              <wp:posOffset>362576</wp:posOffset>
            </wp:positionV>
            <wp:extent cx="521441" cy="457200"/>
            <wp:effectExtent l="0" t="0" r="0" b="0"/>
            <wp:wrapNone/>
            <wp:docPr id="89" name="image24.png" descr=""/>
            <wp:cNvGraphicFramePr>
              <a:graphicFrameLocks noChangeAspect="1"/>
            </wp:cNvGraphicFramePr>
            <a:graphic>
              <a:graphicData uri="http://schemas.openxmlformats.org/drawingml/2006/picture">
                <pic:pic>
                  <pic:nvPicPr>
                    <pic:cNvPr id="90" name="image24.png"/>
                    <pic:cNvPicPr/>
                  </pic:nvPicPr>
                  <pic:blipFill>
                    <a:blip r:embed="rId29" cstate="print"/>
                    <a:stretch>
                      <a:fillRect/>
                    </a:stretch>
                  </pic:blipFill>
                  <pic:spPr>
                    <a:xfrm>
                      <a:off x="0" y="0"/>
                      <a:ext cx="521441" cy="457200"/>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1500619</wp:posOffset>
            </wp:positionH>
            <wp:positionV relativeFrom="paragraph">
              <wp:posOffset>604803</wp:posOffset>
            </wp:positionV>
            <wp:extent cx="2520862" cy="2536317"/>
            <wp:effectExtent l="0" t="0" r="0" b="0"/>
            <wp:wrapNone/>
            <wp:docPr id="91" name="image42.png" descr=""/>
            <wp:cNvGraphicFramePr>
              <a:graphicFrameLocks noChangeAspect="1"/>
            </wp:cNvGraphicFramePr>
            <a:graphic>
              <a:graphicData uri="http://schemas.openxmlformats.org/drawingml/2006/picture">
                <pic:pic>
                  <pic:nvPicPr>
                    <pic:cNvPr id="92" name="image42.png"/>
                    <pic:cNvPicPr/>
                  </pic:nvPicPr>
                  <pic:blipFill>
                    <a:blip r:embed="rId47" cstate="print"/>
                    <a:stretch>
                      <a:fillRect/>
                    </a:stretch>
                  </pic:blipFill>
                  <pic:spPr>
                    <a:xfrm>
                      <a:off x="0" y="0"/>
                      <a:ext cx="2520862" cy="2536317"/>
                    </a:xfrm>
                    <a:prstGeom prst="rect">
                      <a:avLst/>
                    </a:prstGeom>
                  </pic:spPr>
                </pic:pic>
              </a:graphicData>
            </a:graphic>
          </wp:anchor>
        </w:drawing>
      </w:r>
      <w:r>
        <w:rPr/>
        <w:drawing>
          <wp:anchor distT="0" distB="0" distL="0" distR="0" allowOverlap="1" layoutInCell="1" locked="0" behindDoc="0" simplePos="0" relativeHeight="3328">
            <wp:simplePos x="0" y="0"/>
            <wp:positionH relativeFrom="page">
              <wp:posOffset>4731423</wp:posOffset>
            </wp:positionH>
            <wp:positionV relativeFrom="paragraph">
              <wp:posOffset>610810</wp:posOffset>
            </wp:positionV>
            <wp:extent cx="2430303" cy="2476595"/>
            <wp:effectExtent l="0" t="0" r="0" b="0"/>
            <wp:wrapNone/>
            <wp:docPr id="93" name="image43.png" descr=""/>
            <wp:cNvGraphicFramePr>
              <a:graphicFrameLocks noChangeAspect="1"/>
            </wp:cNvGraphicFramePr>
            <a:graphic>
              <a:graphicData uri="http://schemas.openxmlformats.org/drawingml/2006/picture">
                <pic:pic>
                  <pic:nvPicPr>
                    <pic:cNvPr id="94" name="image43.png"/>
                    <pic:cNvPicPr/>
                  </pic:nvPicPr>
                  <pic:blipFill>
                    <a:blip r:embed="rId48" cstate="print"/>
                    <a:stretch>
                      <a:fillRect/>
                    </a:stretch>
                  </pic:blipFill>
                  <pic:spPr>
                    <a:xfrm>
                      <a:off x="0" y="0"/>
                      <a:ext cx="2430303" cy="2476595"/>
                    </a:xfrm>
                    <a:prstGeom prst="rect">
                      <a:avLst/>
                    </a:prstGeom>
                  </pic:spPr>
                </pic:pic>
              </a:graphicData>
            </a:graphic>
          </wp:anchor>
        </w:drawing>
      </w:r>
      <w:r>
        <w:rPr/>
        <w:pict>
          <v:shape style="position:absolute;margin-left:60.653416pt;margin-top:72.278336pt;width:11pt;height:76.350pt;mso-position-horizontal-relative:page;mso-position-vertical-relative:paragraph;z-index:335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b/>
          <w:color w:val="4F3628"/>
          <w:sz w:val="18"/>
        </w:rPr>
        <w:t>124</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1"/>
        </w:rPr>
      </w:pPr>
      <w:r>
        <w:rPr/>
        <w:pict>
          <v:shape style="position:absolute;margin-left:116.221001pt;margin-top:15.164268pt;width:12.65pt;height:6.35pt;mso-position-horizontal-relative:page;mso-position-vertical-relative:paragraph;z-index:3136;mso-wrap-distance-left:0;mso-wrap-distance-right:0" coordorigin="2324,303" coordsize="253,127" path="m2451,303l2324,429,2577,429,2451,303xe" filled="true" fillcolor="#a8483d" stroked="false">
            <v:path arrowok="t"/>
            <v:fill type="solid"/>
            <w10:wrap type="topAndBottom"/>
          </v:shape>
        </w:pict>
      </w:r>
    </w:p>
    <w:p>
      <w:pPr>
        <w:pStyle w:val="ListParagraph"/>
        <w:numPr>
          <w:ilvl w:val="0"/>
          <w:numId w:val="3"/>
        </w:numPr>
        <w:tabs>
          <w:tab w:pos="1748" w:val="left" w:leader="none"/>
        </w:tabs>
        <w:spacing w:line="240" w:lineRule="auto" w:before="86" w:after="0"/>
        <w:ind w:left="1504" w:right="8413" w:firstLine="0"/>
        <w:jc w:val="left"/>
        <w:rPr>
          <w:sz w:val="16"/>
        </w:rPr>
      </w:pPr>
      <w:r>
        <w:rPr>
          <w:color w:val="383434"/>
          <w:sz w:val="16"/>
        </w:rPr>
        <w:t>Moneda </w:t>
      </w:r>
      <w:r>
        <w:rPr>
          <w:color w:val="383434"/>
          <w:spacing w:val="-3"/>
          <w:sz w:val="16"/>
        </w:rPr>
        <w:t>cobre. </w:t>
      </w:r>
      <w:r>
        <w:rPr>
          <w:color w:val="383434"/>
          <w:sz w:val="16"/>
        </w:rPr>
        <w:t>Morelos– </w:t>
      </w:r>
      <w:r>
        <w:rPr>
          <w:color w:val="383434"/>
          <w:sz w:val="14"/>
        </w:rPr>
        <w:t>SUD</w:t>
      </w:r>
      <w:r>
        <w:rPr>
          <w:color w:val="383434"/>
          <w:sz w:val="16"/>
        </w:rPr>
        <w:t>. Anverso</w:t>
      </w:r>
      <w:r>
        <w:rPr>
          <w:color w:val="383434"/>
          <w:spacing w:val="-17"/>
          <w:sz w:val="16"/>
        </w:rPr>
        <w:t> </w:t>
      </w:r>
      <w:r>
        <w:rPr>
          <w:color w:val="383434"/>
          <w:sz w:val="16"/>
        </w:rPr>
        <w:t>y</w:t>
      </w:r>
      <w:r>
        <w:rPr>
          <w:color w:val="383434"/>
          <w:spacing w:val="-17"/>
          <w:sz w:val="16"/>
        </w:rPr>
        <w:t> </w:t>
      </w:r>
      <w:r>
        <w:rPr>
          <w:color w:val="383434"/>
          <w:sz w:val="16"/>
        </w:rPr>
        <w:t>reverso.</w:t>
      </w:r>
      <w:r>
        <w:rPr>
          <w:color w:val="383434"/>
          <w:spacing w:val="-17"/>
          <w:sz w:val="16"/>
        </w:rPr>
        <w:t> </w:t>
      </w:r>
      <w:r>
        <w:rPr>
          <w:color w:val="383434"/>
          <w:sz w:val="16"/>
        </w:rPr>
        <w:t>2</w:t>
      </w:r>
      <w:r>
        <w:rPr>
          <w:color w:val="383434"/>
          <w:spacing w:val="-17"/>
          <w:sz w:val="16"/>
        </w:rPr>
        <w:t> </w:t>
      </w:r>
      <w:r>
        <w:rPr>
          <w:color w:val="383434"/>
          <w:sz w:val="16"/>
        </w:rPr>
        <w:t>reales,</w:t>
      </w:r>
      <w:r>
        <w:rPr>
          <w:color w:val="383434"/>
          <w:spacing w:val="-17"/>
          <w:sz w:val="16"/>
        </w:rPr>
        <w:t> </w:t>
      </w:r>
      <w:r>
        <w:rPr>
          <w:color w:val="383434"/>
          <w:sz w:val="16"/>
        </w:rPr>
        <w:t>1811.</w:t>
      </w:r>
    </w:p>
    <w:p>
      <w:pPr>
        <w:pStyle w:val="BodyText"/>
        <w:spacing w:before="9"/>
        <w:rPr>
          <w:rFonts w:ascii="Tahoma"/>
          <w:sz w:val="12"/>
        </w:rPr>
      </w:pPr>
      <w:r>
        <w:rPr/>
        <w:pict>
          <v:line style="position:absolute;mso-position-horizontal-relative:page;mso-position-vertical-relative:paragraph;z-index:3160;mso-wrap-distance-left:0;mso-wrap-distance-right:0" from="116.220001pt,9.935629pt" to="235.275001pt,9.935629pt" stroked="true" strokeweight=".5pt" strokecolor="#a8483d">
            <w10:wrap type="topAndBottom"/>
          </v:line>
        </w:pict>
      </w:r>
    </w:p>
    <w:p>
      <w:pPr>
        <w:pStyle w:val="BodyText"/>
        <w:rPr>
          <w:rFonts w:ascii="Tahoma"/>
          <w:sz w:val="20"/>
        </w:rPr>
      </w:pPr>
    </w:p>
    <w:p>
      <w:pPr>
        <w:pStyle w:val="BodyText"/>
        <w:rPr>
          <w:rFonts w:ascii="Tahoma"/>
          <w:sz w:val="20"/>
        </w:rPr>
      </w:pPr>
    </w:p>
    <w:p>
      <w:pPr>
        <w:pStyle w:val="BodyText"/>
        <w:spacing w:before="9"/>
        <w:rPr>
          <w:rFonts w:ascii="Tahoma"/>
          <w:sz w:val="14"/>
        </w:rPr>
      </w:pPr>
      <w:r>
        <w:rPr/>
        <w:drawing>
          <wp:anchor distT="0" distB="0" distL="0" distR="0" allowOverlap="1" layoutInCell="1" locked="0" behindDoc="0" simplePos="0" relativeHeight="3184">
            <wp:simplePos x="0" y="0"/>
            <wp:positionH relativeFrom="page">
              <wp:posOffset>1476006</wp:posOffset>
            </wp:positionH>
            <wp:positionV relativeFrom="paragraph">
              <wp:posOffset>137964</wp:posOffset>
            </wp:positionV>
            <wp:extent cx="2520320" cy="2498979"/>
            <wp:effectExtent l="0" t="0" r="0" b="0"/>
            <wp:wrapTopAndBottom/>
            <wp:docPr id="95" name="image44.png" descr=""/>
            <wp:cNvGraphicFramePr>
              <a:graphicFrameLocks noChangeAspect="1"/>
            </wp:cNvGraphicFramePr>
            <a:graphic>
              <a:graphicData uri="http://schemas.openxmlformats.org/drawingml/2006/picture">
                <pic:pic>
                  <pic:nvPicPr>
                    <pic:cNvPr id="96" name="image44.png"/>
                    <pic:cNvPicPr/>
                  </pic:nvPicPr>
                  <pic:blipFill>
                    <a:blip r:embed="rId49" cstate="print"/>
                    <a:stretch>
                      <a:fillRect/>
                    </a:stretch>
                  </pic:blipFill>
                  <pic:spPr>
                    <a:xfrm>
                      <a:off x="0" y="0"/>
                      <a:ext cx="2520320" cy="2498979"/>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4704156</wp:posOffset>
            </wp:positionH>
            <wp:positionV relativeFrom="paragraph">
              <wp:posOffset>152265</wp:posOffset>
            </wp:positionV>
            <wp:extent cx="2516180" cy="2522982"/>
            <wp:effectExtent l="0" t="0" r="0" b="0"/>
            <wp:wrapTopAndBottom/>
            <wp:docPr id="97" name="image45.png" descr=""/>
            <wp:cNvGraphicFramePr>
              <a:graphicFrameLocks noChangeAspect="1"/>
            </wp:cNvGraphicFramePr>
            <a:graphic>
              <a:graphicData uri="http://schemas.openxmlformats.org/drawingml/2006/picture">
                <pic:pic>
                  <pic:nvPicPr>
                    <pic:cNvPr id="98" name="image45.png"/>
                    <pic:cNvPicPr/>
                  </pic:nvPicPr>
                  <pic:blipFill>
                    <a:blip r:embed="rId50" cstate="print"/>
                    <a:stretch>
                      <a:fillRect/>
                    </a:stretch>
                  </pic:blipFill>
                  <pic:spPr>
                    <a:xfrm>
                      <a:off x="0" y="0"/>
                      <a:ext cx="2516180" cy="2522982"/>
                    </a:xfrm>
                    <a:prstGeom prst="rect">
                      <a:avLst/>
                    </a:prstGeom>
                  </pic:spPr>
                </pic:pic>
              </a:graphicData>
            </a:graphic>
          </wp:anchor>
        </w:drawing>
      </w:r>
      <w:r>
        <w:rPr/>
        <w:pict>
          <v:shape style="position:absolute;margin-left:116.221001pt;margin-top:224.581375pt;width:12.65pt;height:6.35pt;mso-position-horizontal-relative:page;mso-position-vertical-relative:paragraph;z-index:3232;mso-wrap-distance-left:0;mso-wrap-distance-right:0" coordorigin="2324,4492" coordsize="253,127" path="m2451,4492l2324,4618,2577,4618,2451,4492xe" filled="true" fillcolor="#a8483d" stroked="false">
            <v:path arrowok="t"/>
            <v:fill type="solid"/>
            <w10:wrap type="topAndBottom"/>
          </v:shape>
        </w:pict>
      </w:r>
    </w:p>
    <w:p>
      <w:pPr>
        <w:pStyle w:val="BodyText"/>
        <w:spacing w:before="5"/>
        <w:rPr>
          <w:rFonts w:ascii="Tahoma"/>
          <w:sz w:val="17"/>
        </w:rPr>
      </w:pPr>
    </w:p>
    <w:p>
      <w:pPr>
        <w:pStyle w:val="ListParagraph"/>
        <w:numPr>
          <w:ilvl w:val="0"/>
          <w:numId w:val="3"/>
        </w:numPr>
        <w:tabs>
          <w:tab w:pos="1754" w:val="left" w:leader="none"/>
        </w:tabs>
        <w:spacing w:line="240" w:lineRule="auto" w:before="81" w:after="0"/>
        <w:ind w:left="1510" w:right="8407" w:firstLine="0"/>
        <w:jc w:val="left"/>
        <w:rPr>
          <w:sz w:val="16"/>
        </w:rPr>
      </w:pPr>
      <w:r>
        <w:rPr>
          <w:color w:val="383434"/>
          <w:sz w:val="16"/>
        </w:rPr>
        <w:t>Moneda </w:t>
      </w:r>
      <w:r>
        <w:rPr>
          <w:color w:val="383434"/>
          <w:spacing w:val="-3"/>
          <w:sz w:val="16"/>
        </w:rPr>
        <w:t>cobre. </w:t>
      </w:r>
      <w:r>
        <w:rPr>
          <w:color w:val="383434"/>
          <w:sz w:val="16"/>
        </w:rPr>
        <w:t>Morelos– </w:t>
      </w:r>
      <w:r>
        <w:rPr>
          <w:color w:val="383434"/>
          <w:sz w:val="14"/>
        </w:rPr>
        <w:t>SUD</w:t>
      </w:r>
      <w:r>
        <w:rPr>
          <w:color w:val="383434"/>
          <w:sz w:val="16"/>
        </w:rPr>
        <w:t>. Anverso</w:t>
      </w:r>
      <w:r>
        <w:rPr>
          <w:color w:val="383434"/>
          <w:spacing w:val="-17"/>
          <w:sz w:val="16"/>
        </w:rPr>
        <w:t> </w:t>
      </w:r>
      <w:r>
        <w:rPr>
          <w:color w:val="383434"/>
          <w:sz w:val="16"/>
        </w:rPr>
        <w:t>y</w:t>
      </w:r>
      <w:r>
        <w:rPr>
          <w:color w:val="383434"/>
          <w:spacing w:val="-17"/>
          <w:sz w:val="16"/>
        </w:rPr>
        <w:t> </w:t>
      </w:r>
      <w:r>
        <w:rPr>
          <w:color w:val="383434"/>
          <w:sz w:val="16"/>
        </w:rPr>
        <w:t>reverso.</w:t>
      </w:r>
      <w:r>
        <w:rPr>
          <w:color w:val="383434"/>
          <w:spacing w:val="-17"/>
          <w:sz w:val="16"/>
        </w:rPr>
        <w:t> </w:t>
      </w:r>
      <w:r>
        <w:rPr>
          <w:color w:val="383434"/>
          <w:sz w:val="16"/>
        </w:rPr>
        <w:t>2</w:t>
      </w:r>
      <w:r>
        <w:rPr>
          <w:color w:val="383434"/>
          <w:spacing w:val="-17"/>
          <w:sz w:val="16"/>
        </w:rPr>
        <w:t> </w:t>
      </w:r>
      <w:r>
        <w:rPr>
          <w:color w:val="383434"/>
          <w:sz w:val="16"/>
        </w:rPr>
        <w:t>reales,</w:t>
      </w:r>
      <w:r>
        <w:rPr>
          <w:color w:val="383434"/>
          <w:spacing w:val="-17"/>
          <w:sz w:val="16"/>
        </w:rPr>
        <w:t> </w:t>
      </w:r>
      <w:r>
        <w:rPr>
          <w:color w:val="383434"/>
          <w:sz w:val="16"/>
        </w:rPr>
        <w:t>1814.</w:t>
      </w:r>
    </w:p>
    <w:p>
      <w:pPr>
        <w:pStyle w:val="BodyText"/>
        <w:spacing w:before="9"/>
        <w:rPr>
          <w:rFonts w:ascii="Tahoma"/>
          <w:sz w:val="12"/>
        </w:rPr>
      </w:pPr>
      <w:r>
        <w:rPr/>
        <w:pict>
          <v:line style="position:absolute;mso-position-horizontal-relative:page;mso-position-vertical-relative:paragraph;z-index:3256;mso-wrap-distance-left:0;mso-wrap-distance-right:0" from="116.512001pt,9.936651pt" to="235.567001pt,9.936651pt" stroked="true" strokeweight=".5pt" strokecolor="#a8483d">
            <w10:wrap type="topAndBottom"/>
          </v:line>
        </w:pict>
      </w:r>
    </w:p>
    <w:p>
      <w:pPr>
        <w:spacing w:after="0"/>
        <w:rPr>
          <w:rFonts w:ascii="Tahoma"/>
          <w:sz w:val="12"/>
        </w:rPr>
        <w:sectPr>
          <w:pgSz w:w="13100" w:h="17920"/>
          <w:pgMar w:top="1660" w:bottom="280" w:left="820" w:right="0"/>
        </w:sectPr>
      </w:pPr>
    </w:p>
    <w:p>
      <w:pPr>
        <w:pStyle w:val="BodyText"/>
        <w:spacing w:line="268" w:lineRule="auto" w:before="41"/>
        <w:ind w:left="2335" w:right="459"/>
        <w:jc w:val="both"/>
      </w:pPr>
      <w:r>
        <w:rPr>
          <w:color w:val="231F1F"/>
        </w:rPr>
        <w:t>de denominación de </w:t>
      </w:r>
      <w:r>
        <w:rPr>
          <w:color w:val="231F1F"/>
          <w:sz w:val="20"/>
        </w:rPr>
        <w:t>8 </w:t>
      </w:r>
      <w:r>
        <w:rPr>
          <w:color w:val="231F1F"/>
        </w:rPr>
        <w:t>reales en metal cuproso ostentan, en los cuatro años,</w:t>
      </w:r>
      <w:r>
        <w:rPr>
          <w:color w:val="231F1F"/>
          <w:spacing w:val="-9"/>
        </w:rPr>
        <w:t> </w:t>
      </w:r>
      <w:r>
        <w:rPr>
          <w:color w:val="231F1F"/>
        </w:rPr>
        <w:t>el</w:t>
      </w:r>
      <w:r>
        <w:rPr>
          <w:color w:val="231F1F"/>
          <w:spacing w:val="-9"/>
        </w:rPr>
        <w:t> </w:t>
      </w:r>
      <w:r>
        <w:rPr>
          <w:color w:val="231F1F"/>
        </w:rPr>
        <w:t>mayor</w:t>
      </w:r>
      <w:r>
        <w:rPr>
          <w:color w:val="231F1F"/>
          <w:spacing w:val="-9"/>
        </w:rPr>
        <w:t> </w:t>
      </w:r>
      <w:r>
        <w:rPr>
          <w:color w:val="231F1F"/>
        </w:rPr>
        <w:t>número</w:t>
      </w:r>
      <w:r>
        <w:rPr>
          <w:color w:val="231F1F"/>
          <w:spacing w:val="-9"/>
        </w:rPr>
        <w:t> </w:t>
      </w:r>
      <w:r>
        <w:rPr>
          <w:color w:val="231F1F"/>
        </w:rPr>
        <w:t>de</w:t>
      </w:r>
      <w:r>
        <w:rPr>
          <w:color w:val="231F1F"/>
          <w:spacing w:val="-9"/>
        </w:rPr>
        <w:t> </w:t>
      </w:r>
      <w:r>
        <w:rPr>
          <w:color w:val="231F1F"/>
        </w:rPr>
        <w:t>variedades,</w:t>
      </w:r>
      <w:r>
        <w:rPr>
          <w:color w:val="231F1F"/>
          <w:spacing w:val="-9"/>
        </w:rPr>
        <w:t> </w:t>
      </w:r>
      <w:r>
        <w:rPr>
          <w:color w:val="231F1F"/>
        </w:rPr>
        <w:t>pista</w:t>
      </w:r>
      <w:r>
        <w:rPr>
          <w:color w:val="231F1F"/>
          <w:spacing w:val="-9"/>
        </w:rPr>
        <w:t> </w:t>
      </w:r>
      <w:r>
        <w:rPr>
          <w:color w:val="231F1F"/>
        </w:rPr>
        <w:t>indirecta</w:t>
      </w:r>
      <w:r>
        <w:rPr>
          <w:color w:val="231F1F"/>
          <w:spacing w:val="-9"/>
        </w:rPr>
        <w:t> </w:t>
      </w:r>
      <w:r>
        <w:rPr>
          <w:color w:val="231F1F"/>
        </w:rPr>
        <w:t>de</w:t>
      </w:r>
      <w:r>
        <w:rPr>
          <w:color w:val="231F1F"/>
          <w:spacing w:val="-9"/>
        </w:rPr>
        <w:t> </w:t>
      </w:r>
      <w:r>
        <w:rPr>
          <w:color w:val="231F1F"/>
        </w:rPr>
        <w:t>que</w:t>
      </w:r>
      <w:r>
        <w:rPr>
          <w:color w:val="231F1F"/>
          <w:spacing w:val="-9"/>
        </w:rPr>
        <w:t> </w:t>
      </w:r>
      <w:r>
        <w:rPr>
          <w:color w:val="231F1F"/>
        </w:rPr>
        <w:t>éstas</w:t>
      </w:r>
      <w:r>
        <w:rPr>
          <w:color w:val="231F1F"/>
          <w:spacing w:val="-9"/>
        </w:rPr>
        <w:t> </w:t>
      </w:r>
      <w:r>
        <w:rPr>
          <w:color w:val="231F1F"/>
        </w:rPr>
        <w:t>fueron, quizás, las más numerosas. Incluso, hoy sólo se conocen ejemplares de </w:t>
      </w:r>
      <w:r>
        <w:rPr>
          <w:color w:val="231F1F"/>
          <w:sz w:val="20"/>
        </w:rPr>
        <w:t>8 </w:t>
      </w:r>
      <w:r>
        <w:rPr>
          <w:color w:val="231F1F"/>
        </w:rPr>
        <w:t>reales en cobre como las emitidas en el real de Huautla. Las monedas de oro, plata y cobre de </w:t>
      </w:r>
      <w:r>
        <w:rPr>
          <w:color w:val="231F1F"/>
          <w:sz w:val="20"/>
        </w:rPr>
        <w:t>8 </w:t>
      </w:r>
      <w:r>
        <w:rPr>
          <w:color w:val="231F1F"/>
        </w:rPr>
        <w:t>reales pueden considerarse como acuñaciones “aristocráticas” en el sentido que les asignó Ruggiero Romano. Como lo han hecho notar los autores de este catálogo, no hay emisiones de</w:t>
      </w:r>
      <w:r>
        <w:rPr>
          <w:color w:val="231F1F"/>
          <w:spacing w:val="-21"/>
        </w:rPr>
        <w:t> </w:t>
      </w:r>
      <w:r>
        <w:rPr>
          <w:color w:val="231F1F"/>
        </w:rPr>
        <w:t>mone- da en </w:t>
      </w:r>
      <w:r>
        <w:rPr>
          <w:color w:val="231F1F"/>
          <w:sz w:val="20"/>
        </w:rPr>
        <w:t>4  </w:t>
      </w:r>
      <w:r>
        <w:rPr>
          <w:color w:val="231F1F"/>
        </w:rPr>
        <w:t>reales en cualquier año, metal o variedad. Entre </w:t>
      </w:r>
      <w:r>
        <w:rPr>
          <w:color w:val="231F1F"/>
          <w:sz w:val="20"/>
        </w:rPr>
        <w:t>1812  </w:t>
      </w:r>
      <w:r>
        <w:rPr>
          <w:color w:val="231F1F"/>
        </w:rPr>
        <w:t>y </w:t>
      </w:r>
      <w:r>
        <w:rPr>
          <w:color w:val="231F1F"/>
          <w:sz w:val="20"/>
        </w:rPr>
        <w:t>1813</w:t>
      </w:r>
      <w:r>
        <w:rPr>
          <w:color w:val="231F1F"/>
        </w:rPr>
        <w:t>,    las monedas de </w:t>
      </w:r>
      <w:r>
        <w:rPr>
          <w:color w:val="231F1F"/>
          <w:sz w:val="20"/>
        </w:rPr>
        <w:t>2 </w:t>
      </w:r>
      <w:r>
        <w:rPr>
          <w:color w:val="231F1F"/>
        </w:rPr>
        <w:t>reales son las que siguen en número de variedad. Sólo en </w:t>
      </w:r>
      <w:r>
        <w:rPr>
          <w:color w:val="231F1F"/>
          <w:sz w:val="20"/>
        </w:rPr>
        <w:t>1812  </w:t>
      </w:r>
      <w:r>
        <w:rPr>
          <w:color w:val="231F1F"/>
        </w:rPr>
        <w:t>hay una rara emisión de moneda de cobre de </w:t>
      </w:r>
      <w:r>
        <w:rPr>
          <w:color w:val="231F1F"/>
          <w:sz w:val="20"/>
        </w:rPr>
        <w:t>1  </w:t>
      </w:r>
      <w:r>
        <w:rPr>
          <w:color w:val="231F1F"/>
        </w:rPr>
        <w:t>real. </w:t>
      </w:r>
      <w:r>
        <w:rPr>
          <w:color w:val="231F1F"/>
          <w:spacing w:val="-4"/>
        </w:rPr>
        <w:t>También </w:t>
      </w:r>
      <w:r>
        <w:rPr>
          <w:color w:val="231F1F"/>
          <w:spacing w:val="41"/>
        </w:rPr>
        <w:t> </w:t>
      </w:r>
      <w:r>
        <w:rPr>
          <w:color w:val="231F1F"/>
        </w:rPr>
        <w:t>en los años de </w:t>
      </w:r>
      <w:r>
        <w:rPr>
          <w:color w:val="231F1F"/>
          <w:sz w:val="20"/>
        </w:rPr>
        <w:t>1812  </w:t>
      </w:r>
      <w:r>
        <w:rPr>
          <w:color w:val="231F1F"/>
        </w:rPr>
        <w:t>y </w:t>
      </w:r>
      <w:r>
        <w:rPr>
          <w:color w:val="231F1F"/>
          <w:sz w:val="20"/>
        </w:rPr>
        <w:t>1813  </w:t>
      </w:r>
      <w:r>
        <w:rPr>
          <w:color w:val="231F1F"/>
        </w:rPr>
        <w:t>hay dos emisiones de monedas cuprosas      de </w:t>
      </w:r>
      <w:r>
        <w:rPr>
          <w:color w:val="231F1F"/>
          <w:w w:val="110"/>
        </w:rPr>
        <w:t>½ </w:t>
      </w:r>
      <w:r>
        <w:rPr>
          <w:color w:val="231F1F"/>
        </w:rPr>
        <w:t>real, con dos variedades en cada uno. De ello se infiere que estas acuñaciones de bajo valor fueron batidas en menor proporción que las denominaciones “aristocráticas”. </w:t>
      </w:r>
      <w:r>
        <w:rPr>
          <w:color w:val="231F1F"/>
          <w:spacing w:val="-4"/>
        </w:rPr>
        <w:t>Todo </w:t>
      </w:r>
      <w:r>
        <w:rPr>
          <w:color w:val="231F1F"/>
        </w:rPr>
        <w:t>esto hace suponer, a nivel de hipótesis, que el comportamiento de las emisiones de Morelos no estuvo tan alejado de las otras emisiones tanto insurgentes como realistas. Es </w:t>
      </w:r>
      <w:r>
        <w:rPr>
          <w:color w:val="231F1F"/>
          <w:spacing w:val="-4"/>
        </w:rPr>
        <w:t>decir,  </w:t>
      </w:r>
      <w:r>
        <w:rPr>
          <w:color w:val="231F1F"/>
        </w:rPr>
        <w:t>que la política monetaria del cura de Carácuaro obedecería más      a</w:t>
      </w:r>
      <w:r>
        <w:rPr>
          <w:color w:val="231F1F"/>
          <w:spacing w:val="-10"/>
        </w:rPr>
        <w:t> </w:t>
      </w:r>
      <w:r>
        <w:rPr>
          <w:color w:val="231F1F"/>
        </w:rPr>
        <w:t>una</w:t>
      </w:r>
      <w:r>
        <w:rPr>
          <w:color w:val="231F1F"/>
          <w:spacing w:val="-10"/>
        </w:rPr>
        <w:t> </w:t>
      </w:r>
      <w:r>
        <w:rPr>
          <w:color w:val="231F1F"/>
        </w:rPr>
        <w:t>respuesta</w:t>
      </w:r>
      <w:r>
        <w:rPr>
          <w:color w:val="231F1F"/>
          <w:spacing w:val="-10"/>
        </w:rPr>
        <w:t> </w:t>
      </w:r>
      <w:r>
        <w:rPr>
          <w:color w:val="231F1F"/>
        </w:rPr>
        <w:t>estructural</w:t>
      </w:r>
      <w:r>
        <w:rPr>
          <w:color w:val="231F1F"/>
          <w:spacing w:val="-10"/>
        </w:rPr>
        <w:t> </w:t>
      </w:r>
      <w:r>
        <w:rPr>
          <w:color w:val="231F1F"/>
        </w:rPr>
        <w:t>que</w:t>
      </w:r>
      <w:r>
        <w:rPr>
          <w:color w:val="231F1F"/>
          <w:spacing w:val="-10"/>
        </w:rPr>
        <w:t> </w:t>
      </w:r>
      <w:r>
        <w:rPr>
          <w:color w:val="231F1F"/>
        </w:rPr>
        <w:t>coyuntural.</w:t>
      </w:r>
    </w:p>
    <w:p>
      <w:pPr>
        <w:pStyle w:val="BodyText"/>
        <w:spacing w:before="9"/>
        <w:rPr>
          <w:sz w:val="27"/>
        </w:rPr>
      </w:pPr>
    </w:p>
    <w:p>
      <w:pPr>
        <w:pStyle w:val="BodyText"/>
        <w:spacing w:line="268" w:lineRule="auto"/>
        <w:ind w:left="2335" w:right="456"/>
        <w:jc w:val="both"/>
      </w:pPr>
      <w:r>
        <w:rPr>
          <w:color w:val="231F1F"/>
        </w:rPr>
        <w:t>En resumen, la política comercial y monetaria insurgente, como podrá inferirse de los casos vistos en las zonas donde operaban el Caudillo del Sur</w:t>
      </w:r>
      <w:r>
        <w:rPr>
          <w:color w:val="231F1F"/>
          <w:spacing w:val="-10"/>
        </w:rPr>
        <w:t> </w:t>
      </w:r>
      <w:r>
        <w:rPr>
          <w:color w:val="231F1F"/>
        </w:rPr>
        <w:t>o</w:t>
      </w:r>
      <w:r>
        <w:rPr>
          <w:color w:val="231F1F"/>
          <w:spacing w:val="-10"/>
        </w:rPr>
        <w:t> </w:t>
      </w:r>
      <w:r>
        <w:rPr>
          <w:color w:val="231F1F"/>
        </w:rPr>
        <w:t>la</w:t>
      </w:r>
      <w:r>
        <w:rPr>
          <w:color w:val="231F1F"/>
          <w:spacing w:val="-10"/>
        </w:rPr>
        <w:t> </w:t>
      </w:r>
      <w:r>
        <w:rPr>
          <w:color w:val="231F1F"/>
        </w:rPr>
        <w:t>Suprema</w:t>
      </w:r>
      <w:r>
        <w:rPr>
          <w:color w:val="231F1F"/>
          <w:spacing w:val="-10"/>
        </w:rPr>
        <w:t> </w:t>
      </w:r>
      <w:r>
        <w:rPr>
          <w:color w:val="231F1F"/>
        </w:rPr>
        <w:t>Junta,</w:t>
      </w:r>
      <w:r>
        <w:rPr>
          <w:color w:val="231F1F"/>
          <w:spacing w:val="-10"/>
        </w:rPr>
        <w:t> </w:t>
      </w:r>
      <w:r>
        <w:rPr>
          <w:color w:val="231F1F"/>
        </w:rPr>
        <w:t>había</w:t>
      </w:r>
      <w:r>
        <w:rPr>
          <w:color w:val="231F1F"/>
          <w:spacing w:val="-10"/>
        </w:rPr>
        <w:t> </w:t>
      </w:r>
      <w:r>
        <w:rPr>
          <w:color w:val="231F1F"/>
        </w:rPr>
        <w:t>provocado</w:t>
      </w:r>
      <w:r>
        <w:rPr>
          <w:color w:val="231F1F"/>
          <w:spacing w:val="-10"/>
        </w:rPr>
        <w:t> </w:t>
      </w:r>
      <w:r>
        <w:rPr>
          <w:color w:val="231F1F"/>
        </w:rPr>
        <w:t>tres</w:t>
      </w:r>
      <w:r>
        <w:rPr>
          <w:color w:val="231F1F"/>
          <w:spacing w:val="-10"/>
        </w:rPr>
        <w:t> </w:t>
      </w:r>
      <w:r>
        <w:rPr>
          <w:color w:val="231F1F"/>
        </w:rPr>
        <w:t>efectos</w:t>
      </w:r>
      <w:r>
        <w:rPr>
          <w:color w:val="231F1F"/>
          <w:spacing w:val="-10"/>
        </w:rPr>
        <w:t> </w:t>
      </w:r>
      <w:r>
        <w:rPr>
          <w:color w:val="231F1F"/>
        </w:rPr>
        <w:t>tanto</w:t>
      </w:r>
      <w:r>
        <w:rPr>
          <w:color w:val="231F1F"/>
          <w:spacing w:val="-10"/>
        </w:rPr>
        <w:t> </w:t>
      </w:r>
      <w:r>
        <w:rPr>
          <w:color w:val="231F1F"/>
        </w:rPr>
        <w:t>positivos</w:t>
      </w:r>
      <w:r>
        <w:rPr>
          <w:color w:val="231F1F"/>
          <w:spacing w:val="-10"/>
        </w:rPr>
        <w:t> </w:t>
      </w:r>
      <w:r>
        <w:rPr>
          <w:color w:val="231F1F"/>
        </w:rPr>
        <w:t>como negativos: el primero, una sequía interna de circulante realista, suplida con nuevo cuño insurgente que reactivó de inmediato las operaciones   de comercio local; el segundo, una crisis de confianza ante el circulante insurgente, pues la falsificación e introducción masiva del mismo causó una nueva paralización del comercio interno dado que la moneda de cobre no era bien aceptada en comparación obvia con la moneda de plata. Finalmente, el tercero fue el desplazamiento de la moneda real en esos territorios subversivos como el signo de intercambio por excelencia. Asunto de suma gravedad política para el gobierno realista porque signi- ficaba que se estaba construyendo ya un estado adverso en sus propias entrañas. Por ello son muy significativas las palabras que dirigió Morelos  a José María Liceaga el </w:t>
      </w:r>
      <w:r>
        <w:rPr>
          <w:color w:val="231F1F"/>
          <w:sz w:val="20"/>
        </w:rPr>
        <w:t>29  </w:t>
      </w:r>
      <w:r>
        <w:rPr>
          <w:color w:val="231F1F"/>
        </w:rPr>
        <w:t>de abril de </w:t>
      </w:r>
      <w:r>
        <w:rPr>
          <w:color w:val="231F1F"/>
          <w:sz w:val="20"/>
        </w:rPr>
        <w:t>1814</w:t>
      </w:r>
      <w:r>
        <w:rPr>
          <w:color w:val="231F1F"/>
        </w:rPr>
        <w:t>, al solicitarle que buscase,    por todos los medios a su alcance, abolir “bustos y monedas de los es- pañoles” en los territorios bajo su mando en la zona del Bajío. Para el ya experimentado Morelos éste era el camino correcto para la construcción de la nueva nación mexicana. De lo contrario, el peligro era inminente, pues se podía perder para siempre la posibilidad de exterminar el do- minio de España y lograr la tan anhelada libertad mexicana. Al final, advertía que de no continuar con la política monetaria experimentada,   la insurgencia se condenaría a vivir en un mundo eremítico y ascético. Éste</w:t>
      </w:r>
      <w:r>
        <w:rPr>
          <w:color w:val="231F1F"/>
          <w:spacing w:val="33"/>
        </w:rPr>
        <w:t> </w:t>
      </w:r>
      <w:r>
        <w:rPr>
          <w:color w:val="231F1F"/>
        </w:rPr>
        <w:t>era</w:t>
      </w:r>
      <w:r>
        <w:rPr>
          <w:color w:val="231F1F"/>
          <w:spacing w:val="33"/>
        </w:rPr>
        <w:t> </w:t>
      </w:r>
      <w:r>
        <w:rPr>
          <w:color w:val="231F1F"/>
        </w:rPr>
        <w:t>el</w:t>
      </w:r>
      <w:r>
        <w:rPr>
          <w:color w:val="231F1F"/>
          <w:spacing w:val="33"/>
        </w:rPr>
        <w:t> </w:t>
      </w:r>
      <w:r>
        <w:rPr>
          <w:color w:val="231F1F"/>
        </w:rPr>
        <w:t>estado</w:t>
      </w:r>
      <w:r>
        <w:rPr>
          <w:color w:val="231F1F"/>
          <w:spacing w:val="33"/>
        </w:rPr>
        <w:t> </w:t>
      </w:r>
      <w:r>
        <w:rPr>
          <w:color w:val="231F1F"/>
        </w:rPr>
        <w:t>que</w:t>
      </w:r>
      <w:r>
        <w:rPr>
          <w:color w:val="231F1F"/>
          <w:spacing w:val="33"/>
        </w:rPr>
        <w:t> </w:t>
      </w:r>
      <w:r>
        <w:rPr>
          <w:color w:val="231F1F"/>
        </w:rPr>
        <w:t>guardaba</w:t>
      </w:r>
      <w:r>
        <w:rPr>
          <w:color w:val="231F1F"/>
          <w:spacing w:val="33"/>
        </w:rPr>
        <w:t> </w:t>
      </w:r>
      <w:r>
        <w:rPr>
          <w:color w:val="231F1F"/>
        </w:rPr>
        <w:t>la</w:t>
      </w:r>
      <w:r>
        <w:rPr>
          <w:color w:val="231F1F"/>
          <w:spacing w:val="33"/>
        </w:rPr>
        <w:t> </w:t>
      </w:r>
      <w:r>
        <w:rPr>
          <w:color w:val="231F1F"/>
        </w:rPr>
        <w:t>política</w:t>
      </w:r>
      <w:r>
        <w:rPr>
          <w:color w:val="231F1F"/>
          <w:spacing w:val="33"/>
        </w:rPr>
        <w:t> </w:t>
      </w:r>
      <w:r>
        <w:rPr>
          <w:color w:val="231F1F"/>
        </w:rPr>
        <w:t>económica</w:t>
      </w:r>
      <w:r>
        <w:rPr>
          <w:color w:val="231F1F"/>
          <w:spacing w:val="33"/>
        </w:rPr>
        <w:t> </w:t>
      </w:r>
      <w:r>
        <w:rPr>
          <w:color w:val="231F1F"/>
        </w:rPr>
        <w:t>y</w:t>
      </w:r>
      <w:r>
        <w:rPr>
          <w:color w:val="231F1F"/>
          <w:spacing w:val="33"/>
        </w:rPr>
        <w:t> </w:t>
      </w:r>
      <w:r>
        <w:rPr>
          <w:color w:val="231F1F"/>
        </w:rPr>
        <w:t>monetaria</w:t>
      </w:r>
      <w:r>
        <w:rPr>
          <w:color w:val="231F1F"/>
          <w:spacing w:val="33"/>
        </w:rPr>
        <w:t> </w:t>
      </w:r>
      <w:r>
        <w:rPr>
          <w:color w:val="231F1F"/>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after="0"/>
        <w:rPr>
          <w:sz w:val="29"/>
        </w:rPr>
        <w:sectPr>
          <w:pgSz w:w="13100" w:h="17920"/>
          <w:pgMar w:top="1660" w:bottom="280" w:left="186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125</w:t>
      </w:r>
    </w:p>
    <w:p>
      <w:pPr>
        <w:spacing w:after="0"/>
        <w:jc w:val="left"/>
        <w:rPr>
          <w:sz w:val="18"/>
        </w:rPr>
        <w:sectPr>
          <w:type w:val="continuous"/>
          <w:pgSz w:w="13100" w:h="17920"/>
          <w:pgMar w:top="0" w:bottom="0" w:left="1860" w:right="1860"/>
          <w:cols w:num="2" w:equalWidth="0">
            <w:col w:w="8173" w:space="40"/>
            <w:col w:w="1167"/>
          </w:cols>
        </w:sectPr>
      </w:pPr>
    </w:p>
    <w:p>
      <w:pPr>
        <w:pStyle w:val="BodyText"/>
        <w:tabs>
          <w:tab w:pos="1504" w:val="left" w:leader="none"/>
        </w:tabs>
        <w:spacing w:line="268" w:lineRule="auto" w:before="32"/>
        <w:ind w:left="1504" w:right="4106" w:hanging="1170"/>
        <w:jc w:val="both"/>
      </w:pPr>
      <w:r>
        <w:rPr/>
        <w:drawing>
          <wp:anchor distT="0" distB="0" distL="0" distR="0" allowOverlap="1" layoutInCell="1" locked="0" behindDoc="1" simplePos="0" relativeHeight="268362167">
            <wp:simplePos x="0" y="0"/>
            <wp:positionH relativeFrom="page">
              <wp:posOffset>589533</wp:posOffset>
            </wp:positionH>
            <wp:positionV relativeFrom="paragraph">
              <wp:posOffset>362817</wp:posOffset>
            </wp:positionV>
            <wp:extent cx="522296" cy="457949"/>
            <wp:effectExtent l="0" t="0" r="0" b="0"/>
            <wp:wrapNone/>
            <wp:docPr id="99" name="image24.png" descr=""/>
            <wp:cNvGraphicFramePr>
              <a:graphicFrameLocks noChangeAspect="1"/>
            </wp:cNvGraphicFramePr>
            <a:graphic>
              <a:graphicData uri="http://schemas.openxmlformats.org/drawingml/2006/picture">
                <pic:pic>
                  <pic:nvPicPr>
                    <pic:cNvPr id="100" name="image24.png"/>
                    <pic:cNvPicPr/>
                  </pic:nvPicPr>
                  <pic:blipFill>
                    <a:blip r:embed="rId29" cstate="print"/>
                    <a:stretch>
                      <a:fillRect/>
                    </a:stretch>
                  </pic:blipFill>
                  <pic:spPr>
                    <a:xfrm>
                      <a:off x="0" y="0"/>
                      <a:ext cx="522296" cy="457949"/>
                    </a:xfrm>
                    <a:prstGeom prst="rect">
                      <a:avLst/>
                    </a:prstGeom>
                  </pic:spPr>
                </pic:pic>
              </a:graphicData>
            </a:graphic>
          </wp:anchor>
        </w:drawing>
      </w:r>
      <w:r>
        <w:rPr>
          <w:rFonts w:ascii="Verdana" w:hAnsi="Verdana"/>
          <w:b/>
          <w:color w:val="4F3628"/>
          <w:position w:val="8"/>
          <w:sz w:val="18"/>
        </w:rPr>
        <w:t>126</w:t>
        <w:tab/>
      </w:r>
      <w:r>
        <w:rPr>
          <w:color w:val="231F1F"/>
        </w:rPr>
        <w:t>la</w:t>
      </w:r>
      <w:r>
        <w:rPr>
          <w:color w:val="231F1F"/>
          <w:spacing w:val="27"/>
        </w:rPr>
        <w:t> </w:t>
      </w:r>
      <w:r>
        <w:rPr>
          <w:color w:val="231F1F"/>
        </w:rPr>
        <w:t>dirigencia</w:t>
      </w:r>
      <w:r>
        <w:rPr>
          <w:color w:val="231F1F"/>
          <w:spacing w:val="27"/>
        </w:rPr>
        <w:t> </w:t>
      </w:r>
      <w:r>
        <w:rPr>
          <w:color w:val="231F1F"/>
        </w:rPr>
        <w:t>insurgente</w:t>
      </w:r>
      <w:r>
        <w:rPr>
          <w:color w:val="231F1F"/>
          <w:spacing w:val="27"/>
        </w:rPr>
        <w:t> </w:t>
      </w:r>
      <w:r>
        <w:rPr>
          <w:color w:val="231F1F"/>
        </w:rPr>
        <w:t>y</w:t>
      </w:r>
      <w:r>
        <w:rPr>
          <w:color w:val="231F1F"/>
          <w:spacing w:val="27"/>
        </w:rPr>
        <w:t> </w:t>
      </w:r>
      <w:r>
        <w:rPr>
          <w:color w:val="231F1F"/>
        </w:rPr>
        <w:t>los</w:t>
      </w:r>
      <w:r>
        <w:rPr>
          <w:color w:val="231F1F"/>
          <w:spacing w:val="27"/>
        </w:rPr>
        <w:t> </w:t>
      </w:r>
      <w:r>
        <w:rPr>
          <w:color w:val="231F1F"/>
        </w:rPr>
        <w:t>pueblos</w:t>
      </w:r>
      <w:r>
        <w:rPr>
          <w:color w:val="231F1F"/>
          <w:spacing w:val="27"/>
        </w:rPr>
        <w:t> </w:t>
      </w:r>
      <w:r>
        <w:rPr>
          <w:color w:val="231F1F"/>
        </w:rPr>
        <w:t>novohispanos,</w:t>
      </w:r>
      <w:r>
        <w:rPr>
          <w:color w:val="231F1F"/>
          <w:spacing w:val="27"/>
        </w:rPr>
        <w:t> </w:t>
      </w:r>
      <w:r>
        <w:rPr>
          <w:color w:val="231F1F"/>
        </w:rPr>
        <w:t>antes</w:t>
      </w:r>
      <w:r>
        <w:rPr>
          <w:color w:val="231F1F"/>
          <w:spacing w:val="27"/>
        </w:rPr>
        <w:t> </w:t>
      </w:r>
      <w:r>
        <w:rPr>
          <w:color w:val="231F1F"/>
        </w:rPr>
        <w:t>de</w:t>
      </w:r>
      <w:r>
        <w:rPr>
          <w:color w:val="231F1F"/>
          <w:spacing w:val="27"/>
        </w:rPr>
        <w:t> </w:t>
      </w:r>
      <w:r>
        <w:rPr>
          <w:color w:val="231F1F"/>
        </w:rPr>
        <w:t>la</w:t>
      </w:r>
      <w:r>
        <w:rPr>
          <w:color w:val="231F1F"/>
          <w:spacing w:val="27"/>
        </w:rPr>
        <w:t> </w:t>
      </w:r>
      <w:r>
        <w:rPr>
          <w:color w:val="231F1F"/>
        </w:rPr>
        <w:t>derrota</w:t>
      </w:r>
      <w:r>
        <w:rPr>
          <w:color w:val="231F1F"/>
          <w:spacing w:val="1"/>
          <w:w w:val="96"/>
        </w:rPr>
        <w:t> </w:t>
      </w:r>
      <w:r>
        <w:rPr>
          <w:color w:val="231F1F"/>
        </w:rPr>
        <w:t>del Generalísimo a finales de </w:t>
      </w:r>
      <w:r>
        <w:rPr>
          <w:color w:val="231F1F"/>
          <w:sz w:val="20"/>
        </w:rPr>
        <w:t>1815</w:t>
      </w:r>
      <w:r>
        <w:rPr>
          <w:color w:val="231F1F"/>
        </w:rPr>
        <w:t>. La cita textual de este importante documento</w:t>
      </w:r>
      <w:r>
        <w:rPr>
          <w:color w:val="231F1F"/>
          <w:spacing w:val="32"/>
        </w:rPr>
        <w:t> </w:t>
      </w:r>
      <w:r>
        <w:rPr>
          <w:color w:val="231F1F"/>
        </w:rPr>
        <w:t>dice:</w:t>
      </w:r>
    </w:p>
    <w:p>
      <w:pPr>
        <w:pStyle w:val="BodyText"/>
        <w:spacing w:before="8"/>
        <w:rPr>
          <w:sz w:val="27"/>
        </w:rPr>
      </w:pPr>
    </w:p>
    <w:p>
      <w:pPr>
        <w:spacing w:line="276" w:lineRule="auto" w:before="1"/>
        <w:ind w:left="2638" w:right="4106" w:firstLine="0"/>
        <w:jc w:val="both"/>
        <w:rPr>
          <w:sz w:val="20"/>
        </w:rPr>
      </w:pPr>
      <w:r>
        <w:rPr/>
        <w:pict>
          <v:shape style="position:absolute;margin-left:60.653416pt;margin-top:6.212456pt;width:11pt;height:76.350pt;mso-position-horizontal-relative:page;mso-position-vertical-relative:paragraph;z-index:3400"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color w:val="383434"/>
          <w:sz w:val="20"/>
        </w:rPr>
        <w:t>En asunto a monedas, soy de parecer que nada se puede inventar   ni prometer en plata, hasta no tenerla de bulto y con la seguridad conveniente; </w:t>
      </w:r>
      <w:r>
        <w:rPr>
          <w:color w:val="383434"/>
          <w:spacing w:val="-8"/>
          <w:sz w:val="20"/>
        </w:rPr>
        <w:t>y, </w:t>
      </w:r>
      <w:r>
        <w:rPr>
          <w:color w:val="383434"/>
          <w:sz w:val="20"/>
        </w:rPr>
        <w:t>entretanto, no pueden cesar los reales de cobre, si no es que los demos en papel o en baqueta, como en los Estados Unidos, pero que no pase su valor de un peso cada uno, porque entonces sí resultaría gravada la Nación en céntuplos millones. Y que nada hemos hecho, si no abolimos los bustos y monedas de los españoles, </w:t>
      </w:r>
      <w:r>
        <w:rPr>
          <w:color w:val="383434"/>
          <w:spacing w:val="-3"/>
          <w:sz w:val="20"/>
        </w:rPr>
        <w:t>porque </w:t>
      </w:r>
      <w:r>
        <w:rPr>
          <w:color w:val="383434"/>
          <w:sz w:val="20"/>
        </w:rPr>
        <w:t>esta Nación, acostumbrada a </w:t>
      </w:r>
      <w:r>
        <w:rPr>
          <w:color w:val="383434"/>
          <w:spacing w:val="-4"/>
          <w:sz w:val="20"/>
        </w:rPr>
        <w:t>obedecer, </w:t>
      </w:r>
      <w:r>
        <w:rPr>
          <w:color w:val="383434"/>
          <w:sz w:val="20"/>
        </w:rPr>
        <w:t>siempre [se] quita el sombrero a[nte] los escudos y retratos de España, por más prohibición que se le hagan. Y estimarán en más una moneda de cobre con el busto de Fernando que una de plata con el sello    de la América. Persigamos, pues, a ese maldito dinero de cordón, porque su numerario son otros tantos soldados que nos hacen la guerra. No ande entre nosotros otro numerario que el inventado por nosotros  mismos,  sea  en  oro,  plata,  cobre,  baqueta,  papel o madera, y entonces seremos dueños de nuestra libertad. Y por ahora, o se continúan los reales [de cobre] o nos sepultamos en  una  Tebaida  (Lemoine,  </w:t>
      </w:r>
      <w:r>
        <w:rPr>
          <w:color w:val="383434"/>
          <w:sz w:val="18"/>
        </w:rPr>
        <w:t>1991:  </w:t>
      </w:r>
      <w:r>
        <w:rPr>
          <w:color w:val="383434"/>
          <w:spacing w:val="9"/>
          <w:sz w:val="18"/>
        </w:rPr>
        <w:t> </w:t>
      </w:r>
      <w:r>
        <w:rPr>
          <w:color w:val="383434"/>
          <w:sz w:val="18"/>
        </w:rPr>
        <w:t>469</w:t>
      </w:r>
      <w:r>
        <w:rPr>
          <w:color w:val="383434"/>
          <w:sz w:val="20"/>
        </w:rPr>
        <w:t>).</w:t>
      </w:r>
    </w:p>
    <w:p>
      <w:pPr>
        <w:pStyle w:val="BodyText"/>
        <w:spacing w:before="10"/>
        <w:rPr>
          <w:sz w:val="27"/>
        </w:rPr>
      </w:pPr>
    </w:p>
    <w:p>
      <w:pPr>
        <w:pStyle w:val="BodyText"/>
        <w:spacing w:line="268" w:lineRule="auto"/>
        <w:ind w:left="1504" w:right="4101"/>
        <w:jc w:val="both"/>
      </w:pPr>
      <w:r>
        <w:rPr>
          <w:color w:val="231F1F"/>
        </w:rPr>
        <w:t>Por último, hay que recordar que en el bando realista también se tomaron medidas semejantes a las de los insurgentes. Por ello, el virrey Calleja emitió una orden el </w:t>
      </w:r>
      <w:r>
        <w:rPr>
          <w:color w:val="231F1F"/>
          <w:sz w:val="20"/>
        </w:rPr>
        <w:t>23 </w:t>
      </w:r>
      <w:r>
        <w:rPr>
          <w:color w:val="231F1F"/>
        </w:rPr>
        <w:t>de agosto de </w:t>
      </w:r>
      <w:r>
        <w:rPr>
          <w:color w:val="231F1F"/>
          <w:sz w:val="20"/>
        </w:rPr>
        <w:t>1814 </w:t>
      </w:r>
      <w:r>
        <w:rPr>
          <w:color w:val="231F1F"/>
        </w:rPr>
        <w:t>determinando que todos los tlacos y pilones, emitidos por particulares, serían considerados a partir de esa fecha como ilegales. Para sustituirlos ordenó la acuñación de monedas de cobre de muy bajas denominaciones: </w:t>
      </w:r>
      <w:r>
        <w:rPr>
          <w:color w:val="231F1F"/>
          <w:sz w:val="20"/>
        </w:rPr>
        <w:t>2 </w:t>
      </w:r>
      <w:r>
        <w:rPr>
          <w:color w:val="231F1F"/>
        </w:rPr>
        <w:t>cuartos equivalente a una </w:t>
      </w:r>
      <w:r>
        <w:rPr>
          <w:color w:val="231F1F"/>
          <w:position w:val="1"/>
        </w:rPr>
        <w:t>cuartilla de real, </w:t>
      </w:r>
      <w:r>
        <w:rPr>
          <w:color w:val="231F1F"/>
          <w:position w:val="1"/>
          <w:sz w:val="20"/>
        </w:rPr>
        <w:t>1 </w:t>
      </w:r>
      <w:r>
        <w:rPr>
          <w:color w:val="231F1F"/>
          <w:position w:val="1"/>
        </w:rPr>
        <w:t>cuarto equivalente a un “tlaco”, y </w:t>
      </w:r>
      <w:r>
        <w:rPr>
          <w:color w:val="231F1F"/>
          <w:spacing w:val="-10"/>
          <w:w w:val="110"/>
          <w:position w:val="8"/>
          <w:sz w:val="13"/>
        </w:rPr>
        <w:t>1</w:t>
      </w:r>
      <w:r>
        <w:rPr>
          <w:color w:val="231F1F"/>
          <w:spacing w:val="-10"/>
          <w:w w:val="110"/>
          <w:position w:val="1"/>
          <w:sz w:val="16"/>
        </w:rPr>
        <w:t>/</w:t>
      </w:r>
      <w:r>
        <w:rPr>
          <w:color w:val="231F1F"/>
          <w:spacing w:val="-10"/>
          <w:w w:val="110"/>
          <w:sz w:val="15"/>
        </w:rPr>
        <w:t>8 </w:t>
      </w:r>
      <w:r>
        <w:rPr>
          <w:color w:val="231F1F"/>
          <w:position w:val="1"/>
        </w:rPr>
        <w:t>equivalente a un </w:t>
      </w:r>
      <w:r>
        <w:rPr>
          <w:color w:val="231F1F"/>
        </w:rPr>
        <w:t>“pilón”. Dos puntos destacan en esta importante disposición: el primero aborda la primera emisión oficial de monedas realmente menudas, es </w:t>
      </w:r>
      <w:r>
        <w:rPr>
          <w:color w:val="231F1F"/>
          <w:spacing w:val="-3"/>
        </w:rPr>
        <w:t>decir, </w:t>
      </w:r>
      <w:r>
        <w:rPr>
          <w:color w:val="231F1F"/>
        </w:rPr>
        <w:t>permitían el intercambio de muchos productos, antes sólo posible vía los signos monetarios o el trueque. El segundo, al sustituir los antiguos tlacos y pilones se inicia en vías de una “modernización” monetaria en la economía de Nueva España (Romano, </w:t>
      </w:r>
      <w:r>
        <w:rPr>
          <w:color w:val="231F1F"/>
          <w:sz w:val="20"/>
        </w:rPr>
        <w:t>1998: 140</w:t>
      </w:r>
      <w:r>
        <w:rPr>
          <w:color w:val="231F1F"/>
        </w:rPr>
        <w:t>). Sin duda, las autori- dades virreinales emitieron este precepto porque comprobaron la utilidad de las emisiones en cobre por parte de los insurgentes, y en particular     las </w:t>
      </w:r>
      <w:r>
        <w:rPr>
          <w:color w:val="231F1F"/>
          <w:sz w:val="18"/>
        </w:rPr>
        <w:t>SUD </w:t>
      </w:r>
      <w:r>
        <w:rPr>
          <w:color w:val="231F1F"/>
        </w:rPr>
        <w:t>de Morelos, al facilitar las operaciones de intercambio al menu- deo. Aunque estas medidas tanto insurgentes como realistas se hicieron en tiempos de guerra, ya estaban resolviendo a su manera el problema estructural de la economía novohispana. Es verdad que habrían de pasar algunos</w:t>
      </w:r>
      <w:r>
        <w:rPr>
          <w:color w:val="231F1F"/>
          <w:spacing w:val="28"/>
        </w:rPr>
        <w:t> </w:t>
      </w:r>
      <w:r>
        <w:rPr>
          <w:color w:val="231F1F"/>
        </w:rPr>
        <w:t>años</w:t>
      </w:r>
      <w:r>
        <w:rPr>
          <w:color w:val="231F1F"/>
          <w:spacing w:val="28"/>
        </w:rPr>
        <w:t> </w:t>
      </w:r>
      <w:r>
        <w:rPr>
          <w:color w:val="231F1F"/>
        </w:rPr>
        <w:t>del</w:t>
      </w:r>
      <w:r>
        <w:rPr>
          <w:color w:val="231F1F"/>
          <w:spacing w:val="28"/>
        </w:rPr>
        <w:t> </w:t>
      </w:r>
      <w:r>
        <w:rPr>
          <w:color w:val="231F1F"/>
        </w:rPr>
        <w:t>México</w:t>
      </w:r>
      <w:r>
        <w:rPr>
          <w:color w:val="231F1F"/>
          <w:spacing w:val="28"/>
        </w:rPr>
        <w:t> </w:t>
      </w:r>
      <w:r>
        <w:rPr>
          <w:color w:val="231F1F"/>
        </w:rPr>
        <w:t>Independiente</w:t>
      </w:r>
      <w:r>
        <w:rPr>
          <w:color w:val="231F1F"/>
          <w:spacing w:val="28"/>
        </w:rPr>
        <w:t> </w:t>
      </w:r>
      <w:r>
        <w:rPr>
          <w:color w:val="231F1F"/>
        </w:rPr>
        <w:t>para</w:t>
      </w:r>
      <w:r>
        <w:rPr>
          <w:color w:val="231F1F"/>
          <w:spacing w:val="28"/>
        </w:rPr>
        <w:t> </w:t>
      </w:r>
      <w:r>
        <w:rPr>
          <w:color w:val="231F1F"/>
        </w:rPr>
        <w:t>observar</w:t>
      </w:r>
      <w:r>
        <w:rPr>
          <w:color w:val="231F1F"/>
          <w:spacing w:val="28"/>
        </w:rPr>
        <w:t> </w:t>
      </w:r>
      <w:r>
        <w:rPr>
          <w:color w:val="231F1F"/>
        </w:rPr>
        <w:t>que</w:t>
      </w:r>
      <w:r>
        <w:rPr>
          <w:color w:val="231F1F"/>
          <w:spacing w:val="28"/>
        </w:rPr>
        <w:t> </w:t>
      </w:r>
      <w:r>
        <w:rPr>
          <w:color w:val="231F1F"/>
        </w:rPr>
        <w:t>la</w:t>
      </w:r>
      <w:r>
        <w:rPr>
          <w:color w:val="231F1F"/>
          <w:spacing w:val="28"/>
        </w:rPr>
        <w:t> </w:t>
      </w:r>
      <w:r>
        <w:rPr>
          <w:color w:val="231F1F"/>
        </w:rPr>
        <w:t>acuñación</w:t>
      </w:r>
    </w:p>
    <w:p>
      <w:pPr>
        <w:spacing w:after="0" w:line="268" w:lineRule="auto"/>
        <w:jc w:val="both"/>
        <w:sectPr>
          <w:pgSz w:w="13100" w:h="17920"/>
          <w:pgMar w:top="1660" w:bottom="280" w:left="820" w:right="0"/>
        </w:sectPr>
      </w:pPr>
    </w:p>
    <w:p>
      <w:pPr>
        <w:pStyle w:val="BodyText"/>
        <w:spacing w:line="268" w:lineRule="auto" w:before="46"/>
        <w:ind w:left="124" w:right="475"/>
        <w:jc w:val="both"/>
      </w:pPr>
      <w:r>
        <w:rPr>
          <w:color w:val="231F1F"/>
        </w:rPr>
        <w:t>oficial de las monedas de cobre mostró, de forma plena, una función y utilidad estructural en la economía  nacional  hasta  tiempos  recientes  (Velázquez,  </w:t>
      </w:r>
      <w:r>
        <w:rPr>
          <w:color w:val="231F1F"/>
          <w:sz w:val="20"/>
        </w:rPr>
        <w:t>2012:  18-61</w:t>
      </w:r>
      <w:r>
        <w:rPr>
          <w:color w:val="231F1F"/>
        </w:rPr>
        <w:t>).</w:t>
      </w:r>
    </w:p>
    <w:p>
      <w:pPr>
        <w:pStyle w:val="BodyText"/>
      </w:pPr>
    </w:p>
    <w:p>
      <w:pPr>
        <w:pStyle w:val="BodyText"/>
        <w:spacing w:before="184"/>
        <w:ind w:left="124"/>
        <w:jc w:val="both"/>
        <w:rPr>
          <w:sz w:val="18"/>
        </w:rPr>
      </w:pPr>
      <w:r>
        <w:rPr>
          <w:color w:val="231F1F"/>
          <w:w w:val="110"/>
        </w:rPr>
        <w:t>Develando el enigma de las siglas  </w:t>
      </w:r>
      <w:r>
        <w:rPr>
          <w:color w:val="231F1F"/>
          <w:w w:val="110"/>
          <w:sz w:val="18"/>
        </w:rPr>
        <w:t>*T*C*</w:t>
      </w:r>
    </w:p>
    <w:p>
      <w:pPr>
        <w:pStyle w:val="BodyText"/>
      </w:pPr>
    </w:p>
    <w:p>
      <w:pPr>
        <w:pStyle w:val="BodyText"/>
        <w:rPr>
          <w:sz w:val="27"/>
        </w:rPr>
      </w:pPr>
    </w:p>
    <w:p>
      <w:pPr>
        <w:pStyle w:val="BodyText"/>
        <w:spacing w:line="268" w:lineRule="auto"/>
        <w:ind w:left="124" w:right="475"/>
        <w:jc w:val="both"/>
      </w:pPr>
      <w:r>
        <w:rPr>
          <w:color w:val="231F1F"/>
        </w:rPr>
        <w:t>Hoy día subsiste un debate histórico y numismático acerca del significado de las siglas </w:t>
      </w:r>
      <w:r>
        <w:rPr>
          <w:color w:val="231F1F"/>
          <w:sz w:val="18"/>
        </w:rPr>
        <w:t>*T*C* </w:t>
      </w:r>
      <w:r>
        <w:rPr>
          <w:color w:val="231F1F"/>
        </w:rPr>
        <w:t>en el reverso de cierto tipo de monedas </w:t>
      </w:r>
      <w:r>
        <w:rPr>
          <w:color w:val="231F1F"/>
          <w:sz w:val="18"/>
        </w:rPr>
        <w:t>SUD</w:t>
      </w:r>
      <w:r>
        <w:rPr>
          <w:color w:val="231F1F"/>
        </w:rPr>
        <w:t>. Hay quienes le han dado el significado de “Tierra Caliente”, otros de </w:t>
      </w:r>
      <w:r>
        <w:rPr>
          <w:color w:val="231F1F"/>
          <w:spacing w:val="-3"/>
        </w:rPr>
        <w:t>“Torres </w:t>
      </w:r>
      <w:r>
        <w:rPr>
          <w:color w:val="231F1F"/>
        </w:rPr>
        <w:t>de Cuautla”, </w:t>
      </w:r>
      <w:r>
        <w:rPr>
          <w:color w:val="231F1F"/>
          <w:spacing w:val="-9"/>
        </w:rPr>
        <w:t>y, </w:t>
      </w:r>
      <w:r>
        <w:rPr>
          <w:color w:val="231F1F"/>
        </w:rPr>
        <w:t>recientemente, hay consenso de que pueda tratarse de las iniciales de “Tlacotepec” (Véase a detalle este debate  en  la  colaboración  de  Luis  Gómez-Wulschner  en este libro, en el inciso </w:t>
      </w:r>
      <w:r>
        <w:rPr>
          <w:color w:val="231F1F"/>
          <w:sz w:val="20"/>
        </w:rPr>
        <w:t>4</w:t>
      </w:r>
      <w:r>
        <w:rPr>
          <w:color w:val="231F1F"/>
        </w:rPr>
        <w:t>). No obstante, quiero aportar una nueva propuesta de lectura a un debate iniciado en </w:t>
      </w:r>
      <w:r>
        <w:rPr>
          <w:color w:val="231F1F"/>
          <w:sz w:val="20"/>
        </w:rPr>
        <w:t>1886  </w:t>
      </w:r>
      <w:r>
        <w:rPr>
          <w:color w:val="231F1F"/>
        </w:rPr>
        <w:t>por el numismático norteamericano Lyman Haynes </w:t>
      </w:r>
      <w:r>
        <w:rPr>
          <w:color w:val="231F1F"/>
          <w:spacing w:val="-3"/>
        </w:rPr>
        <w:t>Low,  </w:t>
      </w:r>
      <w:r>
        <w:rPr>
          <w:color w:val="231F1F"/>
        </w:rPr>
        <w:t>y ratificado en México   por Haynes y Nicolás León en </w:t>
      </w:r>
      <w:r>
        <w:rPr>
          <w:color w:val="231F1F"/>
          <w:sz w:val="20"/>
        </w:rPr>
        <w:t>1897 </w:t>
      </w:r>
      <w:r>
        <w:rPr>
          <w:color w:val="231F1F"/>
        </w:rPr>
        <w:t>(Haynes  y  León,  </w:t>
      </w:r>
      <w:r>
        <w:rPr>
          <w:color w:val="231F1F"/>
          <w:sz w:val="20"/>
        </w:rPr>
        <w:t>2010</w:t>
      </w:r>
      <w:r>
        <w:rPr>
          <w:color w:val="231F1F"/>
        </w:rPr>
        <w:t>).  En  primer  </w:t>
      </w:r>
      <w:r>
        <w:rPr>
          <w:color w:val="231F1F"/>
          <w:spacing w:val="-3"/>
        </w:rPr>
        <w:t>lugar,  </w:t>
      </w:r>
      <w:r>
        <w:rPr>
          <w:color w:val="231F1F"/>
        </w:rPr>
        <w:t>considero  que  se  trata de siglas y no de abreviaturas porque los asteriscos o estrellitas las separan perfectamente. En segundo </w:t>
      </w:r>
      <w:r>
        <w:rPr>
          <w:color w:val="231F1F"/>
          <w:spacing w:val="-3"/>
        </w:rPr>
        <w:t>lugar,  </w:t>
      </w:r>
      <w:r>
        <w:rPr>
          <w:color w:val="231F1F"/>
        </w:rPr>
        <w:t>propongo que se trata de las siglas de la ceca insurgente que replicarían a las de        la ceca real. </w:t>
      </w:r>
      <w:r>
        <w:rPr>
          <w:color w:val="231F1F"/>
          <w:spacing w:val="-11"/>
        </w:rPr>
        <w:t>Y,  </w:t>
      </w:r>
      <w:r>
        <w:rPr>
          <w:color w:val="231F1F"/>
        </w:rPr>
        <w:t>en tercer </w:t>
      </w:r>
      <w:r>
        <w:rPr>
          <w:color w:val="231F1F"/>
          <w:spacing w:val="-3"/>
        </w:rPr>
        <w:t>lugar,  </w:t>
      </w:r>
      <w:r>
        <w:rPr>
          <w:color w:val="231F1F"/>
        </w:rPr>
        <w:t>es en el propio bando de Morelos del </w:t>
      </w:r>
      <w:r>
        <w:rPr>
          <w:color w:val="231F1F"/>
          <w:sz w:val="20"/>
        </w:rPr>
        <w:t>13  </w:t>
      </w:r>
      <w:r>
        <w:rPr>
          <w:color w:val="231F1F"/>
        </w:rPr>
        <w:t>de julio de </w:t>
      </w:r>
      <w:r>
        <w:rPr>
          <w:color w:val="231F1F"/>
          <w:sz w:val="20"/>
        </w:rPr>
        <w:t>1811  </w:t>
      </w:r>
      <w:r>
        <w:rPr>
          <w:color w:val="231F1F"/>
        </w:rPr>
        <w:t>donde    está la primera clave. Se trata de las siglas de la “Tesorería de la Capital”, pues como puede ob- servarse en el documento ésta es la entidad encargada de “sellar” o acuñar las monedas de cobre </w:t>
      </w:r>
      <w:r>
        <w:rPr>
          <w:color w:val="231F1F"/>
          <w:sz w:val="18"/>
        </w:rPr>
        <w:t>SUD</w:t>
      </w:r>
      <w:r>
        <w:rPr>
          <w:color w:val="231F1F"/>
        </w:rPr>
        <w:t>. Esta Tesorería de la Capital tuvo su primera sede en la flamante ciudad de Nuestra Señora         de  Guadalupe,  en  la  recién  erigida  “Provincia  de</w:t>
      </w:r>
      <w:r>
        <w:rPr>
          <w:color w:val="231F1F"/>
          <w:spacing w:val="-10"/>
        </w:rPr>
        <w:t> </w:t>
      </w:r>
      <w:r>
        <w:rPr>
          <w:color w:val="231F1F"/>
        </w:rPr>
        <w:t>Tecpan”.</w:t>
      </w:r>
    </w:p>
    <w:p>
      <w:pPr>
        <w:pStyle w:val="BodyText"/>
        <w:spacing w:before="9"/>
        <w:rPr>
          <w:sz w:val="27"/>
        </w:rPr>
      </w:pPr>
    </w:p>
    <w:p>
      <w:pPr>
        <w:pStyle w:val="BodyText"/>
        <w:spacing w:line="268" w:lineRule="auto"/>
        <w:ind w:left="124" w:right="468"/>
        <w:jc w:val="both"/>
      </w:pPr>
      <w:r>
        <w:rPr>
          <w:color w:val="231F1F"/>
        </w:rPr>
        <w:t>Desde el punto de vista práctico, lo que Morelos intentó con estas siglas fue respaldar la legitimidad de la emisión monetaria en cobre, a través de idear una institución de carácter fiscal y transitoria: la Tesorería de la Capital insurgente. Desde el punto de vista iconográfico, las siglas </w:t>
      </w:r>
      <w:r>
        <w:rPr>
          <w:color w:val="231F1F"/>
          <w:sz w:val="18"/>
        </w:rPr>
        <w:t>*T*C* </w:t>
      </w:r>
      <w:r>
        <w:rPr>
          <w:color w:val="231F1F"/>
        </w:rPr>
        <w:t>no fueron</w:t>
      </w: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3424">
            <wp:simplePos x="0" y="0"/>
            <wp:positionH relativeFrom="page">
              <wp:posOffset>1108786</wp:posOffset>
            </wp:positionH>
            <wp:positionV relativeFrom="paragraph">
              <wp:posOffset>135909</wp:posOffset>
            </wp:positionV>
            <wp:extent cx="2340057" cy="2310574"/>
            <wp:effectExtent l="0" t="0" r="0" b="0"/>
            <wp:wrapTopAndBottom/>
            <wp:docPr id="101" name="image46.png" descr=""/>
            <wp:cNvGraphicFramePr>
              <a:graphicFrameLocks noChangeAspect="1"/>
            </wp:cNvGraphicFramePr>
            <a:graphic>
              <a:graphicData uri="http://schemas.openxmlformats.org/drawingml/2006/picture">
                <pic:pic>
                  <pic:nvPicPr>
                    <pic:cNvPr id="102" name="image46.png"/>
                    <pic:cNvPicPr/>
                  </pic:nvPicPr>
                  <pic:blipFill>
                    <a:blip r:embed="rId51" cstate="print"/>
                    <a:stretch>
                      <a:fillRect/>
                    </a:stretch>
                  </pic:blipFill>
                  <pic:spPr>
                    <a:xfrm>
                      <a:off x="0" y="0"/>
                      <a:ext cx="2340057" cy="2310574"/>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4235284</wp:posOffset>
            </wp:positionH>
            <wp:positionV relativeFrom="paragraph">
              <wp:posOffset>135909</wp:posOffset>
            </wp:positionV>
            <wp:extent cx="2432414" cy="2381440"/>
            <wp:effectExtent l="0" t="0" r="0" b="0"/>
            <wp:wrapTopAndBottom/>
            <wp:docPr id="103" name="image47.png" descr=""/>
            <wp:cNvGraphicFramePr>
              <a:graphicFrameLocks noChangeAspect="1"/>
            </wp:cNvGraphicFramePr>
            <a:graphic>
              <a:graphicData uri="http://schemas.openxmlformats.org/drawingml/2006/picture">
                <pic:pic>
                  <pic:nvPicPr>
                    <pic:cNvPr id="104" name="image47.png"/>
                    <pic:cNvPicPr/>
                  </pic:nvPicPr>
                  <pic:blipFill>
                    <a:blip r:embed="rId52" cstate="print"/>
                    <a:stretch>
                      <a:fillRect/>
                    </a:stretch>
                  </pic:blipFill>
                  <pic:spPr>
                    <a:xfrm>
                      <a:off x="0" y="0"/>
                      <a:ext cx="2432414" cy="2381440"/>
                    </a:xfrm>
                    <a:prstGeom prst="rect">
                      <a:avLst/>
                    </a:prstGeom>
                  </pic:spPr>
                </pic:pic>
              </a:graphicData>
            </a:graphic>
          </wp:anchor>
        </w:drawing>
      </w:r>
      <w:r>
        <w:rPr/>
        <w:pict>
          <v:shape style="position:absolute;margin-left:86.457199pt;margin-top:209.268524pt;width:12.65pt;height:6.35pt;mso-position-horizontal-relative:page;mso-position-vertical-relative:paragraph;z-index:3472;mso-wrap-distance-left:0;mso-wrap-distance-right:0" coordorigin="1729,4185" coordsize="253,127" path="m1855,4185l1729,4312,1981,4312,1855,4185xe" filled="true" fillcolor="#a8483d" stroked="false">
            <v:path arrowok="t"/>
            <v:fill type="solid"/>
            <w10:wrap type="topAndBottom"/>
          </v:shape>
        </w:pict>
      </w:r>
    </w:p>
    <w:p>
      <w:pPr>
        <w:pStyle w:val="BodyText"/>
        <w:spacing w:before="6"/>
        <w:rPr>
          <w:sz w:val="12"/>
        </w:rPr>
      </w:pPr>
    </w:p>
    <w:p>
      <w:pPr>
        <w:pStyle w:val="ListParagraph"/>
        <w:numPr>
          <w:ilvl w:val="0"/>
          <w:numId w:val="3"/>
        </w:numPr>
        <w:tabs>
          <w:tab w:pos="359" w:val="left" w:leader="none"/>
        </w:tabs>
        <w:spacing w:line="240" w:lineRule="auto" w:before="87" w:after="0"/>
        <w:ind w:left="109" w:right="7099" w:firstLine="0"/>
        <w:jc w:val="left"/>
        <w:rPr>
          <w:sz w:val="16"/>
        </w:rPr>
      </w:pPr>
      <w:r>
        <w:rPr>
          <w:color w:val="383434"/>
          <w:sz w:val="16"/>
        </w:rPr>
        <w:t>Moneda cobre. Morelos– </w:t>
      </w:r>
      <w:r>
        <w:rPr>
          <w:color w:val="383434"/>
          <w:sz w:val="14"/>
        </w:rPr>
        <w:t>SUD</w:t>
      </w:r>
      <w:r>
        <w:rPr>
          <w:color w:val="383434"/>
          <w:sz w:val="16"/>
        </w:rPr>
        <w:t>. Anverso y reverso. 1 real, 1813. Tipo</w:t>
      </w:r>
      <w:r>
        <w:rPr>
          <w:color w:val="383434"/>
          <w:spacing w:val="-11"/>
          <w:sz w:val="16"/>
        </w:rPr>
        <w:t> </w:t>
      </w:r>
      <w:r>
        <w:rPr>
          <w:color w:val="383434"/>
          <w:sz w:val="14"/>
        </w:rPr>
        <w:t>T*C*</w:t>
      </w:r>
      <w:r>
        <w:rPr>
          <w:color w:val="383434"/>
          <w:sz w:val="16"/>
        </w:rPr>
        <w:t>.</w:t>
      </w:r>
    </w:p>
    <w:p>
      <w:pPr>
        <w:pStyle w:val="BodyText"/>
        <w:spacing w:before="9"/>
        <w:rPr>
          <w:rFonts w:ascii="Tahoma"/>
          <w:sz w:val="12"/>
        </w:rPr>
      </w:pPr>
      <w:r>
        <w:rPr/>
        <w:pict>
          <v:line style="position:absolute;mso-position-horizontal-relative:page;mso-position-vertical-relative:paragraph;z-index:3496;mso-wrap-distance-left:0;mso-wrap-distance-right:0" from="86.456703pt,9.935650pt" to="206.986703pt,9.935650pt" stroked="true" strokeweight=".5pt" strokecolor="#a8483d">
            <w10:wrap type="topAndBottom"/>
          </v:line>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9"/>
        <w:rPr>
          <w:rFonts w:ascii="Tahoma"/>
          <w:sz w:val="19"/>
        </w:rPr>
      </w:pPr>
    </w:p>
    <w:p>
      <w:pPr>
        <w:spacing w:after="0"/>
        <w:rPr>
          <w:rFonts w:ascii="Tahoma"/>
          <w:sz w:val="19"/>
        </w:rPr>
        <w:sectPr>
          <w:pgSz w:w="13100" w:h="17920"/>
          <w:pgMar w:top="164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9"/>
        <w:ind w:left="335" w:right="0" w:firstLine="0"/>
        <w:jc w:val="left"/>
        <w:rPr>
          <w:sz w:val="18"/>
        </w:rPr>
      </w:pPr>
      <w:r>
        <w:rPr/>
        <w:br w:type="column"/>
      </w:r>
      <w:r>
        <w:rPr>
          <w:color w:val="4F3628"/>
          <w:w w:val="120"/>
          <w:sz w:val="18"/>
        </w:rPr>
        <w:t>127</w:t>
      </w:r>
    </w:p>
    <w:p>
      <w:pPr>
        <w:spacing w:after="0"/>
        <w:jc w:val="left"/>
        <w:rPr>
          <w:sz w:val="18"/>
        </w:rPr>
        <w:sectPr>
          <w:type w:val="continuous"/>
          <w:pgSz w:w="13100" w:h="17920"/>
          <w:pgMar w:top="0" w:bottom="0" w:left="1620" w:right="1860"/>
          <w:cols w:num="2" w:equalWidth="0">
            <w:col w:w="8413" w:space="40"/>
            <w:col w:w="1167"/>
          </w:cols>
        </w:sectPr>
      </w:pPr>
    </w:p>
    <w:p>
      <w:pPr>
        <w:spacing w:before="33"/>
        <w:ind w:left="334" w:right="1725" w:firstLine="0"/>
        <w:jc w:val="left"/>
        <w:rPr>
          <w:rFonts w:ascii="Verdana"/>
          <w:b/>
          <w:sz w:val="18"/>
        </w:rPr>
      </w:pPr>
      <w:r>
        <w:rPr/>
        <w:drawing>
          <wp:anchor distT="0" distB="0" distL="0" distR="0" allowOverlap="1" layoutInCell="1" locked="0" behindDoc="0" simplePos="0" relativeHeight="3592">
            <wp:simplePos x="0" y="0"/>
            <wp:positionH relativeFrom="page">
              <wp:posOffset>4446003</wp:posOffset>
            </wp:positionH>
            <wp:positionV relativeFrom="paragraph">
              <wp:posOffset>52239</wp:posOffset>
            </wp:positionV>
            <wp:extent cx="2423515" cy="2322842"/>
            <wp:effectExtent l="0" t="0" r="0" b="0"/>
            <wp:wrapNone/>
            <wp:docPr id="105" name="image48.png" descr=""/>
            <wp:cNvGraphicFramePr>
              <a:graphicFrameLocks noChangeAspect="1"/>
            </wp:cNvGraphicFramePr>
            <a:graphic>
              <a:graphicData uri="http://schemas.openxmlformats.org/drawingml/2006/picture">
                <pic:pic>
                  <pic:nvPicPr>
                    <pic:cNvPr id="106" name="image48.png"/>
                    <pic:cNvPicPr/>
                  </pic:nvPicPr>
                  <pic:blipFill>
                    <a:blip r:embed="rId53" cstate="print"/>
                    <a:stretch>
                      <a:fillRect/>
                    </a:stretch>
                  </pic:blipFill>
                  <pic:spPr>
                    <a:xfrm>
                      <a:off x="0" y="0"/>
                      <a:ext cx="2423515" cy="2322842"/>
                    </a:xfrm>
                    <a:prstGeom prst="rect">
                      <a:avLst/>
                    </a:prstGeom>
                  </pic:spPr>
                </pic:pic>
              </a:graphicData>
            </a:graphic>
          </wp:anchor>
        </w:drawing>
      </w:r>
      <w:r>
        <w:rPr/>
        <w:drawing>
          <wp:anchor distT="0" distB="0" distL="0" distR="0" allowOverlap="1" layoutInCell="1" locked="0" behindDoc="0" simplePos="0" relativeHeight="3616">
            <wp:simplePos x="0" y="0"/>
            <wp:positionH relativeFrom="page">
              <wp:posOffset>1476006</wp:posOffset>
            </wp:positionH>
            <wp:positionV relativeFrom="paragraph">
              <wp:posOffset>52239</wp:posOffset>
            </wp:positionV>
            <wp:extent cx="2423502" cy="2311374"/>
            <wp:effectExtent l="0" t="0" r="0" b="0"/>
            <wp:wrapNone/>
            <wp:docPr id="107" name="image49.png" descr=""/>
            <wp:cNvGraphicFramePr>
              <a:graphicFrameLocks noChangeAspect="1"/>
            </wp:cNvGraphicFramePr>
            <a:graphic>
              <a:graphicData uri="http://schemas.openxmlformats.org/drawingml/2006/picture">
                <pic:pic>
                  <pic:nvPicPr>
                    <pic:cNvPr id="108" name="image49.png"/>
                    <pic:cNvPicPr/>
                  </pic:nvPicPr>
                  <pic:blipFill>
                    <a:blip r:embed="rId54" cstate="print"/>
                    <a:stretch>
                      <a:fillRect/>
                    </a:stretch>
                  </pic:blipFill>
                  <pic:spPr>
                    <a:xfrm>
                      <a:off x="0" y="0"/>
                      <a:ext cx="2423502" cy="2311374"/>
                    </a:xfrm>
                    <a:prstGeom prst="rect">
                      <a:avLst/>
                    </a:prstGeom>
                  </pic:spPr>
                </pic:pic>
              </a:graphicData>
            </a:graphic>
          </wp:anchor>
        </w:drawing>
      </w:r>
      <w:r>
        <w:rPr/>
        <w:pict>
          <v:shape style="position:absolute;margin-left:60.653416pt;margin-top:72.278336pt;width:11pt;height:76.350pt;mso-position-horizontal-relative:page;mso-position-vertical-relative:paragraph;z-index:3640"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b/>
          <w:color w:val="4F3628"/>
          <w:sz w:val="18"/>
        </w:rPr>
        <w:t>128</w:t>
      </w:r>
    </w:p>
    <w:p>
      <w:pPr>
        <w:pStyle w:val="BodyText"/>
        <w:rPr>
          <w:rFonts w:ascii="Verdana"/>
          <w:b/>
          <w:sz w:val="23"/>
        </w:rPr>
      </w:pPr>
      <w:r>
        <w:rPr/>
        <w:drawing>
          <wp:anchor distT="0" distB="0" distL="0" distR="0" allowOverlap="1" layoutInCell="1" locked="0" behindDoc="0" simplePos="0" relativeHeight="3520">
            <wp:simplePos x="0" y="0"/>
            <wp:positionH relativeFrom="page">
              <wp:posOffset>589533</wp:posOffset>
            </wp:positionH>
            <wp:positionV relativeFrom="paragraph">
              <wp:posOffset>202709</wp:posOffset>
            </wp:positionV>
            <wp:extent cx="521441" cy="457200"/>
            <wp:effectExtent l="0" t="0" r="0" b="0"/>
            <wp:wrapTopAndBottom/>
            <wp:docPr id="109" name="image24.png" descr=""/>
            <wp:cNvGraphicFramePr>
              <a:graphicFrameLocks noChangeAspect="1"/>
            </wp:cNvGraphicFramePr>
            <a:graphic>
              <a:graphicData uri="http://schemas.openxmlformats.org/drawingml/2006/picture">
                <pic:pic>
                  <pic:nvPicPr>
                    <pic:cNvPr id="110" name="image24.png"/>
                    <pic:cNvPicPr/>
                  </pic:nvPicPr>
                  <pic:blipFill>
                    <a:blip r:embed="rId29" cstate="print"/>
                    <a:stretch>
                      <a:fillRect/>
                    </a:stretch>
                  </pic:blipFill>
                  <pic:spPr>
                    <a:xfrm>
                      <a:off x="0" y="0"/>
                      <a:ext cx="521441" cy="457200"/>
                    </a:xfrm>
                    <a:prstGeom prst="rect">
                      <a:avLst/>
                    </a:prstGeom>
                  </pic:spPr>
                </pic:pic>
              </a:graphicData>
            </a:graphic>
          </wp:anchor>
        </w:drawing>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9"/>
        <w:rPr>
          <w:rFonts w:ascii="Verdana"/>
          <w:b/>
          <w:sz w:val="29"/>
        </w:rPr>
      </w:pPr>
      <w:r>
        <w:rPr/>
        <w:pict>
          <v:shape style="position:absolute;margin-left:116.221001pt;margin-top:20.035797pt;width:12.65pt;height:6.35pt;mso-position-horizontal-relative:page;mso-position-vertical-relative:paragraph;z-index:3544;mso-wrap-distance-left:0;mso-wrap-distance-right:0" coordorigin="2324,401" coordsize="253,127" path="m2451,401l2324,527,2577,527,2451,401xe" filled="true" fillcolor="#a8483d" stroked="false">
            <v:path arrowok="t"/>
            <v:fill type="solid"/>
            <w10:wrap type="topAndBottom"/>
          </v:shape>
        </w:pict>
      </w:r>
    </w:p>
    <w:p>
      <w:pPr>
        <w:spacing w:before="79"/>
        <w:ind w:left="1507" w:right="8410" w:firstLine="0"/>
        <w:jc w:val="both"/>
        <w:rPr>
          <w:rFonts w:ascii="Tahoma" w:hAnsi="Tahoma"/>
          <w:sz w:val="16"/>
        </w:rPr>
      </w:pPr>
      <w:r>
        <w:rPr>
          <w:rFonts w:ascii="Tahoma" w:hAnsi="Tahoma"/>
          <w:color w:val="383434"/>
          <w:sz w:val="16"/>
        </w:rPr>
        <w:t>19. Moneda </w:t>
      </w:r>
      <w:r>
        <w:rPr>
          <w:rFonts w:ascii="Tahoma" w:hAnsi="Tahoma"/>
          <w:color w:val="383434"/>
          <w:spacing w:val="-3"/>
          <w:sz w:val="16"/>
        </w:rPr>
        <w:t>cobre. </w:t>
      </w:r>
      <w:r>
        <w:rPr>
          <w:rFonts w:ascii="Tahoma" w:hAnsi="Tahoma"/>
          <w:color w:val="383434"/>
          <w:sz w:val="16"/>
        </w:rPr>
        <w:t>Morelos– </w:t>
      </w:r>
      <w:r>
        <w:rPr>
          <w:rFonts w:ascii="Tahoma" w:hAnsi="Tahoma"/>
          <w:color w:val="383434"/>
          <w:sz w:val="14"/>
        </w:rPr>
        <w:t>SUD</w:t>
      </w:r>
      <w:r>
        <w:rPr>
          <w:rFonts w:ascii="Tahoma" w:hAnsi="Tahoma"/>
          <w:color w:val="383434"/>
          <w:sz w:val="16"/>
        </w:rPr>
        <w:t>. Anverso</w:t>
      </w:r>
      <w:r>
        <w:rPr>
          <w:rFonts w:ascii="Tahoma" w:hAnsi="Tahoma"/>
          <w:color w:val="383434"/>
          <w:spacing w:val="-16"/>
          <w:sz w:val="16"/>
        </w:rPr>
        <w:t> </w:t>
      </w:r>
      <w:r>
        <w:rPr>
          <w:rFonts w:ascii="Tahoma" w:hAnsi="Tahoma"/>
          <w:color w:val="383434"/>
          <w:sz w:val="16"/>
        </w:rPr>
        <w:t>y</w:t>
      </w:r>
      <w:r>
        <w:rPr>
          <w:rFonts w:ascii="Tahoma" w:hAnsi="Tahoma"/>
          <w:color w:val="383434"/>
          <w:spacing w:val="-16"/>
          <w:sz w:val="16"/>
        </w:rPr>
        <w:t> </w:t>
      </w:r>
      <w:r>
        <w:rPr>
          <w:rFonts w:ascii="Tahoma" w:hAnsi="Tahoma"/>
          <w:color w:val="383434"/>
          <w:sz w:val="16"/>
        </w:rPr>
        <w:t>reverso.</w:t>
      </w:r>
      <w:r>
        <w:rPr>
          <w:rFonts w:ascii="Tahoma" w:hAnsi="Tahoma"/>
          <w:color w:val="383434"/>
          <w:spacing w:val="-16"/>
          <w:sz w:val="16"/>
        </w:rPr>
        <w:t> </w:t>
      </w:r>
      <w:r>
        <w:rPr>
          <w:rFonts w:ascii="Tahoma" w:hAnsi="Tahoma"/>
          <w:color w:val="383434"/>
          <w:sz w:val="16"/>
        </w:rPr>
        <w:t>2</w:t>
      </w:r>
      <w:r>
        <w:rPr>
          <w:rFonts w:ascii="Tahoma" w:hAnsi="Tahoma"/>
          <w:color w:val="383434"/>
          <w:spacing w:val="-16"/>
          <w:sz w:val="16"/>
        </w:rPr>
        <w:t> </w:t>
      </w:r>
      <w:r>
        <w:rPr>
          <w:rFonts w:ascii="Tahoma" w:hAnsi="Tahoma"/>
          <w:color w:val="383434"/>
          <w:sz w:val="16"/>
        </w:rPr>
        <w:t>reales,</w:t>
      </w:r>
      <w:r>
        <w:rPr>
          <w:rFonts w:ascii="Tahoma" w:hAnsi="Tahoma"/>
          <w:color w:val="383434"/>
          <w:spacing w:val="-16"/>
          <w:sz w:val="16"/>
        </w:rPr>
        <w:t> </w:t>
      </w:r>
      <w:r>
        <w:rPr>
          <w:rFonts w:ascii="Tahoma" w:hAnsi="Tahoma"/>
          <w:color w:val="383434"/>
          <w:sz w:val="16"/>
        </w:rPr>
        <w:t>1813. Tipo</w:t>
      </w:r>
      <w:r>
        <w:rPr>
          <w:rFonts w:ascii="Tahoma" w:hAnsi="Tahoma"/>
          <w:color w:val="383434"/>
          <w:spacing w:val="-12"/>
          <w:sz w:val="16"/>
        </w:rPr>
        <w:t> </w:t>
      </w:r>
      <w:r>
        <w:rPr>
          <w:rFonts w:ascii="Tahoma" w:hAnsi="Tahoma"/>
          <w:color w:val="383434"/>
          <w:sz w:val="14"/>
        </w:rPr>
        <w:t>T*C*</w:t>
      </w:r>
      <w:r>
        <w:rPr>
          <w:rFonts w:ascii="Tahoma" w:hAnsi="Tahoma"/>
          <w:color w:val="383434"/>
          <w:sz w:val="16"/>
        </w:rPr>
        <w:t>.</w:t>
      </w:r>
    </w:p>
    <w:p>
      <w:pPr>
        <w:pStyle w:val="BodyText"/>
        <w:spacing w:before="9"/>
        <w:rPr>
          <w:rFonts w:ascii="Tahoma"/>
          <w:sz w:val="12"/>
        </w:rPr>
      </w:pPr>
      <w:r>
        <w:rPr/>
        <w:pict>
          <v:line style="position:absolute;mso-position-horizontal-relative:page;mso-position-vertical-relative:paragraph;z-index:3568;mso-wrap-distance-left:0;mso-wrap-distance-right:0" from="116.362pt,9.936680pt" to="235.417pt,9.936680pt" stroked="true" strokeweight=".5pt" strokecolor="#a8483d">
            <w10:wrap type="topAndBottom"/>
          </v:line>
        </w:pict>
      </w:r>
    </w:p>
    <w:p>
      <w:pPr>
        <w:pStyle w:val="BodyText"/>
        <w:spacing w:before="3"/>
        <w:rPr>
          <w:rFonts w:ascii="Tahoma"/>
          <w:sz w:val="14"/>
        </w:rPr>
      </w:pPr>
    </w:p>
    <w:p>
      <w:pPr>
        <w:pStyle w:val="BodyText"/>
        <w:spacing w:line="268" w:lineRule="auto" w:before="59"/>
        <w:ind w:left="1504" w:right="1725"/>
        <w:jc w:val="both"/>
      </w:pPr>
      <w:r>
        <w:rPr>
          <w:color w:val="231F1F"/>
        </w:rPr>
        <w:t>diseñadas con un tamaño discreto como se venía haciendo con las cecas de las emisiones oficiales, sino en gran formato con respecto al tamaño de la moneda, con la finalidad de no ser tildadas          de simples “tlacos” y que fueran perfectamente visibles al contacto con sus nuevos poseedores. De esta forma, cobra sentido que los diseños de la moneda insurgente de Morelos hayan tenido los siguientes rasgos en el anverso: el monograma de su autoridad (Morelos), una clara denominación del valor de cambio y el año de acuñación. En el reverso: un símbolo propio de nuevo cuño mexi- cano (arco y flecha), la entidad institucional que respaldaba la emisión (la Tesorería de la Capital)       y el símbolo de circulación regional   </w:t>
      </w:r>
      <w:r>
        <w:rPr>
          <w:color w:val="231F1F"/>
          <w:spacing w:val="42"/>
        </w:rPr>
        <w:t> </w:t>
      </w:r>
      <w:r>
        <w:rPr>
          <w:color w:val="231F1F"/>
        </w:rPr>
        <w:t>(</w:t>
      </w:r>
      <w:r>
        <w:rPr>
          <w:color w:val="231F1F"/>
          <w:sz w:val="18"/>
        </w:rPr>
        <w:t>SUD</w:t>
      </w:r>
      <w:r>
        <w:rPr>
          <w:color w:val="231F1F"/>
        </w:rPr>
        <w:t>).</w:t>
      </w:r>
    </w:p>
    <w:p>
      <w:pPr>
        <w:pStyle w:val="BodyText"/>
        <w:spacing w:before="9"/>
        <w:rPr>
          <w:sz w:val="27"/>
        </w:rPr>
      </w:pPr>
    </w:p>
    <w:p>
      <w:pPr>
        <w:pStyle w:val="BodyText"/>
        <w:spacing w:line="268" w:lineRule="auto"/>
        <w:ind w:left="1504" w:right="1721"/>
        <w:jc w:val="both"/>
      </w:pPr>
      <w:r>
        <w:rPr>
          <w:color w:val="231F1F"/>
        </w:rPr>
        <w:t>Que esta Tesorería tuvo varias sedes, quizás de manera simultánea o sucesiva conforme se movía     la dirigencia, y en ellas se selló y reselló moneda de cobre insurgente nos lo informa el propio Morelos en el decreto del </w:t>
      </w:r>
      <w:r>
        <w:rPr>
          <w:color w:val="231F1F"/>
          <w:sz w:val="20"/>
        </w:rPr>
        <w:t>30 </w:t>
      </w:r>
      <w:r>
        <w:rPr>
          <w:color w:val="231F1F"/>
        </w:rPr>
        <w:t>de septiembre de </w:t>
      </w:r>
      <w:r>
        <w:rPr>
          <w:color w:val="231F1F"/>
          <w:sz w:val="20"/>
        </w:rPr>
        <w:t>1813</w:t>
      </w:r>
      <w:r>
        <w:rPr>
          <w:color w:val="231F1F"/>
        </w:rPr>
        <w:t>. Como ahí se indica, el gobierno insurgente reconocía como oficial las emisiones hechas en Tlalchapa, en Oaxaca y en el propio Chilpancin-        go. En este sentido, también es muy probable que las siglas </w:t>
      </w:r>
      <w:r>
        <w:rPr>
          <w:color w:val="231F1F"/>
          <w:sz w:val="18"/>
        </w:rPr>
        <w:t>*T*C* </w:t>
      </w:r>
      <w:r>
        <w:rPr>
          <w:color w:val="231F1F"/>
        </w:rPr>
        <w:t>se refieran a la “Tesorería de Chilpancingo”. Asimismo, en apoyo a esta última propuesta están tres documentos emitidos por       el propio Morelos: el primero, fechado el </w:t>
      </w:r>
      <w:r>
        <w:rPr>
          <w:color w:val="231F1F"/>
          <w:sz w:val="20"/>
        </w:rPr>
        <w:t>25 </w:t>
      </w:r>
      <w:r>
        <w:rPr>
          <w:color w:val="231F1F"/>
        </w:rPr>
        <w:t>de septiembre de </w:t>
      </w:r>
      <w:r>
        <w:rPr>
          <w:color w:val="231F1F"/>
          <w:sz w:val="20"/>
        </w:rPr>
        <w:t>1811</w:t>
      </w:r>
      <w:r>
        <w:rPr>
          <w:color w:val="231F1F"/>
        </w:rPr>
        <w:t>, informa de la vigencia  y actividad de la tesorería de este poblado al pagar los gastos del traslado de una tropa (Herrejón, </w:t>
      </w:r>
      <w:r>
        <w:rPr>
          <w:color w:val="231F1F"/>
          <w:sz w:val="20"/>
        </w:rPr>
        <w:t>1985: 69-70</w:t>
      </w:r>
      <w:r>
        <w:rPr>
          <w:color w:val="231F1F"/>
        </w:rPr>
        <w:t>). El segundo, fechado el </w:t>
      </w:r>
      <w:r>
        <w:rPr>
          <w:color w:val="231F1F"/>
          <w:sz w:val="20"/>
        </w:rPr>
        <w:t>28  </w:t>
      </w:r>
      <w:r>
        <w:rPr>
          <w:color w:val="231F1F"/>
        </w:rPr>
        <w:t>de junio de </w:t>
      </w:r>
      <w:r>
        <w:rPr>
          <w:color w:val="231F1F"/>
          <w:sz w:val="20"/>
        </w:rPr>
        <w:t>1813</w:t>
      </w:r>
      <w:r>
        <w:rPr>
          <w:color w:val="231F1F"/>
        </w:rPr>
        <w:t>, comunica las razones que lo impulsaron       a instalar en Chilpancingo el Congreso Nacional, entre las que se halla, en el número siete, la de     que en esta nueva “ciudad” se hizo el cimiento de la Provincia de </w:t>
      </w:r>
      <w:r>
        <w:rPr>
          <w:color w:val="231F1F"/>
          <w:spacing w:val="-3"/>
        </w:rPr>
        <w:t>Tecpan  </w:t>
      </w:r>
      <w:r>
        <w:rPr>
          <w:color w:val="231F1F"/>
        </w:rPr>
        <w:t>al suministrar monedas       o “reales” y gente para alcanzar la victoria de las primeras batallas del </w:t>
      </w:r>
      <w:r>
        <w:rPr>
          <w:color w:val="231F1F"/>
          <w:spacing w:val="-5"/>
        </w:rPr>
        <w:t>sur. </w:t>
      </w:r>
      <w:r>
        <w:rPr>
          <w:color w:val="231F1F"/>
        </w:rPr>
        <w:t>Finalmente, el tercero, fechado el </w:t>
      </w:r>
      <w:r>
        <w:rPr>
          <w:color w:val="231F1F"/>
          <w:sz w:val="20"/>
        </w:rPr>
        <w:t>30 </w:t>
      </w:r>
      <w:r>
        <w:rPr>
          <w:color w:val="231F1F"/>
        </w:rPr>
        <w:t>de septiembre de </w:t>
      </w:r>
      <w:r>
        <w:rPr>
          <w:color w:val="231F1F"/>
          <w:sz w:val="20"/>
        </w:rPr>
        <w:t>1813</w:t>
      </w:r>
      <w:r>
        <w:rPr>
          <w:color w:val="231F1F"/>
        </w:rPr>
        <w:t>, cuando ordenó que esta “Tesorería” recibiría temporalmente  la moneda de cobre falsa para ser resellada   (Lemoine, </w:t>
      </w:r>
      <w:r>
        <w:rPr>
          <w:color w:val="231F1F"/>
          <w:sz w:val="20"/>
        </w:rPr>
        <w:t>1991: 326-328</w:t>
      </w:r>
      <w:r>
        <w:rPr>
          <w:color w:val="231F1F"/>
        </w:rPr>
        <w:t>). Un argumento más a favor   de esta teoría proviene de la numismática, pues sólo existen ejemplares de las monedas </w:t>
      </w:r>
      <w:r>
        <w:rPr>
          <w:color w:val="231F1F"/>
          <w:sz w:val="18"/>
        </w:rPr>
        <w:t>SUD </w:t>
      </w:r>
      <w:r>
        <w:rPr>
          <w:color w:val="231F1F"/>
        </w:rPr>
        <w:t>con siglas</w:t>
      </w:r>
      <w:r>
        <w:rPr>
          <w:color w:val="231F1F"/>
          <w:spacing w:val="33"/>
        </w:rPr>
        <w:t> </w:t>
      </w:r>
      <w:r>
        <w:rPr>
          <w:color w:val="231F1F"/>
          <w:sz w:val="18"/>
        </w:rPr>
        <w:t>*T*C* </w:t>
      </w:r>
      <w:r>
        <w:rPr>
          <w:color w:val="231F1F"/>
          <w:spacing w:val="1"/>
          <w:sz w:val="18"/>
        </w:rPr>
        <w:t> </w:t>
      </w:r>
      <w:r>
        <w:rPr>
          <w:color w:val="231F1F"/>
        </w:rPr>
        <w:t>del</w:t>
      </w:r>
      <w:r>
        <w:rPr>
          <w:color w:val="231F1F"/>
          <w:spacing w:val="33"/>
        </w:rPr>
        <w:t> </w:t>
      </w:r>
      <w:r>
        <w:rPr>
          <w:color w:val="231F1F"/>
        </w:rPr>
        <w:t>año</w:t>
      </w:r>
      <w:r>
        <w:rPr>
          <w:color w:val="231F1F"/>
          <w:spacing w:val="33"/>
        </w:rPr>
        <w:t> </w:t>
      </w:r>
      <w:r>
        <w:rPr>
          <w:color w:val="231F1F"/>
          <w:sz w:val="20"/>
        </w:rPr>
        <w:t>1813</w:t>
      </w:r>
      <w:r>
        <w:rPr>
          <w:color w:val="231F1F"/>
          <w:spacing w:val="37"/>
          <w:sz w:val="20"/>
        </w:rPr>
        <w:t> </w:t>
      </w:r>
      <w:r>
        <w:rPr>
          <w:color w:val="231F1F"/>
        </w:rPr>
        <w:t>(Luis</w:t>
      </w:r>
      <w:r>
        <w:rPr>
          <w:color w:val="231F1F"/>
          <w:spacing w:val="33"/>
        </w:rPr>
        <w:t> </w:t>
      </w:r>
      <w:r>
        <w:rPr>
          <w:color w:val="231F1F"/>
        </w:rPr>
        <w:t>Gómez-Wulschner,</w:t>
      </w:r>
      <w:r>
        <w:rPr>
          <w:color w:val="231F1F"/>
          <w:spacing w:val="33"/>
        </w:rPr>
        <w:t> </w:t>
      </w:r>
      <w:r>
        <w:rPr>
          <w:color w:val="231F1F"/>
        </w:rPr>
        <w:t>comunicación</w:t>
      </w:r>
      <w:r>
        <w:rPr>
          <w:color w:val="231F1F"/>
          <w:spacing w:val="33"/>
        </w:rPr>
        <w:t> </w:t>
      </w:r>
      <w:r>
        <w:rPr>
          <w:color w:val="231F1F"/>
        </w:rPr>
        <w:t>personal),</w:t>
      </w:r>
      <w:r>
        <w:rPr>
          <w:color w:val="231F1F"/>
          <w:spacing w:val="33"/>
        </w:rPr>
        <w:t> </w:t>
      </w:r>
      <w:r>
        <w:rPr>
          <w:color w:val="231F1F"/>
        </w:rPr>
        <w:t>lo</w:t>
      </w:r>
      <w:r>
        <w:rPr>
          <w:color w:val="231F1F"/>
          <w:spacing w:val="33"/>
        </w:rPr>
        <w:t> </w:t>
      </w:r>
      <w:r>
        <w:rPr>
          <w:color w:val="231F1F"/>
        </w:rPr>
        <w:t>que</w:t>
      </w:r>
      <w:r>
        <w:rPr>
          <w:color w:val="231F1F"/>
          <w:spacing w:val="33"/>
        </w:rPr>
        <w:t> </w:t>
      </w:r>
      <w:r>
        <w:rPr>
          <w:color w:val="231F1F"/>
        </w:rPr>
        <w:t>podría</w:t>
      </w:r>
      <w:r>
        <w:rPr>
          <w:color w:val="231F1F"/>
          <w:spacing w:val="33"/>
        </w:rPr>
        <w:t> </w:t>
      </w:r>
      <w:r>
        <w:rPr>
          <w:color w:val="231F1F"/>
        </w:rPr>
        <w:t>suponer</w:t>
      </w:r>
    </w:p>
    <w:p>
      <w:pPr>
        <w:spacing w:after="0" w:line="268" w:lineRule="auto"/>
        <w:jc w:val="both"/>
        <w:sectPr>
          <w:pgSz w:w="13100" w:h="17920"/>
          <w:pgMar w:top="1660" w:bottom="280" w:left="820" w:right="0"/>
        </w:sectPr>
      </w:pPr>
    </w:p>
    <w:p>
      <w:pPr>
        <w:pStyle w:val="BodyText"/>
        <w:spacing w:before="41"/>
        <w:ind w:left="109"/>
        <w:jc w:val="both"/>
      </w:pPr>
      <w:r>
        <w:rPr>
          <w:color w:val="231F1F"/>
          <w:w w:val="105"/>
        </w:rPr>
        <w:t>que, además de resellar moneda falsa, batió moneda </w:t>
      </w:r>
      <w:r>
        <w:rPr>
          <w:color w:val="231F1F"/>
          <w:w w:val="105"/>
          <w:sz w:val="18"/>
        </w:rPr>
        <w:t>SUD </w:t>
      </w:r>
      <w:r>
        <w:rPr>
          <w:color w:val="231F1F"/>
          <w:w w:val="105"/>
        </w:rPr>
        <w:t>con las</w:t>
      </w:r>
      <w:r>
        <w:rPr>
          <w:color w:val="231F1F"/>
          <w:spacing w:val="50"/>
          <w:w w:val="105"/>
        </w:rPr>
        <w:t> </w:t>
      </w:r>
      <w:r>
        <w:rPr>
          <w:color w:val="231F1F"/>
          <w:w w:val="105"/>
        </w:rPr>
        <w:t>siglas</w:t>
      </w:r>
    </w:p>
    <w:p>
      <w:pPr>
        <w:pStyle w:val="BodyText"/>
        <w:spacing w:before="31"/>
        <w:ind w:left="109"/>
        <w:jc w:val="both"/>
      </w:pPr>
      <w:r>
        <w:rPr>
          <w:color w:val="231F1F"/>
          <w:w w:val="105"/>
          <w:sz w:val="18"/>
        </w:rPr>
        <w:t>T*C*</w:t>
      </w:r>
      <w:r>
        <w:rPr>
          <w:color w:val="231F1F"/>
          <w:w w:val="105"/>
        </w:rPr>
        <w:t>, “Tesorería de Chilpancingo”, bajo las órdenes del propio Morelos.</w:t>
      </w:r>
    </w:p>
    <w:p>
      <w:pPr>
        <w:pStyle w:val="BodyText"/>
        <w:spacing w:before="5"/>
        <w:rPr>
          <w:sz w:val="30"/>
        </w:rPr>
      </w:pPr>
    </w:p>
    <w:p>
      <w:pPr>
        <w:pStyle w:val="BodyText"/>
        <w:spacing w:line="268" w:lineRule="auto"/>
        <w:ind w:left="109" w:right="2840"/>
        <w:jc w:val="both"/>
      </w:pPr>
      <w:r>
        <w:rPr>
          <w:color w:val="231F1F"/>
        </w:rPr>
        <w:t>De la misma forma, cabría, como última posibilidad, que estas siglas  hayan significado “Tesorería de Chilapa”, pues, como lo sugiere el histo- riador</w:t>
      </w:r>
      <w:r>
        <w:rPr>
          <w:color w:val="231F1F"/>
          <w:spacing w:val="-5"/>
        </w:rPr>
        <w:t> </w:t>
      </w:r>
      <w:r>
        <w:rPr>
          <w:color w:val="231F1F"/>
        </w:rPr>
        <w:t>Ernesto</w:t>
      </w:r>
      <w:r>
        <w:rPr>
          <w:color w:val="231F1F"/>
          <w:spacing w:val="-8"/>
        </w:rPr>
        <w:t> </w:t>
      </w:r>
      <w:r>
        <w:rPr>
          <w:color w:val="231F1F"/>
        </w:rPr>
        <w:t>Lemoine,</w:t>
      </w:r>
      <w:r>
        <w:rPr>
          <w:color w:val="231F1F"/>
          <w:spacing w:val="-8"/>
        </w:rPr>
        <w:t> </w:t>
      </w:r>
      <w:r>
        <w:rPr>
          <w:color w:val="231F1F"/>
        </w:rPr>
        <w:t>este</w:t>
      </w:r>
      <w:r>
        <w:rPr>
          <w:color w:val="231F1F"/>
          <w:spacing w:val="-8"/>
        </w:rPr>
        <w:t> </w:t>
      </w:r>
      <w:r>
        <w:rPr>
          <w:color w:val="231F1F"/>
        </w:rPr>
        <w:t>poblado</w:t>
      </w:r>
      <w:r>
        <w:rPr>
          <w:color w:val="231F1F"/>
          <w:spacing w:val="-8"/>
        </w:rPr>
        <w:t> </w:t>
      </w:r>
      <w:r>
        <w:rPr>
          <w:color w:val="231F1F"/>
        </w:rPr>
        <w:t>fungió</w:t>
      </w:r>
      <w:r>
        <w:rPr>
          <w:color w:val="231F1F"/>
          <w:spacing w:val="-8"/>
        </w:rPr>
        <w:t> </w:t>
      </w:r>
      <w:r>
        <w:rPr>
          <w:color w:val="231F1F"/>
        </w:rPr>
        <w:t>como</w:t>
      </w:r>
      <w:r>
        <w:rPr>
          <w:color w:val="231F1F"/>
          <w:spacing w:val="-8"/>
        </w:rPr>
        <w:t> </w:t>
      </w:r>
      <w:r>
        <w:rPr>
          <w:color w:val="231F1F"/>
        </w:rPr>
        <w:t>capital</w:t>
      </w:r>
      <w:r>
        <w:rPr>
          <w:color w:val="231F1F"/>
          <w:spacing w:val="-8"/>
        </w:rPr>
        <w:t> </w:t>
      </w:r>
      <w:r>
        <w:rPr>
          <w:color w:val="231F1F"/>
        </w:rPr>
        <w:t>de</w:t>
      </w:r>
      <w:r>
        <w:rPr>
          <w:color w:val="231F1F"/>
          <w:spacing w:val="-8"/>
        </w:rPr>
        <w:t> </w:t>
      </w:r>
      <w:r>
        <w:rPr>
          <w:color w:val="231F1F"/>
        </w:rPr>
        <w:t>la</w:t>
      </w:r>
      <w:r>
        <w:rPr>
          <w:color w:val="231F1F"/>
          <w:spacing w:val="-8"/>
        </w:rPr>
        <w:t> </w:t>
      </w:r>
      <w:r>
        <w:rPr>
          <w:color w:val="231F1F"/>
        </w:rPr>
        <w:t>insurgencia del sur en el período comprendido entre agosto y noviembre de </w:t>
      </w:r>
      <w:r>
        <w:rPr>
          <w:color w:val="231F1F"/>
          <w:sz w:val="20"/>
        </w:rPr>
        <w:t>1811 </w:t>
      </w:r>
      <w:r>
        <w:rPr>
          <w:color w:val="231F1F"/>
        </w:rPr>
        <w:t>(Lemoine, </w:t>
      </w:r>
      <w:r>
        <w:rPr>
          <w:color w:val="231F1F"/>
          <w:sz w:val="20"/>
        </w:rPr>
        <w:t>1991: 49-50</w:t>
      </w:r>
      <w:r>
        <w:rPr>
          <w:color w:val="231F1F"/>
        </w:rPr>
        <w:t>). Sea como fuere, estas siglas representaban a la entidad</w:t>
      </w:r>
      <w:r>
        <w:rPr>
          <w:color w:val="231F1F"/>
          <w:spacing w:val="-5"/>
        </w:rPr>
        <w:t> </w:t>
      </w:r>
      <w:r>
        <w:rPr>
          <w:color w:val="231F1F"/>
        </w:rPr>
        <w:t>institucional</w:t>
      </w:r>
      <w:r>
        <w:rPr>
          <w:color w:val="231F1F"/>
          <w:spacing w:val="-5"/>
        </w:rPr>
        <w:t> </w:t>
      </w:r>
      <w:r>
        <w:rPr>
          <w:color w:val="231F1F"/>
        </w:rPr>
        <w:t>que</w:t>
      </w:r>
      <w:r>
        <w:rPr>
          <w:color w:val="231F1F"/>
          <w:spacing w:val="-5"/>
        </w:rPr>
        <w:t> </w:t>
      </w:r>
      <w:r>
        <w:rPr>
          <w:color w:val="231F1F"/>
        </w:rPr>
        <w:t>las</w:t>
      </w:r>
      <w:r>
        <w:rPr>
          <w:color w:val="231F1F"/>
          <w:spacing w:val="-5"/>
        </w:rPr>
        <w:t> </w:t>
      </w:r>
      <w:r>
        <w:rPr>
          <w:color w:val="231F1F"/>
        </w:rPr>
        <w:t>emitía</w:t>
      </w:r>
      <w:r>
        <w:rPr>
          <w:color w:val="231F1F"/>
          <w:spacing w:val="-5"/>
        </w:rPr>
        <w:t> </w:t>
      </w:r>
      <w:r>
        <w:rPr>
          <w:color w:val="231F1F"/>
        </w:rPr>
        <w:t>y</w:t>
      </w:r>
      <w:r>
        <w:rPr>
          <w:color w:val="231F1F"/>
          <w:spacing w:val="-5"/>
        </w:rPr>
        <w:t> </w:t>
      </w:r>
      <w:r>
        <w:rPr>
          <w:color w:val="231F1F"/>
        </w:rPr>
        <w:t>las</w:t>
      </w:r>
      <w:r>
        <w:rPr>
          <w:color w:val="231F1F"/>
          <w:spacing w:val="-5"/>
        </w:rPr>
        <w:t> </w:t>
      </w:r>
      <w:r>
        <w:rPr>
          <w:color w:val="231F1F"/>
        </w:rPr>
        <w:t>amparaba:</w:t>
      </w:r>
      <w:r>
        <w:rPr>
          <w:color w:val="231F1F"/>
          <w:spacing w:val="-5"/>
        </w:rPr>
        <w:t> </w:t>
      </w:r>
      <w:r>
        <w:rPr>
          <w:color w:val="231F1F"/>
        </w:rPr>
        <w:t>la</w:t>
      </w:r>
      <w:r>
        <w:rPr>
          <w:color w:val="231F1F"/>
          <w:spacing w:val="-5"/>
        </w:rPr>
        <w:t> </w:t>
      </w:r>
      <w:r>
        <w:rPr>
          <w:color w:val="231F1F"/>
          <w:spacing w:val="-4"/>
        </w:rPr>
        <w:t>Tesorería</w:t>
      </w:r>
      <w:r>
        <w:rPr>
          <w:color w:val="231F1F"/>
          <w:spacing w:val="-5"/>
        </w:rPr>
        <w:t> </w:t>
      </w:r>
      <w:r>
        <w:rPr>
          <w:color w:val="231F1F"/>
        </w:rPr>
        <w:t>insurgente. Ahora sí, podemos hablar con toda propiedad de la moneda insurgente del </w:t>
      </w:r>
      <w:r>
        <w:rPr>
          <w:color w:val="231F1F"/>
          <w:spacing w:val="-5"/>
        </w:rPr>
        <w:t>sur. </w:t>
      </w:r>
      <w:r>
        <w:rPr>
          <w:color w:val="231F1F"/>
        </w:rPr>
        <w:t>El lector tiene la última  </w:t>
      </w:r>
      <w:r>
        <w:rPr>
          <w:color w:val="231F1F"/>
          <w:spacing w:val="21"/>
        </w:rPr>
        <w:t> </w:t>
      </w:r>
      <w:r>
        <w:rPr>
          <w:color w:val="231F1F"/>
        </w:rPr>
        <w:t>palabra.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after="0"/>
        <w:rPr>
          <w:sz w:val="15"/>
        </w:rPr>
        <w:sectPr>
          <w:pgSz w:w="13100" w:h="17920"/>
          <w:pgMar w:top="166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9"/>
        <w:ind w:left="335" w:right="0" w:firstLine="0"/>
        <w:jc w:val="left"/>
        <w:rPr>
          <w:sz w:val="18"/>
        </w:rPr>
      </w:pPr>
      <w:r>
        <w:rPr/>
        <w:br w:type="column"/>
      </w:r>
      <w:r>
        <w:rPr>
          <w:color w:val="4F3628"/>
          <w:w w:val="120"/>
          <w:sz w:val="18"/>
        </w:rPr>
        <w:t>129</w:t>
      </w:r>
    </w:p>
    <w:p>
      <w:pPr>
        <w:spacing w:after="0"/>
        <w:jc w:val="left"/>
        <w:rPr>
          <w:sz w:val="18"/>
        </w:rPr>
        <w:sectPr>
          <w:type w:val="continuous"/>
          <w:pgSz w:w="13100" w:h="17920"/>
          <w:pgMar w:top="0" w:bottom="0" w:left="1620" w:right="1860"/>
          <w:cols w:num="2" w:equalWidth="0">
            <w:col w:w="8413" w:space="40"/>
            <w:col w:w="1167"/>
          </w:cols>
        </w:sectPr>
      </w:pPr>
    </w:p>
    <w:p>
      <w:pPr>
        <w:pStyle w:val="BodyText"/>
        <w:rPr>
          <w:sz w:val="20"/>
        </w:rPr>
      </w:pPr>
    </w:p>
    <w:p>
      <w:pPr>
        <w:pStyle w:val="BodyText"/>
        <w:rPr>
          <w:sz w:val="20"/>
        </w:rPr>
      </w:pPr>
    </w:p>
    <w:p>
      <w:pPr>
        <w:pStyle w:val="BodyText"/>
        <w:rPr>
          <w:sz w:val="20"/>
        </w:rPr>
      </w:pPr>
    </w:p>
    <w:p>
      <w:pPr>
        <w:pStyle w:val="BodyText"/>
        <w:spacing w:before="7"/>
        <w:rPr>
          <w:sz w:val="19"/>
        </w:rPr>
      </w:pPr>
    </w:p>
    <w:p>
      <w:pPr>
        <w:spacing w:before="39"/>
        <w:ind w:left="6376" w:right="6056" w:firstLine="0"/>
        <w:jc w:val="center"/>
        <w:rPr>
          <w:rFonts w:ascii="Times New Roman" w:hAnsi="Times New Roman"/>
          <w:sz w:val="32"/>
        </w:rPr>
      </w:pPr>
      <w:r>
        <w:rPr>
          <w:rFonts w:ascii="Times New Roman" w:hAnsi="Times New Roman"/>
          <w:color w:val="231F1F"/>
          <w:sz w:val="32"/>
        </w:rPr>
        <w:t>Apéndice</w:t>
      </w:r>
    </w:p>
    <w:p>
      <w:pPr>
        <w:pStyle w:val="BodyText"/>
        <w:spacing w:before="5"/>
        <w:rPr>
          <w:rFonts w:ascii="Times New Roman"/>
          <w:sz w:val="31"/>
        </w:rPr>
      </w:pPr>
    </w:p>
    <w:p>
      <w:pPr>
        <w:pStyle w:val="BodyText"/>
        <w:spacing w:line="268" w:lineRule="auto"/>
        <w:ind w:left="424" w:right="113"/>
        <w:jc w:val="both"/>
      </w:pPr>
      <w:r>
        <w:rPr>
          <w:color w:val="231F1F"/>
        </w:rPr>
        <w:t>Razón de las monedas fundidas por los insurgentes en este real de Sultepec, cuyos vecinos y habitantes las han presentado en virtud del ban-       do publicado por el señor coronel Joaquín de Castillo y Bustamante. Por cuya comisión las ha recibido el teniente coronel veterano don José Francisco Guerra de Manzanares, comandante del regimiento provincial de Dragones de San Carlos. Y después de pesadas y ensayadas ha satisfecho su intrínseco valor a los interesados en la forma  </w:t>
      </w:r>
      <w:r>
        <w:rPr>
          <w:color w:val="231F1F"/>
          <w:spacing w:val="34"/>
        </w:rPr>
        <w:t> </w:t>
      </w:r>
      <w:r>
        <w:rPr>
          <w:color w:val="231F1F"/>
        </w:rPr>
        <w:t>siguiente.</w:t>
      </w:r>
    </w:p>
    <w:p>
      <w:pPr>
        <w:pStyle w:val="BodyText"/>
        <w:spacing w:before="3"/>
        <w:rPr>
          <w:sz w:val="18"/>
        </w:rPr>
      </w:pPr>
    </w:p>
    <w:tbl>
      <w:tblPr>
        <w:tblW w:w="0" w:type="auto"/>
        <w:jc w:val="left"/>
        <w:tblInd w:w="12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49"/>
        <w:gridCol w:w="1724"/>
        <w:gridCol w:w="1595"/>
        <w:gridCol w:w="1102"/>
        <w:gridCol w:w="1179"/>
        <w:gridCol w:w="1002"/>
        <w:gridCol w:w="994"/>
        <w:gridCol w:w="1237"/>
      </w:tblGrid>
      <w:tr>
        <w:trPr>
          <w:trHeight w:val="1411" w:hRule="exact"/>
        </w:trPr>
        <w:tc>
          <w:tcPr>
            <w:tcW w:w="2649" w:type="dxa"/>
            <w:shd w:val="clear" w:color="auto" w:fill="A8483D"/>
          </w:tcPr>
          <w:p>
            <w:pPr>
              <w:pStyle w:val="TableParagraph"/>
              <w:spacing w:before="0"/>
              <w:rPr>
                <w:sz w:val="18"/>
              </w:rPr>
            </w:pPr>
          </w:p>
          <w:p>
            <w:pPr>
              <w:pStyle w:val="TableParagraph"/>
              <w:spacing w:before="0"/>
              <w:rPr>
                <w:sz w:val="18"/>
              </w:rPr>
            </w:pPr>
          </w:p>
          <w:p>
            <w:pPr>
              <w:pStyle w:val="TableParagraph"/>
              <w:spacing w:before="5"/>
              <w:rPr>
                <w:sz w:val="13"/>
              </w:rPr>
            </w:pPr>
          </w:p>
          <w:p>
            <w:pPr>
              <w:pStyle w:val="TableParagraph"/>
              <w:spacing w:before="0"/>
              <w:ind w:left="198"/>
              <w:rPr>
                <w:sz w:val="18"/>
              </w:rPr>
            </w:pPr>
            <w:r>
              <w:rPr>
                <w:color w:val="FFFFFF"/>
                <w:w w:val="105"/>
                <w:sz w:val="18"/>
              </w:rPr>
              <w:t>Nombres de los interesados</w:t>
            </w:r>
          </w:p>
        </w:tc>
        <w:tc>
          <w:tcPr>
            <w:tcW w:w="1724" w:type="dxa"/>
            <w:shd w:val="clear" w:color="auto" w:fill="A8483D"/>
          </w:tcPr>
          <w:p>
            <w:pPr>
              <w:pStyle w:val="TableParagraph"/>
              <w:spacing w:before="9"/>
              <w:rPr>
                <w:sz w:val="22"/>
              </w:rPr>
            </w:pPr>
          </w:p>
          <w:p>
            <w:pPr>
              <w:pStyle w:val="TableParagraph"/>
              <w:spacing w:line="216" w:lineRule="exact" w:before="1"/>
              <w:ind w:left="258" w:right="98"/>
              <w:rPr>
                <w:sz w:val="18"/>
              </w:rPr>
            </w:pPr>
            <w:r>
              <w:rPr>
                <w:color w:val="FFFFFF"/>
                <w:w w:val="105"/>
                <w:sz w:val="18"/>
              </w:rPr>
              <w:t>Monedas más grandes que un tostón que va- lían ocho reales</w:t>
            </w:r>
          </w:p>
        </w:tc>
        <w:tc>
          <w:tcPr>
            <w:tcW w:w="1595" w:type="dxa"/>
            <w:shd w:val="clear" w:color="auto" w:fill="A8483D"/>
          </w:tcPr>
          <w:p>
            <w:pPr>
              <w:pStyle w:val="TableParagraph"/>
              <w:spacing w:before="9"/>
              <w:rPr>
                <w:sz w:val="22"/>
              </w:rPr>
            </w:pPr>
          </w:p>
          <w:p>
            <w:pPr>
              <w:pStyle w:val="TableParagraph"/>
              <w:spacing w:line="216" w:lineRule="exact" w:before="1"/>
              <w:ind w:left="220" w:right="293"/>
              <w:rPr>
                <w:sz w:val="18"/>
              </w:rPr>
            </w:pPr>
            <w:r>
              <w:rPr>
                <w:i/>
                <w:color w:val="FFFFFF"/>
                <w:w w:val="110"/>
                <w:sz w:val="18"/>
              </w:rPr>
              <w:t>Idem </w:t>
            </w:r>
            <w:r>
              <w:rPr>
                <w:color w:val="FFFFFF"/>
                <w:w w:val="110"/>
                <w:sz w:val="18"/>
              </w:rPr>
              <w:t>iguales a las pesetas</w:t>
            </w:r>
          </w:p>
          <w:p>
            <w:pPr>
              <w:pStyle w:val="TableParagraph"/>
              <w:spacing w:line="216" w:lineRule="exact" w:before="0"/>
              <w:ind w:left="220"/>
              <w:rPr>
                <w:sz w:val="18"/>
              </w:rPr>
            </w:pPr>
            <w:r>
              <w:rPr>
                <w:color w:val="FFFFFF"/>
                <w:w w:val="105"/>
                <w:sz w:val="18"/>
              </w:rPr>
              <w:t>que tenían este valor  [2 reales]</w:t>
            </w:r>
          </w:p>
        </w:tc>
        <w:tc>
          <w:tcPr>
            <w:tcW w:w="1102" w:type="dxa"/>
            <w:shd w:val="clear" w:color="auto" w:fill="A8483D"/>
          </w:tcPr>
          <w:p>
            <w:pPr>
              <w:pStyle w:val="TableParagraph"/>
              <w:spacing w:before="9"/>
              <w:rPr>
                <w:sz w:val="22"/>
              </w:rPr>
            </w:pPr>
          </w:p>
          <w:p>
            <w:pPr>
              <w:pStyle w:val="TableParagraph"/>
              <w:spacing w:line="216" w:lineRule="exact" w:before="1"/>
              <w:ind w:left="185" w:right="175"/>
              <w:rPr>
                <w:i/>
                <w:sz w:val="18"/>
              </w:rPr>
            </w:pPr>
            <w:r>
              <w:rPr>
                <w:i/>
                <w:color w:val="FFFFFF"/>
                <w:w w:val="105"/>
                <w:sz w:val="18"/>
              </w:rPr>
              <w:t>Idem </w:t>
            </w:r>
            <w:r>
              <w:rPr>
                <w:color w:val="FFFFFF"/>
                <w:w w:val="105"/>
                <w:sz w:val="18"/>
              </w:rPr>
              <w:t>iguales a los reales </w:t>
            </w:r>
            <w:r>
              <w:rPr>
                <w:i/>
                <w:color w:val="FFFFFF"/>
                <w:w w:val="105"/>
                <w:sz w:val="18"/>
              </w:rPr>
              <w:t>Idem</w:t>
            </w:r>
          </w:p>
        </w:tc>
        <w:tc>
          <w:tcPr>
            <w:tcW w:w="1179" w:type="dxa"/>
            <w:shd w:val="clear" w:color="auto" w:fill="A8483D"/>
          </w:tcPr>
          <w:p>
            <w:pPr>
              <w:pStyle w:val="TableParagraph"/>
              <w:spacing w:before="11"/>
              <w:rPr>
                <w:sz w:val="13"/>
              </w:rPr>
            </w:pPr>
          </w:p>
          <w:p>
            <w:pPr>
              <w:pStyle w:val="TableParagraph"/>
              <w:spacing w:line="216" w:lineRule="exact" w:before="0"/>
              <w:ind w:left="184" w:right="153"/>
              <w:rPr>
                <w:i/>
                <w:sz w:val="18"/>
              </w:rPr>
            </w:pPr>
            <w:r>
              <w:rPr>
                <w:i/>
                <w:color w:val="FFFFFF"/>
                <w:w w:val="105"/>
                <w:sz w:val="18"/>
              </w:rPr>
              <w:t>Idem </w:t>
            </w:r>
            <w:r>
              <w:rPr>
                <w:color w:val="FFFFFF"/>
                <w:w w:val="105"/>
                <w:sz w:val="18"/>
              </w:rPr>
              <w:t>iguales a los medios [reales] </w:t>
            </w:r>
            <w:r>
              <w:rPr>
                <w:i/>
                <w:color w:val="FFFFFF"/>
                <w:w w:val="105"/>
                <w:sz w:val="18"/>
              </w:rPr>
              <w:t>Idem</w:t>
            </w:r>
          </w:p>
        </w:tc>
        <w:tc>
          <w:tcPr>
            <w:tcW w:w="3233" w:type="dxa"/>
            <w:gridSpan w:val="3"/>
            <w:shd w:val="clear" w:color="auto" w:fill="A8483D"/>
          </w:tcPr>
          <w:p>
            <w:pPr>
              <w:pStyle w:val="TableParagraph"/>
              <w:spacing w:before="1"/>
              <w:rPr>
                <w:sz w:val="18"/>
              </w:rPr>
            </w:pPr>
          </w:p>
          <w:p>
            <w:pPr>
              <w:pStyle w:val="TableParagraph"/>
              <w:spacing w:before="0"/>
              <w:ind w:left="90" w:right="84"/>
              <w:jc w:val="center"/>
              <w:rPr>
                <w:sz w:val="18"/>
              </w:rPr>
            </w:pPr>
            <w:r>
              <w:rPr>
                <w:color w:val="FFFFFF"/>
                <w:w w:val="105"/>
                <w:sz w:val="18"/>
              </w:rPr>
              <w:t>Valor de las monedas según su   valúo</w:t>
            </w:r>
          </w:p>
          <w:p>
            <w:pPr>
              <w:pStyle w:val="TableParagraph"/>
              <w:spacing w:before="0"/>
              <w:rPr>
                <w:sz w:val="18"/>
              </w:rPr>
            </w:pPr>
          </w:p>
          <w:p>
            <w:pPr>
              <w:pStyle w:val="TableParagraph"/>
              <w:spacing w:before="9"/>
              <w:rPr>
                <w:sz w:val="21"/>
              </w:rPr>
            </w:pPr>
          </w:p>
          <w:p>
            <w:pPr>
              <w:pStyle w:val="TableParagraph"/>
              <w:tabs>
                <w:tab w:pos="870" w:val="left" w:leader="none"/>
                <w:tab w:pos="1962" w:val="left" w:leader="none"/>
              </w:tabs>
              <w:spacing w:before="0"/>
              <w:ind w:right="84"/>
              <w:jc w:val="center"/>
              <w:rPr>
                <w:sz w:val="18"/>
              </w:rPr>
            </w:pPr>
            <w:r>
              <w:rPr>
                <w:color w:val="FFFFFF"/>
                <w:w w:val="105"/>
                <w:sz w:val="18"/>
              </w:rPr>
              <w:t>Pesos</w:t>
              <w:tab/>
              <w:t>Reales</w:t>
              <w:tab/>
              <w:t>Granos</w:t>
            </w:r>
          </w:p>
        </w:tc>
      </w:tr>
      <w:tr>
        <w:trPr>
          <w:trHeight w:val="319" w:hRule="exact"/>
        </w:trPr>
        <w:tc>
          <w:tcPr>
            <w:tcW w:w="2649" w:type="dxa"/>
            <w:tcBorders>
              <w:left w:val="single" w:sz="4" w:space="0" w:color="A8483D"/>
            </w:tcBorders>
          </w:tcPr>
          <w:p>
            <w:pPr>
              <w:pStyle w:val="TableParagraph"/>
              <w:spacing w:before="46"/>
              <w:ind w:left="193"/>
              <w:rPr>
                <w:sz w:val="18"/>
              </w:rPr>
            </w:pPr>
            <w:r>
              <w:rPr>
                <w:color w:val="231F1F"/>
                <w:w w:val="105"/>
                <w:sz w:val="18"/>
              </w:rPr>
              <w:t>María Magdalena Ximénez</w:t>
            </w:r>
          </w:p>
        </w:tc>
        <w:tc>
          <w:tcPr>
            <w:tcW w:w="1724" w:type="dxa"/>
          </w:tcPr>
          <w:p>
            <w:pPr/>
          </w:p>
        </w:tc>
        <w:tc>
          <w:tcPr>
            <w:tcW w:w="1595" w:type="dxa"/>
          </w:tcPr>
          <w:p>
            <w:pPr>
              <w:pStyle w:val="TableParagraph"/>
              <w:spacing w:before="49"/>
              <w:ind w:left="37"/>
              <w:jc w:val="center"/>
              <w:rPr>
                <w:sz w:val="16"/>
              </w:rPr>
            </w:pPr>
            <w:r>
              <w:rPr>
                <w:color w:val="603328"/>
                <w:w w:val="122"/>
                <w:sz w:val="16"/>
              </w:rPr>
              <w:t>3</w:t>
            </w:r>
          </w:p>
        </w:tc>
        <w:tc>
          <w:tcPr>
            <w:tcW w:w="1102" w:type="dxa"/>
          </w:tcPr>
          <w:p>
            <w:pPr>
              <w:pStyle w:val="TableParagraph"/>
              <w:spacing w:before="49"/>
              <w:ind w:left="501"/>
              <w:rPr>
                <w:sz w:val="16"/>
              </w:rPr>
            </w:pPr>
            <w:r>
              <w:rPr>
                <w:color w:val="603328"/>
                <w:w w:val="122"/>
                <w:sz w:val="16"/>
              </w:rPr>
              <w:t>1</w:t>
            </w:r>
          </w:p>
        </w:tc>
        <w:tc>
          <w:tcPr>
            <w:tcW w:w="1179" w:type="dxa"/>
          </w:tcPr>
          <w:p>
            <w:pPr/>
          </w:p>
        </w:tc>
        <w:tc>
          <w:tcPr>
            <w:tcW w:w="1002" w:type="dxa"/>
          </w:tcPr>
          <w:p>
            <w:pPr/>
          </w:p>
        </w:tc>
        <w:tc>
          <w:tcPr>
            <w:tcW w:w="994" w:type="dxa"/>
          </w:tcPr>
          <w:p>
            <w:pPr>
              <w:pStyle w:val="TableParagraph"/>
              <w:spacing w:before="49"/>
              <w:ind w:left="385"/>
              <w:rPr>
                <w:sz w:val="16"/>
              </w:rPr>
            </w:pPr>
            <w:r>
              <w:rPr>
                <w:color w:val="603328"/>
                <w:w w:val="122"/>
                <w:sz w:val="16"/>
              </w:rPr>
              <w:t>3</w:t>
            </w:r>
          </w:p>
        </w:tc>
        <w:tc>
          <w:tcPr>
            <w:tcW w:w="1237" w:type="dxa"/>
            <w:tcBorders>
              <w:right w:val="single" w:sz="4" w:space="0" w:color="A8483D"/>
            </w:tcBorders>
          </w:tcPr>
          <w:p>
            <w:pPr>
              <w:pStyle w:val="TableParagraph"/>
              <w:spacing w:before="49"/>
              <w:ind w:left="509"/>
              <w:rPr>
                <w:sz w:val="16"/>
              </w:rPr>
            </w:pPr>
            <w:r>
              <w:rPr>
                <w:color w:val="603328"/>
                <w:w w:val="122"/>
                <w:sz w:val="16"/>
              </w:rPr>
              <w:t>3</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Santos</w:t>
            </w:r>
          </w:p>
        </w:tc>
        <w:tc>
          <w:tcPr>
            <w:tcW w:w="1724" w:type="dxa"/>
          </w:tcPr>
          <w:p>
            <w:pPr>
              <w:pStyle w:val="TableParagraph"/>
              <w:ind w:left="868"/>
              <w:rPr>
                <w:sz w:val="16"/>
              </w:rPr>
            </w:pPr>
            <w:r>
              <w:rPr>
                <w:color w:val="603328"/>
                <w:w w:val="122"/>
                <w:sz w:val="16"/>
              </w:rPr>
              <w:t>4</w:t>
            </w:r>
          </w:p>
        </w:tc>
        <w:tc>
          <w:tcPr>
            <w:tcW w:w="1595" w:type="dxa"/>
          </w:tcPr>
          <w:p>
            <w:pPr>
              <w:pStyle w:val="TableParagraph"/>
              <w:ind w:left="37"/>
              <w:jc w:val="center"/>
              <w:rPr>
                <w:sz w:val="16"/>
              </w:rPr>
            </w:pPr>
            <w:r>
              <w:rPr>
                <w:color w:val="603328"/>
                <w:w w:val="122"/>
                <w:sz w:val="16"/>
              </w:rPr>
              <w:t>1</w:t>
            </w: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1</w:t>
            </w:r>
          </w:p>
        </w:tc>
        <w:tc>
          <w:tcPr>
            <w:tcW w:w="994" w:type="dxa"/>
          </w:tcPr>
          <w:p>
            <w:pPr>
              <w:pStyle w:val="TableParagraph"/>
              <w:ind w:left="385"/>
              <w:rPr>
                <w:sz w:val="16"/>
              </w:rPr>
            </w:pPr>
            <w:r>
              <w:rPr>
                <w:color w:val="603328"/>
                <w:w w:val="122"/>
                <w:sz w:val="16"/>
              </w:rPr>
              <w:t>7</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María Moreno</w:t>
            </w:r>
          </w:p>
        </w:tc>
        <w:tc>
          <w:tcPr>
            <w:tcW w:w="1724" w:type="dxa"/>
          </w:tcPr>
          <w:p>
            <w:pPr>
              <w:pStyle w:val="TableParagraph"/>
              <w:ind w:left="868"/>
              <w:rPr>
                <w:sz w:val="16"/>
              </w:rPr>
            </w:pPr>
            <w:r>
              <w:rPr>
                <w:color w:val="603328"/>
                <w:w w:val="122"/>
                <w:sz w:val="16"/>
              </w:rPr>
              <w:t>2</w:t>
            </w:r>
          </w:p>
        </w:tc>
        <w:tc>
          <w:tcPr>
            <w:tcW w:w="1595" w:type="dxa"/>
          </w:tcPr>
          <w:p>
            <w:pPr>
              <w:pStyle w:val="TableParagraph"/>
              <w:ind w:left="37"/>
              <w:jc w:val="center"/>
              <w:rPr>
                <w:sz w:val="16"/>
              </w:rPr>
            </w:pPr>
            <w:r>
              <w:rPr>
                <w:color w:val="603328"/>
                <w:w w:val="122"/>
                <w:sz w:val="16"/>
              </w:rPr>
              <w:t>1</w:t>
            </w:r>
          </w:p>
        </w:tc>
        <w:tc>
          <w:tcPr>
            <w:tcW w:w="1102" w:type="dxa"/>
          </w:tcPr>
          <w:p>
            <w:pPr>
              <w:pStyle w:val="TableParagraph"/>
              <w:ind w:left="501"/>
              <w:rPr>
                <w:sz w:val="16"/>
              </w:rPr>
            </w:pPr>
            <w:r>
              <w:rPr>
                <w:color w:val="603328"/>
                <w:w w:val="122"/>
                <w:sz w:val="16"/>
              </w:rPr>
              <w:t>1</w:t>
            </w:r>
          </w:p>
        </w:tc>
        <w:tc>
          <w:tcPr>
            <w:tcW w:w="1179" w:type="dxa"/>
          </w:tcPr>
          <w:p>
            <w:pPr/>
          </w:p>
        </w:tc>
        <w:tc>
          <w:tcPr>
            <w:tcW w:w="1002" w:type="dxa"/>
          </w:tcPr>
          <w:p>
            <w:pPr>
              <w:pStyle w:val="TableParagraph"/>
              <w:ind w:left="467"/>
              <w:rPr>
                <w:sz w:val="16"/>
              </w:rPr>
            </w:pPr>
            <w:r>
              <w:rPr>
                <w:color w:val="603328"/>
                <w:w w:val="122"/>
                <w:sz w:val="16"/>
              </w:rPr>
              <w:t>1</w:t>
            </w:r>
          </w:p>
        </w:tc>
        <w:tc>
          <w:tcPr>
            <w:tcW w:w="994" w:type="dxa"/>
          </w:tcPr>
          <w:p>
            <w:pP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Muñoz</w:t>
            </w:r>
          </w:p>
        </w:tc>
        <w:tc>
          <w:tcPr>
            <w:tcW w:w="1724" w:type="dxa"/>
          </w:tcPr>
          <w:p>
            <w:pPr>
              <w:pStyle w:val="TableParagraph"/>
              <w:ind w:left="818" w:right="98"/>
              <w:rPr>
                <w:sz w:val="16"/>
              </w:rPr>
            </w:pPr>
            <w:r>
              <w:rPr>
                <w:color w:val="603328"/>
                <w:w w:val="120"/>
                <w:sz w:val="16"/>
              </w:rPr>
              <w:t>27</w:t>
            </w:r>
          </w:p>
        </w:tc>
        <w:tc>
          <w:tcPr>
            <w:tcW w:w="1595" w:type="dxa"/>
          </w:tcPr>
          <w:p>
            <w:pPr>
              <w:pStyle w:val="TableParagraph"/>
              <w:ind w:left="37"/>
              <w:jc w:val="center"/>
              <w:rPr>
                <w:sz w:val="16"/>
              </w:rPr>
            </w:pPr>
            <w:r>
              <w:rPr>
                <w:color w:val="603328"/>
                <w:w w:val="122"/>
                <w:sz w:val="16"/>
              </w:rPr>
              <w:t>2</w:t>
            </w:r>
          </w:p>
        </w:tc>
        <w:tc>
          <w:tcPr>
            <w:tcW w:w="1102" w:type="dxa"/>
          </w:tcPr>
          <w:p>
            <w:pPr>
              <w:pStyle w:val="TableParagraph"/>
              <w:ind w:left="501"/>
              <w:rPr>
                <w:sz w:val="16"/>
              </w:rPr>
            </w:pPr>
            <w:r>
              <w:rPr>
                <w:color w:val="603328"/>
                <w:w w:val="122"/>
                <w:sz w:val="16"/>
              </w:rPr>
              <w:t>8</w:t>
            </w:r>
          </w:p>
        </w:tc>
        <w:tc>
          <w:tcPr>
            <w:tcW w:w="1179" w:type="dxa"/>
          </w:tcPr>
          <w:p>
            <w:pPr>
              <w:pStyle w:val="TableParagraph"/>
              <w:ind w:right="527"/>
              <w:jc w:val="right"/>
              <w:rPr>
                <w:sz w:val="16"/>
              </w:rPr>
            </w:pPr>
            <w:r>
              <w:rPr>
                <w:color w:val="603328"/>
                <w:w w:val="122"/>
                <w:sz w:val="16"/>
              </w:rPr>
              <w:t>1</w:t>
            </w:r>
          </w:p>
        </w:tc>
        <w:tc>
          <w:tcPr>
            <w:tcW w:w="1002" w:type="dxa"/>
          </w:tcPr>
          <w:p>
            <w:pPr>
              <w:pStyle w:val="TableParagraph"/>
              <w:ind w:left="417"/>
              <w:rPr>
                <w:sz w:val="16"/>
              </w:rPr>
            </w:pPr>
            <w:r>
              <w:rPr>
                <w:color w:val="603328"/>
                <w:w w:val="120"/>
                <w:sz w:val="16"/>
              </w:rPr>
              <w:t>12</w:t>
            </w:r>
          </w:p>
        </w:tc>
        <w:tc>
          <w:tcPr>
            <w:tcW w:w="994" w:type="dxa"/>
          </w:tcPr>
          <w:p>
            <w:pPr>
              <w:pStyle w:val="TableParagraph"/>
              <w:ind w:left="385"/>
              <w:rPr>
                <w:sz w:val="16"/>
              </w:rPr>
            </w:pPr>
            <w:r>
              <w:rPr>
                <w:color w:val="603328"/>
                <w:w w:val="122"/>
                <w:sz w:val="16"/>
              </w:rPr>
              <w:t>4</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Doña María Acosta</w:t>
            </w:r>
          </w:p>
        </w:tc>
        <w:tc>
          <w:tcPr>
            <w:tcW w:w="1724" w:type="dxa"/>
          </w:tcPr>
          <w:p>
            <w:pPr>
              <w:pStyle w:val="TableParagraph"/>
              <w:ind w:left="768" w:right="98"/>
              <w:rPr>
                <w:sz w:val="16"/>
              </w:rPr>
            </w:pPr>
            <w:r>
              <w:rPr>
                <w:color w:val="603328"/>
                <w:w w:val="120"/>
                <w:sz w:val="16"/>
              </w:rPr>
              <w:t>107</w:t>
            </w:r>
          </w:p>
        </w:tc>
        <w:tc>
          <w:tcPr>
            <w:tcW w:w="1595" w:type="dxa"/>
          </w:tcPr>
          <w:p>
            <w:pPr>
              <w:pStyle w:val="TableParagraph"/>
              <w:ind w:left="698" w:right="661"/>
              <w:jc w:val="center"/>
              <w:rPr>
                <w:sz w:val="16"/>
              </w:rPr>
            </w:pPr>
            <w:r>
              <w:rPr>
                <w:color w:val="603328"/>
                <w:w w:val="120"/>
                <w:sz w:val="16"/>
              </w:rPr>
              <w:t>24</w:t>
            </w:r>
          </w:p>
        </w:tc>
        <w:tc>
          <w:tcPr>
            <w:tcW w:w="1102" w:type="dxa"/>
          </w:tcPr>
          <w:p>
            <w:pPr>
              <w:pStyle w:val="TableParagraph"/>
              <w:ind w:left="451" w:right="175"/>
              <w:rPr>
                <w:sz w:val="16"/>
              </w:rPr>
            </w:pPr>
            <w:r>
              <w:rPr>
                <w:color w:val="603328"/>
                <w:w w:val="120"/>
                <w:sz w:val="16"/>
              </w:rPr>
              <w:t>21</w:t>
            </w:r>
          </w:p>
        </w:tc>
        <w:tc>
          <w:tcPr>
            <w:tcW w:w="1179" w:type="dxa"/>
          </w:tcPr>
          <w:p>
            <w:pPr>
              <w:pStyle w:val="TableParagraph"/>
              <w:ind w:right="527"/>
              <w:jc w:val="right"/>
              <w:rPr>
                <w:sz w:val="16"/>
              </w:rPr>
            </w:pPr>
            <w:r>
              <w:rPr>
                <w:color w:val="603328"/>
                <w:w w:val="122"/>
                <w:sz w:val="16"/>
              </w:rPr>
              <w:t>7</w:t>
            </w:r>
          </w:p>
        </w:tc>
        <w:tc>
          <w:tcPr>
            <w:tcW w:w="1002" w:type="dxa"/>
          </w:tcPr>
          <w:p>
            <w:pPr>
              <w:pStyle w:val="TableParagraph"/>
              <w:ind w:left="417"/>
              <w:rPr>
                <w:sz w:val="16"/>
              </w:rPr>
            </w:pPr>
            <w:r>
              <w:rPr>
                <w:color w:val="603328"/>
                <w:w w:val="120"/>
                <w:sz w:val="16"/>
              </w:rPr>
              <w:t>50</w:t>
            </w:r>
          </w:p>
        </w:tc>
        <w:tc>
          <w:tcPr>
            <w:tcW w:w="994" w:type="dxa"/>
          </w:tcPr>
          <w:p>
            <w:pPr>
              <w:pStyle w:val="TableParagraph"/>
              <w:ind w:left="385"/>
              <w:rPr>
                <w:sz w:val="16"/>
              </w:rPr>
            </w:pPr>
            <w:r>
              <w:rPr>
                <w:color w:val="603328"/>
                <w:w w:val="122"/>
                <w:sz w:val="16"/>
              </w:rPr>
              <w:t>6</w:t>
            </w: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57" w:hRule="exact"/>
        </w:trPr>
        <w:tc>
          <w:tcPr>
            <w:tcW w:w="2649" w:type="dxa"/>
            <w:tcBorders>
              <w:left w:val="single" w:sz="4" w:space="0" w:color="A8483D"/>
            </w:tcBorders>
          </w:tcPr>
          <w:p>
            <w:pPr>
              <w:pStyle w:val="TableParagraph"/>
              <w:spacing w:before="24"/>
              <w:ind w:left="193"/>
              <w:rPr>
                <w:sz w:val="18"/>
              </w:rPr>
            </w:pPr>
            <w:r>
              <w:rPr>
                <w:color w:val="231F1F"/>
                <w:sz w:val="18"/>
              </w:rPr>
              <w:t>El Reverendo P.  guardián  fray</w:t>
            </w:r>
          </w:p>
        </w:tc>
        <w:tc>
          <w:tcPr>
            <w:tcW w:w="1724" w:type="dxa"/>
          </w:tcPr>
          <w:p>
            <w:pPr>
              <w:pStyle w:val="TableParagraph"/>
              <w:ind w:left="818" w:right="98"/>
              <w:rPr>
                <w:sz w:val="16"/>
              </w:rPr>
            </w:pPr>
            <w:r>
              <w:rPr>
                <w:color w:val="603328"/>
                <w:w w:val="120"/>
                <w:sz w:val="16"/>
              </w:rPr>
              <w:t>68</w:t>
            </w:r>
          </w:p>
        </w:tc>
        <w:tc>
          <w:tcPr>
            <w:tcW w:w="1595" w:type="dxa"/>
          </w:tcPr>
          <w:p>
            <w:pPr>
              <w:pStyle w:val="TableParagraph"/>
              <w:ind w:left="37"/>
              <w:jc w:val="center"/>
              <w:rPr>
                <w:sz w:val="16"/>
              </w:rPr>
            </w:pPr>
            <w:r>
              <w:rPr>
                <w:color w:val="603328"/>
                <w:w w:val="122"/>
                <w:sz w:val="16"/>
              </w:rPr>
              <w:t>8</w:t>
            </w:r>
          </w:p>
        </w:tc>
        <w:tc>
          <w:tcPr>
            <w:tcW w:w="1102" w:type="dxa"/>
          </w:tcPr>
          <w:p>
            <w:pPr/>
          </w:p>
        </w:tc>
        <w:tc>
          <w:tcPr>
            <w:tcW w:w="1179" w:type="dxa"/>
          </w:tcPr>
          <w:p>
            <w:pPr/>
          </w:p>
        </w:tc>
        <w:tc>
          <w:tcPr>
            <w:tcW w:w="1002" w:type="dxa"/>
          </w:tcPr>
          <w:p>
            <w:pPr>
              <w:pStyle w:val="TableParagraph"/>
              <w:ind w:left="417"/>
              <w:rPr>
                <w:sz w:val="16"/>
              </w:rPr>
            </w:pPr>
            <w:r>
              <w:rPr>
                <w:color w:val="603328"/>
                <w:w w:val="120"/>
                <w:sz w:val="16"/>
              </w:rPr>
              <w:t>29</w:t>
            </w:r>
          </w:p>
        </w:tc>
        <w:tc>
          <w:tcPr>
            <w:tcW w:w="994" w:type="dxa"/>
          </w:tcPr>
          <w:p>
            <w:pPr>
              <w:pStyle w:val="TableParagraph"/>
              <w:ind w:left="385"/>
              <w:rPr>
                <w:sz w:val="16"/>
              </w:rPr>
            </w:pPr>
            <w:r>
              <w:rPr>
                <w:color w:val="603328"/>
                <w:w w:val="122"/>
                <w:sz w:val="16"/>
              </w:rPr>
              <w:t>6</w:t>
            </w:r>
          </w:p>
        </w:tc>
        <w:tc>
          <w:tcPr>
            <w:tcW w:w="1237" w:type="dxa"/>
            <w:tcBorders>
              <w:right w:val="single" w:sz="4" w:space="0" w:color="A8483D"/>
            </w:tcBorders>
          </w:tcPr>
          <w:p>
            <w:pPr/>
          </w:p>
        </w:tc>
      </w:tr>
      <w:tr>
        <w:trPr>
          <w:trHeight w:val="257" w:hRule="exact"/>
        </w:trPr>
        <w:tc>
          <w:tcPr>
            <w:tcW w:w="2649" w:type="dxa"/>
            <w:tcBorders>
              <w:left w:val="single" w:sz="4" w:space="0" w:color="A8483D"/>
            </w:tcBorders>
          </w:tcPr>
          <w:p>
            <w:pPr>
              <w:pStyle w:val="TableParagraph"/>
              <w:spacing w:line="204" w:lineRule="exact" w:before="0"/>
              <w:ind w:left="193"/>
              <w:rPr>
                <w:sz w:val="18"/>
              </w:rPr>
            </w:pPr>
            <w:r>
              <w:rPr>
                <w:color w:val="231F1F"/>
                <w:sz w:val="18"/>
              </w:rPr>
              <w:t>Joaquín Ruiz</w:t>
            </w:r>
          </w:p>
        </w:tc>
        <w:tc>
          <w:tcPr>
            <w:tcW w:w="1724" w:type="dxa"/>
          </w:tcPr>
          <w:p>
            <w:pPr/>
          </w:p>
        </w:tc>
        <w:tc>
          <w:tcPr>
            <w:tcW w:w="1595" w:type="dxa"/>
          </w:tcPr>
          <w:p>
            <w:pPr/>
          </w:p>
        </w:tc>
        <w:tc>
          <w:tcPr>
            <w:tcW w:w="1102" w:type="dxa"/>
          </w:tcPr>
          <w:p>
            <w:pPr/>
          </w:p>
        </w:tc>
        <w:tc>
          <w:tcPr>
            <w:tcW w:w="1179" w:type="dxa"/>
          </w:tcPr>
          <w:p>
            <w:pPr/>
          </w:p>
        </w:tc>
        <w:tc>
          <w:tcPr>
            <w:tcW w:w="1002" w:type="dxa"/>
          </w:tcPr>
          <w:p>
            <w:pPr/>
          </w:p>
        </w:tc>
        <w:tc>
          <w:tcPr>
            <w:tcW w:w="994" w:type="dxa"/>
          </w:tcPr>
          <w:p>
            <w:pP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Luciano Santos</w:t>
            </w:r>
          </w:p>
        </w:tc>
        <w:tc>
          <w:tcPr>
            <w:tcW w:w="1724" w:type="dxa"/>
          </w:tcPr>
          <w:p>
            <w:pPr>
              <w:pStyle w:val="TableParagraph"/>
              <w:ind w:left="818" w:right="98"/>
              <w:rPr>
                <w:sz w:val="16"/>
              </w:rPr>
            </w:pPr>
            <w:r>
              <w:rPr>
                <w:color w:val="603328"/>
                <w:w w:val="120"/>
                <w:sz w:val="16"/>
              </w:rPr>
              <w:t>20</w:t>
            </w:r>
          </w:p>
        </w:tc>
        <w:tc>
          <w:tcPr>
            <w:tcW w:w="1595" w:type="dxa"/>
          </w:tcPr>
          <w:p>
            <w:pP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8</w:t>
            </w:r>
          </w:p>
        </w:tc>
        <w:tc>
          <w:tcPr>
            <w:tcW w:w="994" w:type="dxa"/>
          </w:tcPr>
          <w:p>
            <w:pPr>
              <w:pStyle w:val="TableParagraph"/>
              <w:ind w:left="385"/>
              <w:rPr>
                <w:sz w:val="16"/>
              </w:rPr>
            </w:pPr>
            <w:r>
              <w:rPr>
                <w:color w:val="603328"/>
                <w:w w:val="122"/>
                <w:sz w:val="16"/>
              </w:rPr>
              <w:t>6</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María Aguirre</w:t>
            </w:r>
          </w:p>
        </w:tc>
        <w:tc>
          <w:tcPr>
            <w:tcW w:w="1724" w:type="dxa"/>
          </w:tcPr>
          <w:p>
            <w:pPr>
              <w:pStyle w:val="TableParagraph"/>
              <w:ind w:left="868"/>
              <w:rPr>
                <w:sz w:val="16"/>
              </w:rPr>
            </w:pPr>
            <w:r>
              <w:rPr>
                <w:color w:val="603328"/>
                <w:w w:val="122"/>
                <w:sz w:val="16"/>
              </w:rPr>
              <w:t>1</w:t>
            </w:r>
          </w:p>
        </w:tc>
        <w:tc>
          <w:tcPr>
            <w:tcW w:w="1595" w:type="dxa"/>
          </w:tcPr>
          <w:p>
            <w:pPr>
              <w:pStyle w:val="TableParagraph"/>
              <w:ind w:left="37"/>
              <w:jc w:val="center"/>
              <w:rPr>
                <w:sz w:val="16"/>
              </w:rPr>
            </w:pPr>
            <w:r>
              <w:rPr>
                <w:color w:val="603328"/>
                <w:w w:val="122"/>
                <w:sz w:val="16"/>
              </w:rPr>
              <w:t>1</w:t>
            </w:r>
          </w:p>
        </w:tc>
        <w:tc>
          <w:tcPr>
            <w:tcW w:w="1102" w:type="dxa"/>
          </w:tcPr>
          <w:p>
            <w:pPr/>
          </w:p>
        </w:tc>
        <w:tc>
          <w:tcPr>
            <w:tcW w:w="1179" w:type="dxa"/>
          </w:tcPr>
          <w:p>
            <w:pPr/>
          </w:p>
        </w:tc>
        <w:tc>
          <w:tcPr>
            <w:tcW w:w="1002" w:type="dxa"/>
          </w:tcPr>
          <w:p>
            <w:pPr/>
          </w:p>
        </w:tc>
        <w:tc>
          <w:tcPr>
            <w:tcW w:w="994" w:type="dxa"/>
          </w:tcPr>
          <w:p>
            <w:pPr>
              <w:pStyle w:val="TableParagraph"/>
              <w:ind w:left="385"/>
              <w:rPr>
                <w:sz w:val="16"/>
              </w:rPr>
            </w:pPr>
            <w:r>
              <w:rPr>
                <w:color w:val="603328"/>
                <w:w w:val="122"/>
                <w:sz w:val="16"/>
              </w:rPr>
              <w:t>4</w:t>
            </w: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María Quintana</w:t>
            </w:r>
          </w:p>
        </w:tc>
        <w:tc>
          <w:tcPr>
            <w:tcW w:w="1724" w:type="dxa"/>
          </w:tcPr>
          <w:p>
            <w:pPr>
              <w:pStyle w:val="TableParagraph"/>
              <w:ind w:left="868"/>
              <w:rPr>
                <w:sz w:val="16"/>
              </w:rPr>
            </w:pPr>
            <w:r>
              <w:rPr>
                <w:color w:val="603328"/>
                <w:w w:val="122"/>
                <w:sz w:val="16"/>
              </w:rPr>
              <w:t>5</w:t>
            </w:r>
          </w:p>
        </w:tc>
        <w:tc>
          <w:tcPr>
            <w:tcW w:w="1595" w:type="dxa"/>
          </w:tcPr>
          <w:p>
            <w:pP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2</w:t>
            </w:r>
          </w:p>
        </w:tc>
        <w:tc>
          <w:tcPr>
            <w:tcW w:w="994" w:type="dxa"/>
          </w:tcPr>
          <w:p>
            <w:pPr>
              <w:pStyle w:val="TableParagraph"/>
              <w:ind w:left="385"/>
              <w:rPr>
                <w:sz w:val="16"/>
              </w:rPr>
            </w:pPr>
            <w:r>
              <w:rPr>
                <w:color w:val="603328"/>
                <w:w w:val="122"/>
                <w:sz w:val="16"/>
              </w:rPr>
              <w:t>1</w:t>
            </w: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Francisco Salinas</w:t>
            </w:r>
          </w:p>
        </w:tc>
        <w:tc>
          <w:tcPr>
            <w:tcW w:w="1724" w:type="dxa"/>
          </w:tcPr>
          <w:p>
            <w:pPr>
              <w:pStyle w:val="TableParagraph"/>
              <w:ind w:left="818" w:right="98"/>
              <w:rPr>
                <w:sz w:val="16"/>
              </w:rPr>
            </w:pPr>
            <w:r>
              <w:rPr>
                <w:color w:val="603328"/>
                <w:w w:val="120"/>
                <w:sz w:val="16"/>
              </w:rPr>
              <w:t>20</w:t>
            </w:r>
          </w:p>
        </w:tc>
        <w:tc>
          <w:tcPr>
            <w:tcW w:w="1595" w:type="dxa"/>
          </w:tcPr>
          <w:p>
            <w:pP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8</w:t>
            </w:r>
          </w:p>
        </w:tc>
        <w:tc>
          <w:tcPr>
            <w:tcW w:w="994" w:type="dxa"/>
          </w:tcPr>
          <w:p>
            <w:pPr>
              <w:pStyle w:val="TableParagraph"/>
              <w:ind w:left="385"/>
              <w:rPr>
                <w:sz w:val="16"/>
              </w:rPr>
            </w:pPr>
            <w:r>
              <w:rPr>
                <w:color w:val="603328"/>
                <w:w w:val="122"/>
                <w:sz w:val="16"/>
              </w:rPr>
              <w:t>6</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Miguel Peñaloza</w:t>
            </w:r>
          </w:p>
        </w:tc>
        <w:tc>
          <w:tcPr>
            <w:tcW w:w="1724" w:type="dxa"/>
          </w:tcPr>
          <w:p>
            <w:pPr>
              <w:pStyle w:val="TableParagraph"/>
              <w:ind w:left="818" w:right="98"/>
              <w:rPr>
                <w:sz w:val="16"/>
              </w:rPr>
            </w:pPr>
            <w:r>
              <w:rPr>
                <w:color w:val="603328"/>
                <w:w w:val="120"/>
                <w:sz w:val="16"/>
              </w:rPr>
              <w:t>13</w:t>
            </w:r>
          </w:p>
        </w:tc>
        <w:tc>
          <w:tcPr>
            <w:tcW w:w="1595" w:type="dxa"/>
          </w:tcPr>
          <w:p>
            <w:pPr>
              <w:pStyle w:val="TableParagraph"/>
              <w:ind w:left="37"/>
              <w:jc w:val="center"/>
              <w:rPr>
                <w:sz w:val="16"/>
              </w:rPr>
            </w:pPr>
            <w:r>
              <w:rPr>
                <w:color w:val="603328"/>
                <w:w w:val="122"/>
                <w:sz w:val="16"/>
              </w:rPr>
              <w:t>3</w:t>
            </w:r>
          </w:p>
        </w:tc>
        <w:tc>
          <w:tcPr>
            <w:tcW w:w="1102" w:type="dxa"/>
          </w:tcPr>
          <w:p>
            <w:pPr>
              <w:pStyle w:val="TableParagraph"/>
              <w:ind w:left="501"/>
              <w:rPr>
                <w:sz w:val="16"/>
              </w:rPr>
            </w:pPr>
            <w:r>
              <w:rPr>
                <w:color w:val="603328"/>
                <w:w w:val="122"/>
                <w:sz w:val="16"/>
              </w:rPr>
              <w:t>6</w:t>
            </w:r>
          </w:p>
        </w:tc>
        <w:tc>
          <w:tcPr>
            <w:tcW w:w="1179" w:type="dxa"/>
          </w:tcPr>
          <w:p>
            <w:pPr>
              <w:pStyle w:val="TableParagraph"/>
              <w:ind w:right="527"/>
              <w:jc w:val="right"/>
              <w:rPr>
                <w:sz w:val="16"/>
              </w:rPr>
            </w:pPr>
            <w:r>
              <w:rPr>
                <w:color w:val="603328"/>
                <w:w w:val="122"/>
                <w:sz w:val="16"/>
              </w:rPr>
              <w:t>2</w:t>
            </w:r>
          </w:p>
        </w:tc>
        <w:tc>
          <w:tcPr>
            <w:tcW w:w="1002" w:type="dxa"/>
          </w:tcPr>
          <w:p>
            <w:pPr>
              <w:pStyle w:val="TableParagraph"/>
              <w:ind w:left="467"/>
              <w:rPr>
                <w:sz w:val="16"/>
              </w:rPr>
            </w:pPr>
            <w:r>
              <w:rPr>
                <w:color w:val="603328"/>
                <w:w w:val="122"/>
                <w:sz w:val="16"/>
              </w:rPr>
              <w:t>6</w:t>
            </w:r>
          </w:p>
        </w:tc>
        <w:tc>
          <w:tcPr>
            <w:tcW w:w="994" w:type="dxa"/>
          </w:tcPr>
          <w:p>
            <w:pPr>
              <w:pStyle w:val="TableParagraph"/>
              <w:ind w:left="385"/>
              <w:rPr>
                <w:sz w:val="16"/>
              </w:rPr>
            </w:pPr>
            <w:r>
              <w:rPr>
                <w:color w:val="603328"/>
                <w:w w:val="122"/>
                <w:sz w:val="16"/>
              </w:rPr>
              <w:t>1</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Agustina Pineda</w:t>
            </w:r>
          </w:p>
        </w:tc>
        <w:tc>
          <w:tcPr>
            <w:tcW w:w="1724" w:type="dxa"/>
          </w:tcPr>
          <w:p>
            <w:pPr>
              <w:pStyle w:val="TableParagraph"/>
              <w:ind w:left="868"/>
              <w:rPr>
                <w:sz w:val="16"/>
              </w:rPr>
            </w:pPr>
            <w:r>
              <w:rPr>
                <w:color w:val="603328"/>
                <w:w w:val="122"/>
                <w:sz w:val="16"/>
              </w:rPr>
              <w:t>2</w:t>
            </w:r>
          </w:p>
        </w:tc>
        <w:tc>
          <w:tcPr>
            <w:tcW w:w="1595" w:type="dxa"/>
          </w:tcPr>
          <w:p>
            <w:pPr/>
          </w:p>
        </w:tc>
        <w:tc>
          <w:tcPr>
            <w:tcW w:w="1102" w:type="dxa"/>
          </w:tcPr>
          <w:p>
            <w:pPr/>
          </w:p>
        </w:tc>
        <w:tc>
          <w:tcPr>
            <w:tcW w:w="1179" w:type="dxa"/>
          </w:tcPr>
          <w:p>
            <w:pPr/>
          </w:p>
        </w:tc>
        <w:tc>
          <w:tcPr>
            <w:tcW w:w="1002" w:type="dxa"/>
          </w:tcPr>
          <w:p>
            <w:pPr/>
          </w:p>
        </w:tc>
        <w:tc>
          <w:tcPr>
            <w:tcW w:w="994" w:type="dxa"/>
          </w:tcPr>
          <w:p>
            <w:pPr>
              <w:pStyle w:val="TableParagraph"/>
              <w:ind w:left="385"/>
              <w:rPr>
                <w:sz w:val="16"/>
              </w:rPr>
            </w:pPr>
            <w:r>
              <w:rPr>
                <w:color w:val="603328"/>
                <w:w w:val="122"/>
                <w:sz w:val="16"/>
              </w:rPr>
              <w:t>7</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María Mendivil</w:t>
            </w:r>
          </w:p>
        </w:tc>
        <w:tc>
          <w:tcPr>
            <w:tcW w:w="1724" w:type="dxa"/>
          </w:tcPr>
          <w:p>
            <w:pPr>
              <w:pStyle w:val="TableParagraph"/>
              <w:ind w:left="868"/>
              <w:rPr>
                <w:sz w:val="16"/>
              </w:rPr>
            </w:pPr>
            <w:r>
              <w:rPr>
                <w:color w:val="603328"/>
                <w:w w:val="122"/>
                <w:sz w:val="16"/>
              </w:rPr>
              <w:t>7</w:t>
            </w:r>
          </w:p>
        </w:tc>
        <w:tc>
          <w:tcPr>
            <w:tcW w:w="1595" w:type="dxa"/>
          </w:tcPr>
          <w:p>
            <w:pP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3</w:t>
            </w:r>
          </w:p>
        </w:tc>
        <w:tc>
          <w:tcPr>
            <w:tcW w:w="994" w:type="dxa"/>
          </w:tcPr>
          <w:p>
            <w:pP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Antonio Benítez</w:t>
            </w:r>
          </w:p>
        </w:tc>
        <w:tc>
          <w:tcPr>
            <w:tcW w:w="1724" w:type="dxa"/>
          </w:tcPr>
          <w:p>
            <w:pPr>
              <w:pStyle w:val="TableParagraph"/>
              <w:ind w:left="868"/>
              <w:rPr>
                <w:sz w:val="16"/>
              </w:rPr>
            </w:pPr>
            <w:r>
              <w:rPr>
                <w:color w:val="603328"/>
                <w:w w:val="122"/>
                <w:sz w:val="16"/>
              </w:rPr>
              <w:t>2</w:t>
            </w:r>
          </w:p>
        </w:tc>
        <w:tc>
          <w:tcPr>
            <w:tcW w:w="1595" w:type="dxa"/>
          </w:tcPr>
          <w:p>
            <w:pPr/>
          </w:p>
        </w:tc>
        <w:tc>
          <w:tcPr>
            <w:tcW w:w="1102" w:type="dxa"/>
          </w:tcPr>
          <w:p>
            <w:pPr/>
          </w:p>
        </w:tc>
        <w:tc>
          <w:tcPr>
            <w:tcW w:w="1179" w:type="dxa"/>
          </w:tcPr>
          <w:p>
            <w:pPr/>
          </w:p>
        </w:tc>
        <w:tc>
          <w:tcPr>
            <w:tcW w:w="1002" w:type="dxa"/>
          </w:tcPr>
          <w:p>
            <w:pPr/>
          </w:p>
        </w:tc>
        <w:tc>
          <w:tcPr>
            <w:tcW w:w="994" w:type="dxa"/>
          </w:tcPr>
          <w:p>
            <w:pPr>
              <w:pStyle w:val="TableParagraph"/>
              <w:ind w:left="385"/>
              <w:rPr>
                <w:sz w:val="16"/>
              </w:rPr>
            </w:pPr>
            <w:r>
              <w:rPr>
                <w:color w:val="603328"/>
                <w:w w:val="122"/>
                <w:sz w:val="16"/>
              </w:rPr>
              <w:t>7</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Manuel Salinas</w:t>
            </w:r>
          </w:p>
        </w:tc>
        <w:tc>
          <w:tcPr>
            <w:tcW w:w="1724" w:type="dxa"/>
          </w:tcPr>
          <w:p>
            <w:pPr>
              <w:pStyle w:val="TableParagraph"/>
              <w:ind w:left="868"/>
              <w:rPr>
                <w:sz w:val="16"/>
              </w:rPr>
            </w:pPr>
            <w:r>
              <w:rPr>
                <w:color w:val="603328"/>
                <w:w w:val="122"/>
                <w:sz w:val="16"/>
              </w:rPr>
              <w:t>3</w:t>
            </w:r>
          </w:p>
        </w:tc>
        <w:tc>
          <w:tcPr>
            <w:tcW w:w="1595" w:type="dxa"/>
          </w:tcPr>
          <w:p>
            <w:pP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1</w:t>
            </w:r>
          </w:p>
        </w:tc>
        <w:tc>
          <w:tcPr>
            <w:tcW w:w="994" w:type="dxa"/>
          </w:tcPr>
          <w:p>
            <w:pPr>
              <w:pStyle w:val="TableParagraph"/>
              <w:ind w:left="385"/>
              <w:rPr>
                <w:sz w:val="16"/>
              </w:rPr>
            </w:pPr>
            <w:r>
              <w:rPr>
                <w:color w:val="603328"/>
                <w:w w:val="122"/>
                <w:sz w:val="16"/>
              </w:rPr>
              <w:t>2</w:t>
            </w:r>
          </w:p>
        </w:tc>
        <w:tc>
          <w:tcPr>
            <w:tcW w:w="1237" w:type="dxa"/>
            <w:tcBorders>
              <w:right w:val="single" w:sz="4" w:space="0" w:color="A8483D"/>
            </w:tcBorders>
          </w:tcPr>
          <w:p>
            <w:pPr>
              <w:pStyle w:val="TableParagraph"/>
              <w:ind w:left="509"/>
              <w:rPr>
                <w:sz w:val="16"/>
              </w:rPr>
            </w:pPr>
            <w:r>
              <w:rPr>
                <w:color w:val="603328"/>
                <w:w w:val="122"/>
                <w:sz w:val="16"/>
              </w:rPr>
              <w:t>6</w:t>
            </w: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w w:val="105"/>
                <w:sz w:val="18"/>
              </w:rPr>
              <w:t>Rafaela López</w:t>
            </w:r>
          </w:p>
        </w:tc>
        <w:tc>
          <w:tcPr>
            <w:tcW w:w="1724" w:type="dxa"/>
          </w:tcPr>
          <w:p>
            <w:pPr>
              <w:pStyle w:val="TableParagraph"/>
              <w:ind w:left="868"/>
              <w:rPr>
                <w:sz w:val="16"/>
              </w:rPr>
            </w:pPr>
            <w:r>
              <w:rPr>
                <w:color w:val="603328"/>
                <w:w w:val="122"/>
                <w:sz w:val="16"/>
              </w:rPr>
              <w:t>5</w:t>
            </w:r>
          </w:p>
        </w:tc>
        <w:tc>
          <w:tcPr>
            <w:tcW w:w="1595" w:type="dxa"/>
          </w:tcPr>
          <w:p>
            <w:pPr>
              <w:pStyle w:val="TableParagraph"/>
              <w:ind w:left="37"/>
              <w:jc w:val="center"/>
              <w:rPr>
                <w:sz w:val="16"/>
              </w:rPr>
            </w:pPr>
            <w:r>
              <w:rPr>
                <w:color w:val="603328"/>
                <w:w w:val="122"/>
                <w:sz w:val="16"/>
              </w:rPr>
              <w:t>5</w:t>
            </w: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2</w:t>
            </w:r>
          </w:p>
        </w:tc>
        <w:tc>
          <w:tcPr>
            <w:tcW w:w="994" w:type="dxa"/>
          </w:tcPr>
          <w:p>
            <w:pPr>
              <w:pStyle w:val="TableParagraph"/>
              <w:ind w:left="385"/>
              <w:rPr>
                <w:sz w:val="16"/>
              </w:rPr>
            </w:pPr>
            <w:r>
              <w:rPr>
                <w:color w:val="603328"/>
                <w:w w:val="122"/>
                <w:sz w:val="16"/>
              </w:rPr>
              <w:t>7</w:t>
            </w:r>
          </w:p>
        </w:tc>
        <w:tc>
          <w:tcPr>
            <w:tcW w:w="1237" w:type="dxa"/>
            <w:tcBorders>
              <w:right w:val="single" w:sz="4" w:space="0" w:color="A8483D"/>
            </w:tcBorders>
          </w:tcPr>
          <w:p>
            <w:pPr/>
          </w:p>
        </w:tc>
      </w:tr>
      <w:tr>
        <w:trPr>
          <w:trHeight w:val="297" w:hRule="exact"/>
        </w:trPr>
        <w:tc>
          <w:tcPr>
            <w:tcW w:w="2649" w:type="dxa"/>
            <w:tcBorders>
              <w:left w:val="single" w:sz="4" w:space="0" w:color="A8483D"/>
            </w:tcBorders>
          </w:tcPr>
          <w:p>
            <w:pPr>
              <w:pStyle w:val="TableParagraph"/>
              <w:spacing w:before="24"/>
              <w:ind w:left="193"/>
              <w:rPr>
                <w:sz w:val="18"/>
              </w:rPr>
            </w:pPr>
            <w:r>
              <w:rPr>
                <w:color w:val="231F1F"/>
                <w:sz w:val="18"/>
              </w:rPr>
              <w:t>José María</w:t>
            </w:r>
          </w:p>
        </w:tc>
        <w:tc>
          <w:tcPr>
            <w:tcW w:w="1724" w:type="dxa"/>
          </w:tcPr>
          <w:p>
            <w:pPr>
              <w:pStyle w:val="TableParagraph"/>
              <w:ind w:left="818" w:right="98"/>
              <w:rPr>
                <w:sz w:val="16"/>
              </w:rPr>
            </w:pPr>
            <w:r>
              <w:rPr>
                <w:color w:val="603328"/>
                <w:w w:val="120"/>
                <w:sz w:val="16"/>
              </w:rPr>
              <w:t>18</w:t>
            </w:r>
          </w:p>
        </w:tc>
        <w:tc>
          <w:tcPr>
            <w:tcW w:w="1595" w:type="dxa"/>
          </w:tcPr>
          <w:p>
            <w:pPr>
              <w:pStyle w:val="TableParagraph"/>
              <w:ind w:left="37"/>
              <w:jc w:val="center"/>
              <w:rPr>
                <w:sz w:val="16"/>
              </w:rPr>
            </w:pPr>
            <w:r>
              <w:rPr>
                <w:color w:val="603328"/>
                <w:w w:val="122"/>
                <w:sz w:val="16"/>
              </w:rPr>
              <w:t>2</w:t>
            </w:r>
          </w:p>
        </w:tc>
        <w:tc>
          <w:tcPr>
            <w:tcW w:w="1102" w:type="dxa"/>
          </w:tcPr>
          <w:p>
            <w:pPr/>
          </w:p>
        </w:tc>
        <w:tc>
          <w:tcPr>
            <w:tcW w:w="1179" w:type="dxa"/>
          </w:tcPr>
          <w:p>
            <w:pPr/>
          </w:p>
        </w:tc>
        <w:tc>
          <w:tcPr>
            <w:tcW w:w="1002" w:type="dxa"/>
          </w:tcPr>
          <w:p>
            <w:pPr>
              <w:pStyle w:val="TableParagraph"/>
              <w:ind w:left="467"/>
              <w:rPr>
                <w:sz w:val="16"/>
              </w:rPr>
            </w:pPr>
            <w:r>
              <w:rPr>
                <w:color w:val="603328"/>
                <w:w w:val="122"/>
                <w:sz w:val="16"/>
              </w:rPr>
              <w:t>8</w:t>
            </w:r>
          </w:p>
        </w:tc>
        <w:tc>
          <w:tcPr>
            <w:tcW w:w="994" w:type="dxa"/>
          </w:tcPr>
          <w:p>
            <w:pPr/>
          </w:p>
        </w:tc>
        <w:tc>
          <w:tcPr>
            <w:tcW w:w="1237" w:type="dxa"/>
            <w:tcBorders>
              <w:right w:val="single" w:sz="4" w:space="0" w:color="A8483D"/>
            </w:tcBorders>
          </w:tcPr>
          <w:p>
            <w:pPr/>
          </w:p>
        </w:tc>
      </w:tr>
      <w:tr>
        <w:trPr>
          <w:trHeight w:val="276" w:hRule="exact"/>
        </w:trPr>
        <w:tc>
          <w:tcPr>
            <w:tcW w:w="2649" w:type="dxa"/>
            <w:tcBorders>
              <w:left w:val="single" w:sz="4" w:space="0" w:color="A8483D"/>
              <w:bottom w:val="single" w:sz="6" w:space="0" w:color="A8483D"/>
            </w:tcBorders>
          </w:tcPr>
          <w:p>
            <w:pPr>
              <w:pStyle w:val="TableParagraph"/>
              <w:spacing w:before="24"/>
              <w:ind w:left="193"/>
              <w:rPr>
                <w:sz w:val="18"/>
              </w:rPr>
            </w:pPr>
            <w:r>
              <w:rPr>
                <w:color w:val="231F1F"/>
                <w:sz w:val="18"/>
              </w:rPr>
              <w:t>María Dolores</w:t>
            </w:r>
          </w:p>
        </w:tc>
        <w:tc>
          <w:tcPr>
            <w:tcW w:w="1724" w:type="dxa"/>
            <w:tcBorders>
              <w:bottom w:val="single" w:sz="6" w:space="0" w:color="A8483D"/>
            </w:tcBorders>
          </w:tcPr>
          <w:p>
            <w:pPr>
              <w:pStyle w:val="TableParagraph"/>
              <w:ind w:left="868"/>
              <w:rPr>
                <w:sz w:val="16"/>
              </w:rPr>
            </w:pPr>
            <w:r>
              <w:rPr>
                <w:color w:val="603328"/>
                <w:w w:val="122"/>
                <w:sz w:val="16"/>
              </w:rPr>
              <w:t>4</w:t>
            </w:r>
          </w:p>
        </w:tc>
        <w:tc>
          <w:tcPr>
            <w:tcW w:w="1595" w:type="dxa"/>
            <w:tcBorders>
              <w:bottom w:val="single" w:sz="6" w:space="0" w:color="A8483D"/>
            </w:tcBorders>
          </w:tcPr>
          <w:p>
            <w:pPr/>
          </w:p>
        </w:tc>
        <w:tc>
          <w:tcPr>
            <w:tcW w:w="1102" w:type="dxa"/>
            <w:tcBorders>
              <w:bottom w:val="single" w:sz="6" w:space="0" w:color="A8483D"/>
            </w:tcBorders>
          </w:tcPr>
          <w:p>
            <w:pPr/>
          </w:p>
        </w:tc>
        <w:tc>
          <w:tcPr>
            <w:tcW w:w="1179" w:type="dxa"/>
            <w:tcBorders>
              <w:bottom w:val="single" w:sz="6" w:space="0" w:color="A8483D"/>
            </w:tcBorders>
          </w:tcPr>
          <w:p>
            <w:pPr/>
          </w:p>
        </w:tc>
        <w:tc>
          <w:tcPr>
            <w:tcW w:w="1002" w:type="dxa"/>
            <w:tcBorders>
              <w:bottom w:val="single" w:sz="6" w:space="0" w:color="A8483D"/>
            </w:tcBorders>
          </w:tcPr>
          <w:p>
            <w:pPr>
              <w:pStyle w:val="TableParagraph"/>
              <w:ind w:left="467"/>
              <w:rPr>
                <w:sz w:val="16"/>
              </w:rPr>
            </w:pPr>
            <w:r>
              <w:rPr>
                <w:color w:val="603328"/>
                <w:w w:val="122"/>
                <w:sz w:val="16"/>
              </w:rPr>
              <w:t>1</w:t>
            </w:r>
          </w:p>
        </w:tc>
        <w:tc>
          <w:tcPr>
            <w:tcW w:w="994" w:type="dxa"/>
            <w:tcBorders>
              <w:bottom w:val="single" w:sz="6" w:space="0" w:color="A8483D"/>
            </w:tcBorders>
          </w:tcPr>
          <w:p>
            <w:pPr>
              <w:pStyle w:val="TableParagraph"/>
              <w:ind w:left="385"/>
              <w:rPr>
                <w:sz w:val="16"/>
              </w:rPr>
            </w:pPr>
            <w:r>
              <w:rPr>
                <w:color w:val="603328"/>
                <w:w w:val="122"/>
                <w:sz w:val="16"/>
              </w:rPr>
              <w:t>6</w:t>
            </w:r>
          </w:p>
        </w:tc>
        <w:tc>
          <w:tcPr>
            <w:tcW w:w="1237" w:type="dxa"/>
            <w:tcBorders>
              <w:bottom w:val="single" w:sz="6" w:space="0" w:color="A8483D"/>
              <w:right w:val="single" w:sz="4" w:space="0" w:color="603328"/>
            </w:tcBorders>
          </w:tcPr>
          <w:p>
            <w:pPr/>
          </w:p>
        </w:tc>
      </w:tr>
    </w:tbl>
    <w:p>
      <w:pPr>
        <w:spacing w:before="92"/>
        <w:ind w:left="0" w:right="965" w:firstLine="0"/>
        <w:jc w:val="right"/>
        <w:rPr>
          <w:sz w:val="16"/>
        </w:rPr>
      </w:pPr>
      <w:r>
        <w:rPr>
          <w:color w:val="A8483D"/>
          <w:w w:val="105"/>
          <w:sz w:val="16"/>
        </w:rPr>
        <w:t>Continúa en la siguiente página</w:t>
      </w:r>
    </w:p>
    <w:p>
      <w:pPr>
        <w:spacing w:after="0"/>
        <w:jc w:val="right"/>
        <w:rPr>
          <w:sz w:val="16"/>
        </w:rPr>
        <w:sectPr>
          <w:pgSz w:w="17920" w:h="13100" w:orient="landscape"/>
          <w:pgMar w:top="1220" w:bottom="280" w:left="2580" w:right="1640"/>
        </w:sectPr>
      </w:pPr>
    </w:p>
    <w:p>
      <w:pPr>
        <w:pStyle w:val="BodyText"/>
        <w:rPr>
          <w:sz w:val="20"/>
        </w:rPr>
      </w:pPr>
      <w:r>
        <w:rPr/>
        <w:pict>
          <v:shape style="position:absolute;margin-left:72.060333pt;margin-top:389.769012pt;width:19.55pt;height:112.9pt;mso-position-horizontal-relative:page;mso-position-vertical-relative:page;z-index:3712" type="#_x0000_t202" filled="false" stroked="false">
            <v:textbox inset="0,0,0,0" style="layout-flow:vertical">
              <w:txbxContent>
                <w:p>
                  <w:pPr>
                    <w:spacing w:line="183" w:lineRule="exact" w:before="0"/>
                    <w:ind w:left="20" w:right="-258" w:firstLine="0"/>
                    <w:jc w:val="left"/>
                    <w:rPr>
                      <w:sz w:val="16"/>
                    </w:rPr>
                  </w:pPr>
                  <w:r>
                    <w:rPr>
                      <w:color w:val="4F3628"/>
                      <w:w w:val="111"/>
                      <w:sz w:val="16"/>
                    </w:rPr>
                    <w:t>LOS</w:t>
                  </w:r>
                  <w:r>
                    <w:rPr>
                      <w:color w:val="4F3628"/>
                      <w:spacing w:val="13"/>
                      <w:sz w:val="16"/>
                    </w:rPr>
                    <w:t> </w:t>
                  </w:r>
                  <w:r>
                    <w:rPr>
                      <w:color w:val="4F3628"/>
                      <w:w w:val="105"/>
                      <w:sz w:val="16"/>
                    </w:rPr>
                    <w:t>PUEBLOS</w:t>
                  </w:r>
                  <w:r>
                    <w:rPr>
                      <w:color w:val="4F3628"/>
                      <w:spacing w:val="13"/>
                      <w:sz w:val="16"/>
                    </w:rPr>
                    <w:t> </w:t>
                  </w:r>
                  <w:r>
                    <w:rPr>
                      <w:color w:val="4F3628"/>
                      <w:w w:val="105"/>
                      <w:sz w:val="16"/>
                    </w:rPr>
                    <w:t>DE</w:t>
                  </w:r>
                  <w:r>
                    <w:rPr>
                      <w:color w:val="4F3628"/>
                      <w:spacing w:val="13"/>
                      <w:sz w:val="16"/>
                    </w:rPr>
                    <w:t> </w:t>
                  </w:r>
                  <w:r>
                    <w:rPr>
                      <w:color w:val="4F3628"/>
                      <w:w w:val="114"/>
                      <w:sz w:val="16"/>
                    </w:rPr>
                    <w:t>INDIOS</w:t>
                  </w:r>
                  <w:r>
                    <w:rPr>
                      <w:color w:val="4F3628"/>
                      <w:spacing w:val="13"/>
                      <w:sz w:val="16"/>
                    </w:rPr>
                    <w:t> </w:t>
                  </w:r>
                  <w:r>
                    <w:rPr>
                      <w:color w:val="4F3628"/>
                      <w:w w:val="119"/>
                      <w:sz w:val="16"/>
                    </w:rPr>
                    <w:t>EN</w:t>
                  </w:r>
                  <w:r>
                    <w:rPr>
                      <w:color w:val="4F3628"/>
                      <w:spacing w:val="13"/>
                      <w:sz w:val="16"/>
                    </w:rPr>
                    <w:t> </w:t>
                  </w:r>
                  <w:r>
                    <w:rPr>
                      <w:color w:val="4F3628"/>
                      <w:w w:val="91"/>
                      <w:sz w:val="16"/>
                    </w:rPr>
                    <w:t>EL</w:t>
                  </w:r>
                </w:p>
                <w:p>
                  <w:pPr>
                    <w:spacing w:line="194" w:lineRule="exact" w:before="0"/>
                    <w:ind w:left="90" w:right="-814" w:firstLine="0"/>
                    <w:jc w:val="left"/>
                    <w:rPr>
                      <w:sz w:val="16"/>
                    </w:rPr>
                  </w:pPr>
                  <w:r>
                    <w:rPr>
                      <w:color w:val="4F3628"/>
                      <w:w w:val="114"/>
                      <w:sz w:val="16"/>
                    </w:rPr>
                    <w:t>PENSAMIENTO</w:t>
                  </w:r>
                  <w:r>
                    <w:rPr>
                      <w:color w:val="4F3628"/>
                      <w:spacing w:val="13"/>
                      <w:sz w:val="16"/>
                    </w:rPr>
                    <w:t> </w:t>
                  </w:r>
                  <w:r>
                    <w:rPr>
                      <w:color w:val="4F3628"/>
                      <w:w w:val="109"/>
                      <w:sz w:val="16"/>
                    </w:rPr>
                    <w:t>DE</w:t>
                  </w:r>
                  <w:r>
                    <w:rPr>
                      <w:color w:val="4F3628"/>
                      <w:spacing w:val="13"/>
                      <w:sz w:val="16"/>
                    </w:rPr>
                    <w:t> </w:t>
                  </w:r>
                  <w:r>
                    <w:rPr>
                      <w:color w:val="4F3628"/>
                      <w:w w:val="113"/>
                      <w:sz w:val="16"/>
                    </w:rPr>
                    <w:t>MORELOS</w:t>
                  </w:r>
                </w:p>
              </w:txbxContent>
            </v:textbox>
            <w10:wrap type="none"/>
          </v:shape>
        </w:pict>
      </w:r>
      <w:r>
        <w:rPr/>
        <w:pict>
          <v:shape style="position:absolute;margin-left:81.048874pt;margin-top:519.448975pt;width:11pt;height:18.8pt;mso-position-horizontal-relative:page;mso-position-vertical-relative:page;z-index:3736" type="#_x0000_t202" filled="false" stroked="false">
            <v:textbox inset="0,0,0,0" style="layout-flow:vertical">
              <w:txbxContent>
                <w:p>
                  <w:pPr>
                    <w:spacing w:line="208" w:lineRule="exact" w:before="0"/>
                    <w:ind w:left="20" w:right="-153" w:firstLine="0"/>
                    <w:jc w:val="left"/>
                    <w:rPr>
                      <w:sz w:val="18"/>
                    </w:rPr>
                  </w:pPr>
                  <w:r>
                    <w:rPr>
                      <w:color w:val="4F3628"/>
                      <w:w w:val="121"/>
                      <w:sz w:val="18"/>
                    </w:rPr>
                    <w:t>131</w:t>
                  </w:r>
                </w:p>
              </w:txbxContent>
            </v:textbox>
            <w10:wrap type="none"/>
          </v:shape>
        </w:pict>
      </w:r>
    </w:p>
    <w:p>
      <w:pPr>
        <w:pStyle w:val="BodyText"/>
        <w:rPr>
          <w:sz w:val="21"/>
        </w:rPr>
      </w:pPr>
    </w:p>
    <w:tbl>
      <w:tblPr>
        <w:tblW w:w="0" w:type="auto"/>
        <w:jc w:val="left"/>
        <w:tblInd w:w="12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45"/>
        <w:gridCol w:w="1459"/>
        <w:gridCol w:w="1451"/>
        <w:gridCol w:w="1265"/>
        <w:gridCol w:w="1048"/>
        <w:gridCol w:w="1106"/>
        <w:gridCol w:w="950"/>
        <w:gridCol w:w="1259"/>
      </w:tblGrid>
      <w:tr>
        <w:trPr>
          <w:trHeight w:val="319" w:hRule="exact"/>
        </w:trPr>
        <w:tc>
          <w:tcPr>
            <w:tcW w:w="2945" w:type="dxa"/>
            <w:tcBorders>
              <w:top w:val="single" w:sz="6" w:space="0" w:color="A8483D"/>
            </w:tcBorders>
          </w:tcPr>
          <w:p>
            <w:pPr>
              <w:pStyle w:val="TableParagraph"/>
              <w:spacing w:before="38"/>
              <w:ind w:left="198"/>
              <w:rPr>
                <w:sz w:val="18"/>
              </w:rPr>
            </w:pPr>
            <w:r>
              <w:rPr>
                <w:color w:val="231F1F"/>
                <w:w w:val="105"/>
                <w:sz w:val="18"/>
              </w:rPr>
              <w:t>Don  Ignacio  Olascoaga</w:t>
            </w:r>
          </w:p>
        </w:tc>
        <w:tc>
          <w:tcPr>
            <w:tcW w:w="1459" w:type="dxa"/>
            <w:tcBorders>
              <w:top w:val="single" w:sz="6" w:space="0" w:color="A8483D"/>
            </w:tcBorders>
          </w:tcPr>
          <w:p>
            <w:pPr>
              <w:pStyle w:val="TableParagraph"/>
              <w:spacing w:before="42"/>
              <w:ind w:left="522"/>
              <w:rPr>
                <w:sz w:val="16"/>
              </w:rPr>
            </w:pPr>
            <w:r>
              <w:rPr>
                <w:color w:val="603328"/>
                <w:w w:val="120"/>
                <w:sz w:val="16"/>
              </w:rPr>
              <w:t>19</w:t>
            </w:r>
          </w:p>
        </w:tc>
        <w:tc>
          <w:tcPr>
            <w:tcW w:w="1451" w:type="dxa"/>
            <w:tcBorders>
              <w:top w:val="single" w:sz="6" w:space="0" w:color="A8483D"/>
            </w:tcBorders>
          </w:tcPr>
          <w:p>
            <w:pPr/>
          </w:p>
        </w:tc>
        <w:tc>
          <w:tcPr>
            <w:tcW w:w="1265" w:type="dxa"/>
            <w:tcBorders>
              <w:top w:val="single" w:sz="6" w:space="0" w:color="A8483D"/>
            </w:tcBorders>
          </w:tcPr>
          <w:p>
            <w:pPr/>
          </w:p>
        </w:tc>
        <w:tc>
          <w:tcPr>
            <w:tcW w:w="1048" w:type="dxa"/>
            <w:tcBorders>
              <w:top w:val="single" w:sz="6" w:space="0" w:color="A8483D"/>
            </w:tcBorders>
          </w:tcPr>
          <w:p>
            <w:pPr/>
          </w:p>
        </w:tc>
        <w:tc>
          <w:tcPr>
            <w:tcW w:w="1106" w:type="dxa"/>
            <w:tcBorders>
              <w:top w:val="single" w:sz="6" w:space="0" w:color="A8483D"/>
            </w:tcBorders>
          </w:tcPr>
          <w:p>
            <w:pPr>
              <w:pStyle w:val="TableParagraph"/>
              <w:spacing w:before="42"/>
              <w:ind w:left="548"/>
              <w:rPr>
                <w:sz w:val="16"/>
              </w:rPr>
            </w:pPr>
            <w:r>
              <w:rPr>
                <w:color w:val="603328"/>
                <w:w w:val="122"/>
                <w:sz w:val="16"/>
              </w:rPr>
              <w:t>8</w:t>
            </w:r>
          </w:p>
        </w:tc>
        <w:tc>
          <w:tcPr>
            <w:tcW w:w="950" w:type="dxa"/>
            <w:tcBorders>
              <w:top w:val="single" w:sz="6" w:space="0" w:color="A8483D"/>
            </w:tcBorders>
          </w:tcPr>
          <w:p>
            <w:pPr>
              <w:pStyle w:val="TableParagraph"/>
              <w:spacing w:before="42"/>
              <w:ind w:left="363"/>
              <w:rPr>
                <w:sz w:val="16"/>
              </w:rPr>
            </w:pPr>
            <w:r>
              <w:rPr>
                <w:color w:val="603328"/>
                <w:w w:val="122"/>
                <w:sz w:val="16"/>
              </w:rPr>
              <w:t>2</w:t>
            </w:r>
          </w:p>
        </w:tc>
        <w:tc>
          <w:tcPr>
            <w:tcW w:w="1259" w:type="dxa"/>
            <w:tcBorders>
              <w:top w:val="single" w:sz="6" w:space="0" w:color="A8483D"/>
            </w:tcBorders>
          </w:tcPr>
          <w:p>
            <w:pPr>
              <w:pStyle w:val="TableParagraph"/>
              <w:spacing w:before="42"/>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Don  Manuel Arce</w:t>
            </w:r>
          </w:p>
        </w:tc>
        <w:tc>
          <w:tcPr>
            <w:tcW w:w="1459" w:type="dxa"/>
          </w:tcPr>
          <w:p>
            <w:pPr>
              <w:pStyle w:val="TableParagraph"/>
              <w:ind w:left="522"/>
              <w:rPr>
                <w:sz w:val="16"/>
              </w:rPr>
            </w:pPr>
            <w:r>
              <w:rPr>
                <w:color w:val="603328"/>
                <w:w w:val="120"/>
                <w:sz w:val="16"/>
              </w:rPr>
              <w:t>12</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5</w:t>
            </w:r>
          </w:p>
        </w:tc>
        <w:tc>
          <w:tcPr>
            <w:tcW w:w="950" w:type="dxa"/>
          </w:tcPr>
          <w:p>
            <w:pPr>
              <w:pStyle w:val="TableParagraph"/>
              <w:ind w:left="363"/>
              <w:rPr>
                <w:sz w:val="16"/>
              </w:rPr>
            </w:pPr>
            <w:r>
              <w:rPr>
                <w:color w:val="603328"/>
                <w:w w:val="122"/>
                <w:sz w:val="16"/>
              </w:rPr>
              <w:t>2</w:t>
            </w: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Don Juan José  Hernández</w:t>
            </w:r>
          </w:p>
        </w:tc>
        <w:tc>
          <w:tcPr>
            <w:tcW w:w="1459" w:type="dxa"/>
          </w:tcPr>
          <w:p>
            <w:pPr>
              <w:pStyle w:val="TableParagraph"/>
              <w:ind w:left="472"/>
              <w:rPr>
                <w:sz w:val="16"/>
              </w:rPr>
            </w:pPr>
            <w:r>
              <w:rPr>
                <w:color w:val="603328"/>
                <w:w w:val="120"/>
                <w:sz w:val="16"/>
              </w:rPr>
              <w:t>214</w:t>
            </w:r>
          </w:p>
        </w:tc>
        <w:tc>
          <w:tcPr>
            <w:tcW w:w="1451" w:type="dxa"/>
          </w:tcPr>
          <w:p>
            <w:pPr>
              <w:pStyle w:val="TableParagraph"/>
              <w:ind w:right="562"/>
              <w:jc w:val="right"/>
              <w:rPr>
                <w:sz w:val="16"/>
              </w:rPr>
            </w:pPr>
            <w:r>
              <w:rPr>
                <w:color w:val="603328"/>
                <w:w w:val="120"/>
                <w:sz w:val="16"/>
              </w:rPr>
              <w:t>13</w:t>
            </w:r>
          </w:p>
        </w:tc>
        <w:tc>
          <w:tcPr>
            <w:tcW w:w="1265" w:type="dxa"/>
          </w:tcPr>
          <w:p>
            <w:pPr>
              <w:pStyle w:val="TableParagraph"/>
              <w:ind w:left="64"/>
              <w:jc w:val="center"/>
              <w:rPr>
                <w:sz w:val="16"/>
              </w:rPr>
            </w:pPr>
            <w:r>
              <w:rPr>
                <w:color w:val="603328"/>
                <w:w w:val="122"/>
                <w:sz w:val="16"/>
              </w:rPr>
              <w:t>5</w:t>
            </w:r>
          </w:p>
        </w:tc>
        <w:tc>
          <w:tcPr>
            <w:tcW w:w="1048" w:type="dxa"/>
          </w:tcPr>
          <w:p>
            <w:pPr>
              <w:pStyle w:val="TableParagraph"/>
              <w:ind w:right="446"/>
              <w:jc w:val="right"/>
              <w:rPr>
                <w:sz w:val="16"/>
              </w:rPr>
            </w:pPr>
            <w:r>
              <w:rPr>
                <w:color w:val="603328"/>
                <w:w w:val="122"/>
                <w:sz w:val="16"/>
              </w:rPr>
              <w:t>1</w:t>
            </w:r>
          </w:p>
        </w:tc>
        <w:tc>
          <w:tcPr>
            <w:tcW w:w="1106" w:type="dxa"/>
          </w:tcPr>
          <w:p>
            <w:pPr>
              <w:pStyle w:val="TableParagraph"/>
              <w:ind w:left="498"/>
              <w:rPr>
                <w:sz w:val="16"/>
              </w:rPr>
            </w:pPr>
            <w:r>
              <w:rPr>
                <w:color w:val="603328"/>
                <w:w w:val="120"/>
                <w:sz w:val="16"/>
              </w:rPr>
              <w:t>95</w:t>
            </w:r>
          </w:p>
        </w:tc>
        <w:tc>
          <w:tcPr>
            <w:tcW w:w="950" w:type="dxa"/>
          </w:tcPr>
          <w:p>
            <w:pPr>
              <w:pStyle w:val="TableParagraph"/>
              <w:ind w:left="363"/>
              <w:rPr>
                <w:sz w:val="16"/>
              </w:rPr>
            </w:pPr>
            <w:r>
              <w:rPr>
                <w:color w:val="603328"/>
                <w:w w:val="122"/>
                <w:sz w:val="16"/>
              </w:rPr>
              <w:t>1</w:t>
            </w: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Don José Manuel  López</w:t>
            </w:r>
          </w:p>
        </w:tc>
        <w:tc>
          <w:tcPr>
            <w:tcW w:w="1459" w:type="dxa"/>
          </w:tcPr>
          <w:p>
            <w:pPr>
              <w:pStyle w:val="TableParagraph"/>
              <w:ind w:left="472"/>
              <w:rPr>
                <w:sz w:val="16"/>
              </w:rPr>
            </w:pPr>
            <w:r>
              <w:rPr>
                <w:color w:val="603328"/>
                <w:w w:val="120"/>
                <w:sz w:val="16"/>
              </w:rPr>
              <w:t>149</w:t>
            </w:r>
          </w:p>
        </w:tc>
        <w:tc>
          <w:tcPr>
            <w:tcW w:w="1451" w:type="dxa"/>
          </w:tcPr>
          <w:p>
            <w:pPr>
              <w:pStyle w:val="TableParagraph"/>
              <w:ind w:right="562"/>
              <w:jc w:val="right"/>
              <w:rPr>
                <w:sz w:val="16"/>
              </w:rPr>
            </w:pPr>
            <w:r>
              <w:rPr>
                <w:color w:val="603328"/>
                <w:w w:val="120"/>
                <w:sz w:val="16"/>
              </w:rPr>
              <w:t>27</w:t>
            </w:r>
          </w:p>
        </w:tc>
        <w:tc>
          <w:tcPr>
            <w:tcW w:w="1265" w:type="dxa"/>
          </w:tcPr>
          <w:p>
            <w:pPr>
              <w:pStyle w:val="TableParagraph"/>
              <w:ind w:left="547" w:right="483"/>
              <w:jc w:val="center"/>
              <w:rPr>
                <w:sz w:val="16"/>
              </w:rPr>
            </w:pPr>
            <w:r>
              <w:rPr>
                <w:color w:val="603328"/>
                <w:w w:val="120"/>
                <w:sz w:val="16"/>
              </w:rPr>
              <w:t>14</w:t>
            </w:r>
          </w:p>
        </w:tc>
        <w:tc>
          <w:tcPr>
            <w:tcW w:w="1048" w:type="dxa"/>
          </w:tcPr>
          <w:p>
            <w:pPr>
              <w:pStyle w:val="TableParagraph"/>
              <w:ind w:right="446"/>
              <w:jc w:val="right"/>
              <w:rPr>
                <w:sz w:val="16"/>
              </w:rPr>
            </w:pPr>
            <w:r>
              <w:rPr>
                <w:color w:val="603328"/>
                <w:w w:val="122"/>
                <w:sz w:val="16"/>
              </w:rPr>
              <w:t>6</w:t>
            </w:r>
          </w:p>
        </w:tc>
        <w:tc>
          <w:tcPr>
            <w:tcW w:w="1106" w:type="dxa"/>
          </w:tcPr>
          <w:p>
            <w:pPr>
              <w:pStyle w:val="TableParagraph"/>
              <w:ind w:left="498"/>
              <w:rPr>
                <w:sz w:val="16"/>
              </w:rPr>
            </w:pPr>
            <w:r>
              <w:rPr>
                <w:color w:val="603328"/>
                <w:w w:val="120"/>
                <w:sz w:val="16"/>
              </w:rPr>
              <w:t>69</w:t>
            </w:r>
          </w:p>
        </w:tc>
        <w:tc>
          <w:tcPr>
            <w:tcW w:w="950" w:type="dxa"/>
          </w:tcPr>
          <w:p>
            <w:pPr>
              <w:pStyle w:val="TableParagraph"/>
              <w:ind w:left="363"/>
              <w:rPr>
                <w:sz w:val="16"/>
              </w:rPr>
            </w:pPr>
            <w:r>
              <w:rPr>
                <w:color w:val="603328"/>
                <w:w w:val="122"/>
                <w:sz w:val="16"/>
              </w:rPr>
              <w:t>1</w:t>
            </w:r>
          </w:p>
        </w:tc>
        <w:tc>
          <w:tcPr>
            <w:tcW w:w="1259" w:type="dxa"/>
          </w:tcPr>
          <w:p>
            <w:pPr>
              <w:pStyle w:val="TableParagraph"/>
              <w:ind w:left="530"/>
              <w:rPr>
                <w:sz w:val="16"/>
              </w:rPr>
            </w:pPr>
            <w:r>
              <w:rPr>
                <w:color w:val="603328"/>
                <w:w w:val="122"/>
                <w:sz w:val="16"/>
              </w:rPr>
              <w:t>1</w:t>
            </w:r>
          </w:p>
        </w:tc>
      </w:tr>
      <w:tr>
        <w:trPr>
          <w:trHeight w:val="297" w:hRule="exact"/>
        </w:trPr>
        <w:tc>
          <w:tcPr>
            <w:tcW w:w="2945" w:type="dxa"/>
          </w:tcPr>
          <w:p>
            <w:pPr>
              <w:pStyle w:val="TableParagraph"/>
              <w:spacing w:before="24"/>
              <w:ind w:left="198"/>
              <w:rPr>
                <w:sz w:val="18"/>
              </w:rPr>
            </w:pPr>
            <w:r>
              <w:rPr>
                <w:color w:val="231F1F"/>
                <w:w w:val="105"/>
                <w:sz w:val="18"/>
              </w:rPr>
              <w:t>María Agustina Sánchez</w:t>
            </w:r>
          </w:p>
        </w:tc>
        <w:tc>
          <w:tcPr>
            <w:tcW w:w="1459" w:type="dxa"/>
          </w:tcPr>
          <w:p>
            <w:pPr>
              <w:pStyle w:val="TableParagraph"/>
              <w:ind w:left="572"/>
              <w:rPr>
                <w:sz w:val="16"/>
              </w:rPr>
            </w:pPr>
            <w:r>
              <w:rPr>
                <w:color w:val="603328"/>
                <w:w w:val="122"/>
                <w:sz w:val="16"/>
              </w:rPr>
              <w:t>1</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Pedro Ramos</w:t>
            </w:r>
          </w:p>
        </w:tc>
        <w:tc>
          <w:tcPr>
            <w:tcW w:w="1459" w:type="dxa"/>
          </w:tcPr>
          <w:p>
            <w:pPr>
              <w:pStyle w:val="TableParagraph"/>
              <w:ind w:left="572"/>
              <w:rPr>
                <w:sz w:val="16"/>
              </w:rPr>
            </w:pPr>
            <w:r>
              <w:rPr>
                <w:color w:val="603328"/>
                <w:w w:val="122"/>
                <w:sz w:val="16"/>
              </w:rPr>
              <w:t>5</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2</w:t>
            </w:r>
          </w:p>
        </w:tc>
        <w:tc>
          <w:tcPr>
            <w:tcW w:w="950" w:type="dxa"/>
          </w:tcPr>
          <w:p>
            <w:pPr>
              <w:pStyle w:val="TableParagraph"/>
              <w:ind w:left="363"/>
              <w:rPr>
                <w:sz w:val="16"/>
              </w:rPr>
            </w:pPr>
            <w:r>
              <w:rPr>
                <w:color w:val="603328"/>
                <w:w w:val="122"/>
                <w:sz w:val="16"/>
              </w:rPr>
              <w:t>1</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w w:val="105"/>
                <w:sz w:val="18"/>
              </w:rPr>
              <w:t>Juan de Dios Hernández</w:t>
            </w:r>
          </w:p>
        </w:tc>
        <w:tc>
          <w:tcPr>
            <w:tcW w:w="1459" w:type="dxa"/>
          </w:tcPr>
          <w:p>
            <w:pPr>
              <w:pStyle w:val="TableParagraph"/>
              <w:ind w:left="572"/>
              <w:rPr>
                <w:sz w:val="16"/>
              </w:rPr>
            </w:pPr>
            <w:r>
              <w:rPr>
                <w:color w:val="603328"/>
                <w:w w:val="122"/>
                <w:sz w:val="16"/>
              </w:rPr>
              <w:t>7</w:t>
            </w:r>
          </w:p>
        </w:tc>
        <w:tc>
          <w:tcPr>
            <w:tcW w:w="1451" w:type="dxa"/>
          </w:tcPr>
          <w:p>
            <w:pPr>
              <w:pStyle w:val="TableParagraph"/>
              <w:ind w:right="613"/>
              <w:jc w:val="right"/>
              <w:rPr>
                <w:sz w:val="16"/>
              </w:rPr>
            </w:pPr>
            <w:r>
              <w:rPr>
                <w:color w:val="603328"/>
                <w:w w:val="122"/>
                <w:sz w:val="16"/>
              </w:rPr>
              <w:t>4</w:t>
            </w: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3</w:t>
            </w:r>
          </w:p>
        </w:tc>
        <w:tc>
          <w:tcPr>
            <w:tcW w:w="950" w:type="dxa"/>
          </w:tcPr>
          <w:p>
            <w:pPr>
              <w:pStyle w:val="TableParagraph"/>
              <w:ind w:left="363"/>
              <w:rPr>
                <w:sz w:val="16"/>
              </w:rPr>
            </w:pPr>
            <w:r>
              <w:rPr>
                <w:color w:val="603328"/>
                <w:w w:val="122"/>
                <w:sz w:val="16"/>
              </w:rPr>
              <w:t>5</w:t>
            </w:r>
          </w:p>
        </w:tc>
        <w:tc>
          <w:tcPr>
            <w:tcW w:w="1259" w:type="dxa"/>
          </w:tcPr>
          <w:p>
            <w:pPr>
              <w:pStyle w:val="TableParagraph"/>
              <w:ind w:left="530"/>
              <w:rPr>
                <w:sz w:val="16"/>
              </w:rPr>
            </w:pPr>
            <w:r>
              <w:rPr>
                <w:color w:val="603328"/>
                <w:w w:val="122"/>
                <w:sz w:val="16"/>
              </w:rPr>
              <w:t>2</w:t>
            </w:r>
          </w:p>
        </w:tc>
      </w:tr>
      <w:tr>
        <w:trPr>
          <w:trHeight w:val="297" w:hRule="exact"/>
        </w:trPr>
        <w:tc>
          <w:tcPr>
            <w:tcW w:w="2945" w:type="dxa"/>
          </w:tcPr>
          <w:p>
            <w:pPr>
              <w:pStyle w:val="TableParagraph"/>
              <w:spacing w:before="24"/>
              <w:ind w:left="198"/>
              <w:rPr>
                <w:sz w:val="18"/>
              </w:rPr>
            </w:pPr>
            <w:r>
              <w:rPr>
                <w:color w:val="231F1F"/>
                <w:sz w:val="18"/>
              </w:rPr>
              <w:t>Don  Miguel  Mariano Ximénez</w:t>
            </w:r>
          </w:p>
        </w:tc>
        <w:tc>
          <w:tcPr>
            <w:tcW w:w="1459" w:type="dxa"/>
          </w:tcPr>
          <w:p>
            <w:pPr>
              <w:pStyle w:val="TableParagraph"/>
              <w:ind w:left="472"/>
              <w:rPr>
                <w:sz w:val="16"/>
              </w:rPr>
            </w:pPr>
            <w:r>
              <w:rPr>
                <w:color w:val="603328"/>
                <w:w w:val="120"/>
                <w:sz w:val="16"/>
              </w:rPr>
              <w:t>836</w:t>
            </w:r>
          </w:p>
        </w:tc>
        <w:tc>
          <w:tcPr>
            <w:tcW w:w="1451" w:type="dxa"/>
          </w:tcPr>
          <w:p>
            <w:pPr/>
          </w:p>
        </w:tc>
        <w:tc>
          <w:tcPr>
            <w:tcW w:w="1265" w:type="dxa"/>
          </w:tcPr>
          <w:p>
            <w:pPr/>
          </w:p>
        </w:tc>
        <w:tc>
          <w:tcPr>
            <w:tcW w:w="1048" w:type="dxa"/>
          </w:tcPr>
          <w:p>
            <w:pPr/>
          </w:p>
        </w:tc>
        <w:tc>
          <w:tcPr>
            <w:tcW w:w="1106" w:type="dxa"/>
          </w:tcPr>
          <w:p>
            <w:pPr>
              <w:pStyle w:val="TableParagraph"/>
              <w:ind w:left="448"/>
              <w:rPr>
                <w:sz w:val="16"/>
              </w:rPr>
            </w:pPr>
            <w:r>
              <w:rPr>
                <w:color w:val="603328"/>
                <w:w w:val="120"/>
                <w:sz w:val="16"/>
              </w:rPr>
              <w:t>365</w:t>
            </w:r>
          </w:p>
        </w:tc>
        <w:tc>
          <w:tcPr>
            <w:tcW w:w="950" w:type="dxa"/>
          </w:tcPr>
          <w:p>
            <w:pPr>
              <w:pStyle w:val="TableParagraph"/>
              <w:ind w:left="363"/>
              <w:rPr>
                <w:sz w:val="16"/>
              </w:rPr>
            </w:pPr>
            <w:r>
              <w:rPr>
                <w:color w:val="603328"/>
                <w:w w:val="122"/>
                <w:sz w:val="16"/>
              </w:rPr>
              <w:t>6</w:t>
            </w: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José María</w:t>
            </w:r>
          </w:p>
        </w:tc>
        <w:tc>
          <w:tcPr>
            <w:tcW w:w="1459" w:type="dxa"/>
          </w:tcPr>
          <w:p>
            <w:pPr>
              <w:pStyle w:val="TableParagraph"/>
              <w:ind w:left="572"/>
              <w:rPr>
                <w:sz w:val="16"/>
              </w:rPr>
            </w:pPr>
            <w:r>
              <w:rPr>
                <w:color w:val="603328"/>
                <w:w w:val="122"/>
                <w:sz w:val="16"/>
              </w:rPr>
              <w:t>2</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7</w:t>
            </w: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Bernardo Ríos</w:t>
            </w:r>
          </w:p>
        </w:tc>
        <w:tc>
          <w:tcPr>
            <w:tcW w:w="1459" w:type="dxa"/>
          </w:tcPr>
          <w:p>
            <w:pPr>
              <w:pStyle w:val="TableParagraph"/>
              <w:ind w:left="572"/>
              <w:rPr>
                <w:sz w:val="16"/>
              </w:rPr>
            </w:pPr>
            <w:r>
              <w:rPr>
                <w:color w:val="603328"/>
                <w:w w:val="122"/>
                <w:sz w:val="16"/>
              </w:rPr>
              <w:t>5</w:t>
            </w:r>
          </w:p>
        </w:tc>
        <w:tc>
          <w:tcPr>
            <w:tcW w:w="1451" w:type="dxa"/>
          </w:tcPr>
          <w:p>
            <w:pPr>
              <w:pStyle w:val="TableParagraph"/>
              <w:ind w:right="613"/>
              <w:jc w:val="right"/>
              <w:rPr>
                <w:sz w:val="16"/>
              </w:rPr>
            </w:pPr>
            <w:r>
              <w:rPr>
                <w:color w:val="603328"/>
                <w:w w:val="122"/>
                <w:sz w:val="16"/>
              </w:rPr>
              <w:t>3</w:t>
            </w:r>
          </w:p>
        </w:tc>
        <w:tc>
          <w:tcPr>
            <w:tcW w:w="1265" w:type="dxa"/>
          </w:tcPr>
          <w:p>
            <w:pPr>
              <w:pStyle w:val="TableParagraph"/>
              <w:ind w:left="64"/>
              <w:jc w:val="center"/>
              <w:rPr>
                <w:sz w:val="16"/>
              </w:rPr>
            </w:pPr>
            <w:r>
              <w:rPr>
                <w:color w:val="603328"/>
                <w:w w:val="122"/>
                <w:sz w:val="16"/>
              </w:rPr>
              <w:t>2</w:t>
            </w:r>
          </w:p>
        </w:tc>
        <w:tc>
          <w:tcPr>
            <w:tcW w:w="1048" w:type="dxa"/>
          </w:tcPr>
          <w:p>
            <w:pPr/>
          </w:p>
        </w:tc>
        <w:tc>
          <w:tcPr>
            <w:tcW w:w="1106" w:type="dxa"/>
          </w:tcPr>
          <w:p>
            <w:pPr>
              <w:pStyle w:val="TableParagraph"/>
              <w:ind w:left="548"/>
              <w:rPr>
                <w:sz w:val="16"/>
              </w:rPr>
            </w:pPr>
            <w:r>
              <w:rPr>
                <w:color w:val="603328"/>
                <w:w w:val="122"/>
                <w:sz w:val="16"/>
              </w:rPr>
              <w:t>2</w:t>
            </w:r>
          </w:p>
        </w:tc>
        <w:tc>
          <w:tcPr>
            <w:tcW w:w="950" w:type="dxa"/>
          </w:tcPr>
          <w:p>
            <w:pPr>
              <w:pStyle w:val="TableParagraph"/>
              <w:ind w:left="363"/>
              <w:rPr>
                <w:sz w:val="16"/>
              </w:rPr>
            </w:pPr>
            <w:r>
              <w:rPr>
                <w:color w:val="603328"/>
                <w:w w:val="122"/>
                <w:sz w:val="16"/>
              </w:rPr>
              <w:t>5</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Don  José Blancas</w:t>
            </w:r>
          </w:p>
        </w:tc>
        <w:tc>
          <w:tcPr>
            <w:tcW w:w="1459" w:type="dxa"/>
          </w:tcPr>
          <w:p>
            <w:pPr>
              <w:pStyle w:val="TableParagraph"/>
              <w:ind w:left="522"/>
              <w:rPr>
                <w:sz w:val="16"/>
              </w:rPr>
            </w:pPr>
            <w:r>
              <w:rPr>
                <w:color w:val="603328"/>
                <w:w w:val="120"/>
                <w:sz w:val="16"/>
              </w:rPr>
              <w:t>98</w:t>
            </w:r>
          </w:p>
        </w:tc>
        <w:tc>
          <w:tcPr>
            <w:tcW w:w="1451" w:type="dxa"/>
          </w:tcPr>
          <w:p>
            <w:pPr>
              <w:pStyle w:val="TableParagraph"/>
              <w:ind w:right="613"/>
              <w:jc w:val="right"/>
              <w:rPr>
                <w:sz w:val="16"/>
              </w:rPr>
            </w:pPr>
            <w:r>
              <w:rPr>
                <w:color w:val="603328"/>
                <w:w w:val="122"/>
                <w:sz w:val="16"/>
              </w:rPr>
              <w:t>1</w:t>
            </w:r>
          </w:p>
        </w:tc>
        <w:tc>
          <w:tcPr>
            <w:tcW w:w="1265" w:type="dxa"/>
          </w:tcPr>
          <w:p>
            <w:pPr>
              <w:pStyle w:val="TableParagraph"/>
              <w:ind w:left="64"/>
              <w:jc w:val="center"/>
              <w:rPr>
                <w:sz w:val="16"/>
              </w:rPr>
            </w:pPr>
            <w:r>
              <w:rPr>
                <w:color w:val="603328"/>
                <w:w w:val="122"/>
                <w:sz w:val="16"/>
              </w:rPr>
              <w:t>1</w:t>
            </w:r>
          </w:p>
        </w:tc>
        <w:tc>
          <w:tcPr>
            <w:tcW w:w="1048" w:type="dxa"/>
          </w:tcPr>
          <w:p>
            <w:pPr>
              <w:pStyle w:val="TableParagraph"/>
              <w:ind w:right="446"/>
              <w:jc w:val="right"/>
              <w:rPr>
                <w:sz w:val="16"/>
              </w:rPr>
            </w:pPr>
            <w:r>
              <w:rPr>
                <w:color w:val="603328"/>
                <w:w w:val="122"/>
                <w:sz w:val="16"/>
              </w:rPr>
              <w:t>1</w:t>
            </w:r>
          </w:p>
        </w:tc>
        <w:tc>
          <w:tcPr>
            <w:tcW w:w="1106" w:type="dxa"/>
          </w:tcPr>
          <w:p>
            <w:pPr>
              <w:pStyle w:val="TableParagraph"/>
              <w:ind w:left="498"/>
              <w:rPr>
                <w:sz w:val="16"/>
              </w:rPr>
            </w:pPr>
            <w:r>
              <w:rPr>
                <w:color w:val="603328"/>
                <w:w w:val="120"/>
                <w:sz w:val="16"/>
              </w:rPr>
              <w:t>43</w:t>
            </w:r>
          </w:p>
        </w:tc>
        <w:tc>
          <w:tcPr>
            <w:tcW w:w="950" w:type="dxa"/>
          </w:tcPr>
          <w:p>
            <w:pP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Don Antonio Rueda</w:t>
            </w:r>
          </w:p>
        </w:tc>
        <w:tc>
          <w:tcPr>
            <w:tcW w:w="1459" w:type="dxa"/>
          </w:tcPr>
          <w:p>
            <w:pPr>
              <w:pStyle w:val="TableParagraph"/>
              <w:ind w:left="522"/>
              <w:rPr>
                <w:sz w:val="16"/>
              </w:rPr>
            </w:pPr>
            <w:r>
              <w:rPr>
                <w:color w:val="603328"/>
                <w:w w:val="120"/>
                <w:sz w:val="16"/>
              </w:rPr>
              <w:t>79</w:t>
            </w:r>
          </w:p>
        </w:tc>
        <w:tc>
          <w:tcPr>
            <w:tcW w:w="1451" w:type="dxa"/>
          </w:tcPr>
          <w:p>
            <w:pPr>
              <w:pStyle w:val="TableParagraph"/>
              <w:ind w:right="562"/>
              <w:jc w:val="right"/>
              <w:rPr>
                <w:sz w:val="16"/>
              </w:rPr>
            </w:pPr>
            <w:r>
              <w:rPr>
                <w:color w:val="603328"/>
                <w:w w:val="120"/>
                <w:sz w:val="16"/>
              </w:rPr>
              <w:t>28</w:t>
            </w:r>
          </w:p>
        </w:tc>
        <w:tc>
          <w:tcPr>
            <w:tcW w:w="1265" w:type="dxa"/>
          </w:tcPr>
          <w:p>
            <w:pPr>
              <w:pStyle w:val="TableParagraph"/>
              <w:ind w:left="547" w:right="483"/>
              <w:jc w:val="center"/>
              <w:rPr>
                <w:sz w:val="16"/>
              </w:rPr>
            </w:pPr>
            <w:r>
              <w:rPr>
                <w:color w:val="603328"/>
                <w:w w:val="120"/>
                <w:sz w:val="16"/>
              </w:rPr>
              <w:t>21</w:t>
            </w:r>
          </w:p>
        </w:tc>
        <w:tc>
          <w:tcPr>
            <w:tcW w:w="1048" w:type="dxa"/>
          </w:tcPr>
          <w:p>
            <w:pPr>
              <w:pStyle w:val="TableParagraph"/>
              <w:ind w:right="446"/>
              <w:jc w:val="right"/>
              <w:rPr>
                <w:sz w:val="16"/>
              </w:rPr>
            </w:pPr>
            <w:r>
              <w:rPr>
                <w:color w:val="603328"/>
                <w:w w:val="122"/>
                <w:sz w:val="16"/>
              </w:rPr>
              <w:t>6</w:t>
            </w:r>
          </w:p>
        </w:tc>
        <w:tc>
          <w:tcPr>
            <w:tcW w:w="1106" w:type="dxa"/>
          </w:tcPr>
          <w:p>
            <w:pPr>
              <w:pStyle w:val="TableParagraph"/>
              <w:ind w:left="498"/>
              <w:rPr>
                <w:sz w:val="16"/>
              </w:rPr>
            </w:pPr>
            <w:r>
              <w:rPr>
                <w:color w:val="603328"/>
                <w:w w:val="120"/>
                <w:sz w:val="16"/>
              </w:rPr>
              <w:t>39</w:t>
            </w:r>
          </w:p>
        </w:tc>
        <w:tc>
          <w:tcPr>
            <w:tcW w:w="950" w:type="dxa"/>
          </w:tcPr>
          <w:p>
            <w:pP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Manuel  Gómez Ayllón</w:t>
            </w:r>
          </w:p>
        </w:tc>
        <w:tc>
          <w:tcPr>
            <w:tcW w:w="1459" w:type="dxa"/>
          </w:tcPr>
          <w:p>
            <w:pPr>
              <w:pStyle w:val="TableParagraph"/>
              <w:ind w:left="572"/>
              <w:rPr>
                <w:sz w:val="16"/>
              </w:rPr>
            </w:pPr>
            <w:r>
              <w:rPr>
                <w:color w:val="603328"/>
                <w:w w:val="122"/>
                <w:sz w:val="16"/>
              </w:rPr>
              <w:t>4</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1</w:t>
            </w:r>
          </w:p>
        </w:tc>
        <w:tc>
          <w:tcPr>
            <w:tcW w:w="950" w:type="dxa"/>
          </w:tcPr>
          <w:p>
            <w:pPr>
              <w:pStyle w:val="TableParagraph"/>
              <w:ind w:left="363"/>
              <w:rPr>
                <w:sz w:val="16"/>
              </w:rPr>
            </w:pPr>
            <w:r>
              <w:rPr>
                <w:color w:val="603328"/>
                <w:w w:val="122"/>
                <w:sz w:val="16"/>
              </w:rPr>
              <w:t>6</w:t>
            </w:r>
          </w:p>
        </w:tc>
        <w:tc>
          <w:tcPr>
            <w:tcW w:w="1259" w:type="dxa"/>
          </w:tcPr>
          <w:p>
            <w:pPr/>
          </w:p>
        </w:tc>
      </w:tr>
      <w:tr>
        <w:trPr>
          <w:trHeight w:val="297" w:hRule="exact"/>
        </w:trPr>
        <w:tc>
          <w:tcPr>
            <w:tcW w:w="2945" w:type="dxa"/>
          </w:tcPr>
          <w:p>
            <w:pPr>
              <w:pStyle w:val="TableParagraph"/>
              <w:spacing w:before="24"/>
              <w:ind w:left="198"/>
              <w:rPr>
                <w:sz w:val="18"/>
              </w:rPr>
            </w:pPr>
            <w:r>
              <w:rPr>
                <w:color w:val="231F1F"/>
                <w:w w:val="105"/>
                <w:sz w:val="18"/>
              </w:rPr>
              <w:t>Diego Molina</w:t>
            </w:r>
          </w:p>
        </w:tc>
        <w:tc>
          <w:tcPr>
            <w:tcW w:w="1459" w:type="dxa"/>
          </w:tcPr>
          <w:p>
            <w:pPr>
              <w:pStyle w:val="TableParagraph"/>
              <w:ind w:left="572"/>
              <w:rPr>
                <w:sz w:val="16"/>
              </w:rPr>
            </w:pPr>
            <w:r>
              <w:rPr>
                <w:color w:val="603328"/>
                <w:w w:val="122"/>
                <w:sz w:val="16"/>
              </w:rPr>
              <w:t>2</w:t>
            </w:r>
          </w:p>
        </w:tc>
        <w:tc>
          <w:tcPr>
            <w:tcW w:w="1451" w:type="dxa"/>
          </w:tcPr>
          <w:p>
            <w:pPr>
              <w:pStyle w:val="TableParagraph"/>
              <w:ind w:right="613"/>
              <w:jc w:val="right"/>
              <w:rPr>
                <w:sz w:val="16"/>
              </w:rPr>
            </w:pPr>
            <w:r>
              <w:rPr>
                <w:color w:val="603328"/>
                <w:w w:val="122"/>
                <w:sz w:val="16"/>
              </w:rPr>
              <w:t>1</w:t>
            </w: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1</w:t>
            </w:r>
          </w:p>
        </w:tc>
        <w:tc>
          <w:tcPr>
            <w:tcW w:w="950" w:type="dxa"/>
          </w:tcPr>
          <w:p>
            <w:pP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Pedro Tenorio</w:t>
            </w:r>
          </w:p>
        </w:tc>
        <w:tc>
          <w:tcPr>
            <w:tcW w:w="1459" w:type="dxa"/>
          </w:tcPr>
          <w:p>
            <w:pPr>
              <w:pStyle w:val="TableParagraph"/>
              <w:ind w:left="522"/>
              <w:rPr>
                <w:sz w:val="16"/>
              </w:rPr>
            </w:pPr>
            <w:r>
              <w:rPr>
                <w:color w:val="603328"/>
                <w:w w:val="120"/>
                <w:sz w:val="16"/>
              </w:rPr>
              <w:t>10</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4</w:t>
            </w:r>
          </w:p>
        </w:tc>
        <w:tc>
          <w:tcPr>
            <w:tcW w:w="950" w:type="dxa"/>
          </w:tcPr>
          <w:p>
            <w:pPr>
              <w:pStyle w:val="TableParagraph"/>
              <w:ind w:left="363"/>
              <w:rPr>
                <w:sz w:val="16"/>
              </w:rPr>
            </w:pPr>
            <w:r>
              <w:rPr>
                <w:color w:val="603328"/>
                <w:w w:val="122"/>
                <w:sz w:val="16"/>
              </w:rPr>
              <w:t>3</w:t>
            </w:r>
          </w:p>
        </w:tc>
        <w:tc>
          <w:tcPr>
            <w:tcW w:w="1259" w:type="dxa"/>
          </w:tcPr>
          <w:p>
            <w:pPr/>
          </w:p>
        </w:tc>
      </w:tr>
      <w:tr>
        <w:trPr>
          <w:trHeight w:val="297" w:hRule="exact"/>
        </w:trPr>
        <w:tc>
          <w:tcPr>
            <w:tcW w:w="2945" w:type="dxa"/>
          </w:tcPr>
          <w:p>
            <w:pPr>
              <w:pStyle w:val="TableParagraph"/>
              <w:spacing w:before="24"/>
              <w:ind w:left="198"/>
              <w:rPr>
                <w:sz w:val="18"/>
              </w:rPr>
            </w:pPr>
            <w:r>
              <w:rPr>
                <w:color w:val="231F1F"/>
                <w:w w:val="105"/>
                <w:sz w:val="18"/>
              </w:rPr>
              <w:t>Félix Díaz</w:t>
            </w:r>
          </w:p>
        </w:tc>
        <w:tc>
          <w:tcPr>
            <w:tcW w:w="1459" w:type="dxa"/>
          </w:tcPr>
          <w:p>
            <w:pPr>
              <w:pStyle w:val="TableParagraph"/>
              <w:ind w:left="522"/>
              <w:rPr>
                <w:sz w:val="16"/>
              </w:rPr>
            </w:pPr>
            <w:r>
              <w:rPr>
                <w:color w:val="603328"/>
                <w:w w:val="120"/>
                <w:sz w:val="16"/>
              </w:rPr>
              <w:t>17</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7</w:t>
            </w: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Victoriano Arce</w:t>
            </w:r>
          </w:p>
        </w:tc>
        <w:tc>
          <w:tcPr>
            <w:tcW w:w="1459" w:type="dxa"/>
          </w:tcPr>
          <w:p>
            <w:pPr>
              <w:pStyle w:val="TableParagraph"/>
              <w:ind w:left="522"/>
              <w:rPr>
                <w:sz w:val="16"/>
              </w:rPr>
            </w:pPr>
            <w:r>
              <w:rPr>
                <w:color w:val="603328"/>
                <w:w w:val="120"/>
                <w:sz w:val="16"/>
              </w:rPr>
              <w:t>13</w:t>
            </w:r>
          </w:p>
        </w:tc>
        <w:tc>
          <w:tcPr>
            <w:tcW w:w="1451" w:type="dxa"/>
          </w:tcPr>
          <w:p>
            <w:pPr>
              <w:pStyle w:val="TableParagraph"/>
              <w:ind w:right="613"/>
              <w:jc w:val="right"/>
              <w:rPr>
                <w:sz w:val="16"/>
              </w:rPr>
            </w:pPr>
            <w:r>
              <w:rPr>
                <w:color w:val="603328"/>
                <w:w w:val="122"/>
                <w:sz w:val="16"/>
              </w:rPr>
              <w:t>3</w:t>
            </w:r>
          </w:p>
        </w:tc>
        <w:tc>
          <w:tcPr>
            <w:tcW w:w="1265" w:type="dxa"/>
          </w:tcPr>
          <w:p>
            <w:pPr>
              <w:pStyle w:val="TableParagraph"/>
              <w:ind w:left="64"/>
              <w:jc w:val="center"/>
              <w:rPr>
                <w:sz w:val="16"/>
              </w:rPr>
            </w:pPr>
            <w:r>
              <w:rPr>
                <w:color w:val="603328"/>
                <w:w w:val="122"/>
                <w:sz w:val="16"/>
              </w:rPr>
              <w:t>1</w:t>
            </w:r>
          </w:p>
        </w:tc>
        <w:tc>
          <w:tcPr>
            <w:tcW w:w="1048" w:type="dxa"/>
          </w:tcPr>
          <w:p>
            <w:pPr/>
          </w:p>
        </w:tc>
        <w:tc>
          <w:tcPr>
            <w:tcW w:w="1106" w:type="dxa"/>
          </w:tcPr>
          <w:p>
            <w:pPr>
              <w:pStyle w:val="TableParagraph"/>
              <w:ind w:left="548"/>
              <w:rPr>
                <w:sz w:val="16"/>
              </w:rPr>
            </w:pPr>
            <w:r>
              <w:rPr>
                <w:color w:val="603328"/>
                <w:w w:val="122"/>
                <w:sz w:val="16"/>
              </w:rPr>
              <w:t>6</w:t>
            </w:r>
          </w:p>
        </w:tc>
        <w:tc>
          <w:tcPr>
            <w:tcW w:w="950" w:type="dxa"/>
          </w:tcPr>
          <w:p>
            <w:pPr>
              <w:pStyle w:val="TableParagraph"/>
              <w:ind w:left="363"/>
              <w:rPr>
                <w:sz w:val="16"/>
              </w:rPr>
            </w:pPr>
            <w:r>
              <w:rPr>
                <w:color w:val="603328"/>
                <w:w w:val="122"/>
                <w:sz w:val="16"/>
              </w:rPr>
              <w:t>1</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Blas Iragorri</w:t>
            </w:r>
          </w:p>
        </w:tc>
        <w:tc>
          <w:tcPr>
            <w:tcW w:w="1459" w:type="dxa"/>
          </w:tcPr>
          <w:p>
            <w:pPr>
              <w:pStyle w:val="TableParagraph"/>
              <w:ind w:left="572"/>
              <w:rPr>
                <w:sz w:val="16"/>
              </w:rPr>
            </w:pPr>
            <w:r>
              <w:rPr>
                <w:color w:val="603328"/>
                <w:w w:val="122"/>
                <w:sz w:val="16"/>
              </w:rPr>
              <w:t>1</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w w:val="105"/>
                <w:sz w:val="18"/>
              </w:rPr>
              <w:t>José Gómez</w:t>
            </w:r>
          </w:p>
        </w:tc>
        <w:tc>
          <w:tcPr>
            <w:tcW w:w="1459" w:type="dxa"/>
          </w:tcPr>
          <w:p>
            <w:pPr>
              <w:pStyle w:val="TableParagraph"/>
              <w:ind w:left="572"/>
              <w:rPr>
                <w:sz w:val="16"/>
              </w:rPr>
            </w:pPr>
            <w:r>
              <w:rPr>
                <w:color w:val="603328"/>
                <w:w w:val="122"/>
                <w:sz w:val="16"/>
              </w:rPr>
              <w:t>1</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w w:val="110"/>
                <w:sz w:val="18"/>
              </w:rPr>
              <w:t>Doña María García</w:t>
            </w:r>
          </w:p>
        </w:tc>
        <w:tc>
          <w:tcPr>
            <w:tcW w:w="1459" w:type="dxa"/>
          </w:tcPr>
          <w:p>
            <w:pPr>
              <w:pStyle w:val="TableParagraph"/>
              <w:ind w:left="572"/>
              <w:rPr>
                <w:sz w:val="16"/>
              </w:rPr>
            </w:pPr>
            <w:r>
              <w:rPr>
                <w:color w:val="603328"/>
                <w:w w:val="122"/>
                <w:sz w:val="16"/>
              </w:rPr>
              <w:t>6</w:t>
            </w:r>
          </w:p>
        </w:tc>
        <w:tc>
          <w:tcPr>
            <w:tcW w:w="1451" w:type="dxa"/>
          </w:tcPr>
          <w:p>
            <w:pPr>
              <w:pStyle w:val="TableParagraph"/>
              <w:ind w:right="613"/>
              <w:jc w:val="right"/>
              <w:rPr>
                <w:sz w:val="16"/>
              </w:rPr>
            </w:pPr>
            <w:r>
              <w:rPr>
                <w:color w:val="603328"/>
                <w:w w:val="122"/>
                <w:sz w:val="16"/>
              </w:rPr>
              <w:t>3</w:t>
            </w:r>
          </w:p>
        </w:tc>
        <w:tc>
          <w:tcPr>
            <w:tcW w:w="1265" w:type="dxa"/>
          </w:tcPr>
          <w:p>
            <w:pPr>
              <w:pStyle w:val="TableParagraph"/>
              <w:ind w:left="64"/>
              <w:jc w:val="center"/>
              <w:rPr>
                <w:sz w:val="16"/>
              </w:rPr>
            </w:pPr>
            <w:r>
              <w:rPr>
                <w:color w:val="603328"/>
                <w:w w:val="122"/>
                <w:sz w:val="16"/>
              </w:rPr>
              <w:t>2</w:t>
            </w:r>
          </w:p>
        </w:tc>
        <w:tc>
          <w:tcPr>
            <w:tcW w:w="1048" w:type="dxa"/>
          </w:tcPr>
          <w:p>
            <w:pPr>
              <w:pStyle w:val="TableParagraph"/>
              <w:ind w:right="446"/>
              <w:jc w:val="right"/>
              <w:rPr>
                <w:sz w:val="16"/>
              </w:rPr>
            </w:pPr>
            <w:r>
              <w:rPr>
                <w:color w:val="603328"/>
                <w:w w:val="122"/>
                <w:sz w:val="16"/>
              </w:rPr>
              <w:t>2</w:t>
            </w:r>
          </w:p>
        </w:tc>
        <w:tc>
          <w:tcPr>
            <w:tcW w:w="1106" w:type="dxa"/>
          </w:tcPr>
          <w:p>
            <w:pPr>
              <w:pStyle w:val="TableParagraph"/>
              <w:ind w:left="548"/>
              <w:rPr>
                <w:sz w:val="16"/>
              </w:rPr>
            </w:pPr>
            <w:r>
              <w:rPr>
                <w:color w:val="603328"/>
                <w:w w:val="122"/>
                <w:sz w:val="16"/>
              </w:rPr>
              <w:t>3</w:t>
            </w:r>
          </w:p>
        </w:tc>
        <w:tc>
          <w:tcPr>
            <w:tcW w:w="950" w:type="dxa"/>
          </w:tcPr>
          <w:p>
            <w:pPr>
              <w:pStyle w:val="TableParagraph"/>
              <w:ind w:left="363"/>
              <w:rPr>
                <w:sz w:val="16"/>
              </w:rPr>
            </w:pPr>
            <w:r>
              <w:rPr>
                <w:color w:val="603328"/>
                <w:w w:val="122"/>
                <w:sz w:val="16"/>
              </w:rPr>
              <w:t>1</w:t>
            </w:r>
          </w:p>
        </w:tc>
        <w:tc>
          <w:tcPr>
            <w:tcW w:w="1259" w:type="dxa"/>
          </w:tcPr>
          <w:p>
            <w:pPr/>
          </w:p>
        </w:tc>
      </w:tr>
      <w:tr>
        <w:trPr>
          <w:trHeight w:val="297" w:hRule="exact"/>
        </w:trPr>
        <w:tc>
          <w:tcPr>
            <w:tcW w:w="2945" w:type="dxa"/>
          </w:tcPr>
          <w:p>
            <w:pPr>
              <w:pStyle w:val="TableParagraph"/>
              <w:spacing w:before="24"/>
              <w:ind w:left="198"/>
              <w:rPr>
                <w:sz w:val="18"/>
              </w:rPr>
            </w:pPr>
            <w:r>
              <w:rPr>
                <w:color w:val="231F1F"/>
                <w:w w:val="105"/>
                <w:sz w:val="18"/>
              </w:rPr>
              <w:t>Don Rafael Mariano García</w:t>
            </w:r>
          </w:p>
        </w:tc>
        <w:tc>
          <w:tcPr>
            <w:tcW w:w="1459" w:type="dxa"/>
          </w:tcPr>
          <w:p>
            <w:pPr>
              <w:pStyle w:val="TableParagraph"/>
              <w:ind w:left="522"/>
              <w:rPr>
                <w:sz w:val="16"/>
              </w:rPr>
            </w:pPr>
            <w:r>
              <w:rPr>
                <w:color w:val="603328"/>
                <w:w w:val="120"/>
                <w:sz w:val="16"/>
              </w:rPr>
              <w:t>74</w:t>
            </w:r>
          </w:p>
        </w:tc>
        <w:tc>
          <w:tcPr>
            <w:tcW w:w="1451" w:type="dxa"/>
          </w:tcPr>
          <w:p>
            <w:pPr>
              <w:pStyle w:val="TableParagraph"/>
              <w:ind w:right="613"/>
              <w:jc w:val="right"/>
              <w:rPr>
                <w:sz w:val="16"/>
              </w:rPr>
            </w:pPr>
            <w:r>
              <w:rPr>
                <w:color w:val="603328"/>
                <w:w w:val="122"/>
                <w:sz w:val="16"/>
              </w:rPr>
              <w:t>3</w:t>
            </w:r>
          </w:p>
        </w:tc>
        <w:tc>
          <w:tcPr>
            <w:tcW w:w="1265" w:type="dxa"/>
          </w:tcPr>
          <w:p>
            <w:pPr>
              <w:pStyle w:val="TableParagraph"/>
              <w:ind w:left="64"/>
              <w:jc w:val="center"/>
              <w:rPr>
                <w:sz w:val="16"/>
              </w:rPr>
            </w:pPr>
            <w:r>
              <w:rPr>
                <w:color w:val="603328"/>
                <w:w w:val="122"/>
                <w:sz w:val="16"/>
              </w:rPr>
              <w:t>5</w:t>
            </w:r>
          </w:p>
        </w:tc>
        <w:tc>
          <w:tcPr>
            <w:tcW w:w="1048" w:type="dxa"/>
          </w:tcPr>
          <w:p>
            <w:pPr>
              <w:pStyle w:val="TableParagraph"/>
              <w:ind w:right="446"/>
              <w:jc w:val="right"/>
              <w:rPr>
                <w:sz w:val="16"/>
              </w:rPr>
            </w:pPr>
            <w:r>
              <w:rPr>
                <w:color w:val="603328"/>
                <w:w w:val="122"/>
                <w:sz w:val="16"/>
              </w:rPr>
              <w:t>1</w:t>
            </w:r>
          </w:p>
        </w:tc>
        <w:tc>
          <w:tcPr>
            <w:tcW w:w="1106" w:type="dxa"/>
          </w:tcPr>
          <w:p>
            <w:pPr>
              <w:pStyle w:val="TableParagraph"/>
              <w:ind w:left="498"/>
              <w:rPr>
                <w:sz w:val="16"/>
              </w:rPr>
            </w:pPr>
            <w:r>
              <w:rPr>
                <w:color w:val="603328"/>
                <w:w w:val="120"/>
                <w:sz w:val="16"/>
              </w:rPr>
              <w:t>33</w:t>
            </w:r>
          </w:p>
        </w:tc>
        <w:tc>
          <w:tcPr>
            <w:tcW w:w="950" w:type="dxa"/>
          </w:tcPr>
          <w:p>
            <w:pPr/>
          </w:p>
        </w:tc>
        <w:tc>
          <w:tcPr>
            <w:tcW w:w="1259" w:type="dxa"/>
          </w:tcPr>
          <w:p>
            <w:pPr/>
          </w:p>
        </w:tc>
      </w:tr>
      <w:tr>
        <w:trPr>
          <w:trHeight w:val="297" w:hRule="exact"/>
        </w:trPr>
        <w:tc>
          <w:tcPr>
            <w:tcW w:w="2945" w:type="dxa"/>
          </w:tcPr>
          <w:p>
            <w:pPr>
              <w:pStyle w:val="TableParagraph"/>
              <w:spacing w:before="24"/>
              <w:ind w:left="198"/>
              <w:rPr>
                <w:sz w:val="18"/>
              </w:rPr>
            </w:pPr>
            <w:r>
              <w:rPr>
                <w:color w:val="231F1F"/>
                <w:w w:val="105"/>
                <w:sz w:val="18"/>
              </w:rPr>
              <w:t>Francisco Colunga</w:t>
            </w:r>
          </w:p>
        </w:tc>
        <w:tc>
          <w:tcPr>
            <w:tcW w:w="1459" w:type="dxa"/>
          </w:tcPr>
          <w:p>
            <w:pPr>
              <w:pStyle w:val="TableParagraph"/>
              <w:ind w:left="572"/>
              <w:rPr>
                <w:sz w:val="16"/>
              </w:rPr>
            </w:pPr>
            <w:r>
              <w:rPr>
                <w:color w:val="603328"/>
                <w:w w:val="122"/>
                <w:sz w:val="16"/>
              </w:rPr>
              <w:t>9</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3</w:t>
            </w:r>
          </w:p>
        </w:tc>
        <w:tc>
          <w:tcPr>
            <w:tcW w:w="950" w:type="dxa"/>
          </w:tcPr>
          <w:p>
            <w:pPr>
              <w:pStyle w:val="TableParagraph"/>
              <w:ind w:left="363"/>
              <w:rPr>
                <w:sz w:val="16"/>
              </w:rPr>
            </w:pPr>
            <w:r>
              <w:rPr>
                <w:color w:val="603328"/>
                <w:w w:val="122"/>
                <w:sz w:val="16"/>
              </w:rPr>
              <w:t>7</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Esteban Villar</w:t>
            </w:r>
          </w:p>
        </w:tc>
        <w:tc>
          <w:tcPr>
            <w:tcW w:w="1459" w:type="dxa"/>
          </w:tcPr>
          <w:p>
            <w:pPr>
              <w:pStyle w:val="TableParagraph"/>
              <w:ind w:left="572"/>
              <w:rPr>
                <w:sz w:val="16"/>
              </w:rPr>
            </w:pPr>
            <w:r>
              <w:rPr>
                <w:color w:val="603328"/>
                <w:w w:val="122"/>
                <w:sz w:val="16"/>
              </w:rPr>
              <w:t>2</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7</w:t>
            </w:r>
          </w:p>
        </w:tc>
        <w:tc>
          <w:tcPr>
            <w:tcW w:w="1259" w:type="dxa"/>
          </w:tcPr>
          <w:p>
            <w:pPr/>
          </w:p>
        </w:tc>
      </w:tr>
      <w:tr>
        <w:trPr>
          <w:trHeight w:val="297" w:hRule="exact"/>
        </w:trPr>
        <w:tc>
          <w:tcPr>
            <w:tcW w:w="2945" w:type="dxa"/>
          </w:tcPr>
          <w:p>
            <w:pPr>
              <w:pStyle w:val="TableParagraph"/>
              <w:spacing w:before="24"/>
              <w:ind w:left="198"/>
              <w:rPr>
                <w:sz w:val="18"/>
              </w:rPr>
            </w:pPr>
            <w:r>
              <w:rPr>
                <w:color w:val="231F1F"/>
                <w:w w:val="105"/>
                <w:sz w:val="18"/>
              </w:rPr>
              <w:t>Doña Manuela Valdivieso</w:t>
            </w:r>
          </w:p>
        </w:tc>
        <w:tc>
          <w:tcPr>
            <w:tcW w:w="1459" w:type="dxa"/>
          </w:tcPr>
          <w:p>
            <w:pPr>
              <w:pStyle w:val="TableParagraph"/>
              <w:ind w:left="522"/>
              <w:rPr>
                <w:sz w:val="16"/>
              </w:rPr>
            </w:pPr>
            <w:r>
              <w:rPr>
                <w:color w:val="603328"/>
                <w:w w:val="120"/>
                <w:sz w:val="16"/>
              </w:rPr>
              <w:t>19</w:t>
            </w:r>
          </w:p>
        </w:tc>
        <w:tc>
          <w:tcPr>
            <w:tcW w:w="1451" w:type="dxa"/>
          </w:tcPr>
          <w:p>
            <w:pPr>
              <w:pStyle w:val="TableParagraph"/>
              <w:ind w:right="613"/>
              <w:jc w:val="right"/>
              <w:rPr>
                <w:sz w:val="16"/>
              </w:rPr>
            </w:pPr>
            <w:r>
              <w:rPr>
                <w:color w:val="603328"/>
                <w:w w:val="122"/>
                <w:sz w:val="16"/>
              </w:rPr>
              <w:t>3</w:t>
            </w:r>
          </w:p>
        </w:tc>
        <w:tc>
          <w:tcPr>
            <w:tcW w:w="1265" w:type="dxa"/>
          </w:tcPr>
          <w:p>
            <w:pPr>
              <w:pStyle w:val="TableParagraph"/>
              <w:ind w:left="64"/>
              <w:jc w:val="center"/>
              <w:rPr>
                <w:sz w:val="16"/>
              </w:rPr>
            </w:pPr>
            <w:r>
              <w:rPr>
                <w:color w:val="603328"/>
                <w:w w:val="122"/>
                <w:sz w:val="16"/>
              </w:rPr>
              <w:t>4</w:t>
            </w:r>
          </w:p>
        </w:tc>
        <w:tc>
          <w:tcPr>
            <w:tcW w:w="1048" w:type="dxa"/>
          </w:tcPr>
          <w:p>
            <w:pPr/>
          </w:p>
        </w:tc>
        <w:tc>
          <w:tcPr>
            <w:tcW w:w="1106" w:type="dxa"/>
          </w:tcPr>
          <w:p>
            <w:pPr>
              <w:pStyle w:val="TableParagraph"/>
              <w:ind w:left="548"/>
              <w:rPr>
                <w:sz w:val="16"/>
              </w:rPr>
            </w:pPr>
            <w:r>
              <w:rPr>
                <w:color w:val="603328"/>
                <w:w w:val="122"/>
                <w:sz w:val="16"/>
              </w:rPr>
              <w:t>8</w:t>
            </w:r>
          </w:p>
        </w:tc>
        <w:tc>
          <w:tcPr>
            <w:tcW w:w="950" w:type="dxa"/>
          </w:tcPr>
          <w:p>
            <w:pPr>
              <w:pStyle w:val="TableParagraph"/>
              <w:ind w:left="363"/>
              <w:rPr>
                <w:sz w:val="16"/>
              </w:rPr>
            </w:pPr>
            <w:r>
              <w:rPr>
                <w:color w:val="603328"/>
                <w:w w:val="122"/>
                <w:sz w:val="16"/>
              </w:rPr>
              <w:t>6</w:t>
            </w:r>
          </w:p>
        </w:tc>
        <w:tc>
          <w:tcPr>
            <w:tcW w:w="1259" w:type="dxa"/>
          </w:tcPr>
          <w:p>
            <w:pPr>
              <w:pStyle w:val="TableParagraph"/>
              <w:ind w:left="480"/>
              <w:rPr>
                <w:sz w:val="16"/>
              </w:rPr>
            </w:pPr>
            <w:r>
              <w:rPr>
                <w:color w:val="603328"/>
                <w:w w:val="120"/>
                <w:sz w:val="16"/>
              </w:rPr>
              <w:t>11</w:t>
            </w:r>
          </w:p>
        </w:tc>
      </w:tr>
      <w:tr>
        <w:trPr>
          <w:trHeight w:val="297" w:hRule="exact"/>
        </w:trPr>
        <w:tc>
          <w:tcPr>
            <w:tcW w:w="2945" w:type="dxa"/>
          </w:tcPr>
          <w:p>
            <w:pPr>
              <w:pStyle w:val="TableParagraph"/>
              <w:spacing w:before="24"/>
              <w:ind w:left="198"/>
              <w:rPr>
                <w:sz w:val="18"/>
              </w:rPr>
            </w:pPr>
            <w:r>
              <w:rPr>
                <w:color w:val="231F1F"/>
                <w:sz w:val="18"/>
              </w:rPr>
              <w:t>Doña  Josefa López</w:t>
            </w:r>
          </w:p>
        </w:tc>
        <w:tc>
          <w:tcPr>
            <w:tcW w:w="1459" w:type="dxa"/>
          </w:tcPr>
          <w:p>
            <w:pPr>
              <w:pStyle w:val="TableParagraph"/>
              <w:ind w:left="572"/>
              <w:rPr>
                <w:sz w:val="16"/>
              </w:rPr>
            </w:pPr>
            <w:r>
              <w:rPr>
                <w:color w:val="603328"/>
                <w:w w:val="122"/>
                <w:sz w:val="16"/>
              </w:rPr>
              <w:t>7</w:t>
            </w:r>
          </w:p>
        </w:tc>
        <w:tc>
          <w:tcPr>
            <w:tcW w:w="1451" w:type="dxa"/>
          </w:tcPr>
          <w:p>
            <w:pPr>
              <w:pStyle w:val="TableParagraph"/>
              <w:ind w:right="562"/>
              <w:jc w:val="right"/>
              <w:rPr>
                <w:sz w:val="16"/>
              </w:rPr>
            </w:pPr>
            <w:r>
              <w:rPr>
                <w:color w:val="603328"/>
                <w:w w:val="120"/>
                <w:sz w:val="16"/>
              </w:rPr>
              <w:t>15</w:t>
            </w:r>
          </w:p>
        </w:tc>
        <w:tc>
          <w:tcPr>
            <w:tcW w:w="1265" w:type="dxa"/>
          </w:tcPr>
          <w:p>
            <w:pPr>
              <w:pStyle w:val="TableParagraph"/>
              <w:ind w:left="547" w:right="483"/>
              <w:jc w:val="center"/>
              <w:rPr>
                <w:sz w:val="16"/>
              </w:rPr>
            </w:pPr>
            <w:r>
              <w:rPr>
                <w:color w:val="603328"/>
                <w:w w:val="120"/>
                <w:sz w:val="16"/>
              </w:rPr>
              <w:t>10</w:t>
            </w:r>
          </w:p>
        </w:tc>
        <w:tc>
          <w:tcPr>
            <w:tcW w:w="1048" w:type="dxa"/>
          </w:tcPr>
          <w:p>
            <w:pPr>
              <w:pStyle w:val="TableParagraph"/>
              <w:ind w:right="446"/>
              <w:jc w:val="right"/>
              <w:rPr>
                <w:sz w:val="16"/>
              </w:rPr>
            </w:pPr>
            <w:r>
              <w:rPr>
                <w:color w:val="603328"/>
                <w:w w:val="122"/>
                <w:sz w:val="16"/>
              </w:rPr>
              <w:t>7</w:t>
            </w:r>
          </w:p>
        </w:tc>
        <w:tc>
          <w:tcPr>
            <w:tcW w:w="1106" w:type="dxa"/>
          </w:tcPr>
          <w:p>
            <w:pPr>
              <w:pStyle w:val="TableParagraph"/>
              <w:ind w:left="548"/>
              <w:rPr>
                <w:sz w:val="16"/>
              </w:rPr>
            </w:pPr>
            <w:r>
              <w:rPr>
                <w:color w:val="603328"/>
                <w:w w:val="122"/>
                <w:sz w:val="16"/>
              </w:rPr>
              <w:t>5</w:t>
            </w: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7</w:t>
            </w:r>
          </w:p>
        </w:tc>
      </w:tr>
      <w:tr>
        <w:trPr>
          <w:trHeight w:val="297" w:hRule="exact"/>
        </w:trPr>
        <w:tc>
          <w:tcPr>
            <w:tcW w:w="2945" w:type="dxa"/>
          </w:tcPr>
          <w:p>
            <w:pPr>
              <w:pStyle w:val="TableParagraph"/>
              <w:spacing w:before="24"/>
              <w:ind w:left="198"/>
              <w:rPr>
                <w:sz w:val="18"/>
              </w:rPr>
            </w:pPr>
            <w:r>
              <w:rPr>
                <w:color w:val="231F1F"/>
                <w:sz w:val="18"/>
              </w:rPr>
              <w:t>Isidro Almanza</w:t>
            </w:r>
          </w:p>
        </w:tc>
        <w:tc>
          <w:tcPr>
            <w:tcW w:w="1459" w:type="dxa"/>
          </w:tcPr>
          <w:p>
            <w:pPr>
              <w:pStyle w:val="TableParagraph"/>
              <w:ind w:left="572"/>
              <w:rPr>
                <w:sz w:val="16"/>
              </w:rPr>
            </w:pPr>
            <w:r>
              <w:rPr>
                <w:color w:val="603328"/>
                <w:w w:val="122"/>
                <w:sz w:val="16"/>
              </w:rPr>
              <w:t>1</w:t>
            </w:r>
          </w:p>
        </w:tc>
        <w:tc>
          <w:tcPr>
            <w:tcW w:w="1451" w:type="dxa"/>
          </w:tcPr>
          <w:p>
            <w:pPr/>
          </w:p>
        </w:tc>
        <w:tc>
          <w:tcPr>
            <w:tcW w:w="1265" w:type="dxa"/>
          </w:tcPr>
          <w:p>
            <w:pPr/>
          </w:p>
        </w:tc>
        <w:tc>
          <w:tcPr>
            <w:tcW w:w="1048" w:type="dxa"/>
          </w:tcPr>
          <w:p>
            <w:pPr/>
          </w:p>
        </w:tc>
        <w:tc>
          <w:tcPr>
            <w:tcW w:w="1106" w:type="dxa"/>
          </w:tcPr>
          <w:p>
            <w:pPr/>
          </w:p>
        </w:tc>
        <w:tc>
          <w:tcPr>
            <w:tcW w:w="950" w:type="dxa"/>
          </w:tcPr>
          <w:p>
            <w:pPr>
              <w:pStyle w:val="TableParagraph"/>
              <w:ind w:left="363"/>
              <w:rPr>
                <w:sz w:val="16"/>
              </w:rPr>
            </w:pPr>
            <w:r>
              <w:rPr>
                <w:color w:val="603328"/>
                <w:w w:val="122"/>
                <w:sz w:val="16"/>
              </w:rPr>
              <w:t>3</w:t>
            </w:r>
          </w:p>
        </w:tc>
        <w:tc>
          <w:tcPr>
            <w:tcW w:w="1259" w:type="dxa"/>
          </w:tcPr>
          <w:p>
            <w:pPr>
              <w:pStyle w:val="TableParagraph"/>
              <w:ind w:left="530"/>
              <w:rPr>
                <w:sz w:val="16"/>
              </w:rPr>
            </w:pPr>
            <w:r>
              <w:rPr>
                <w:color w:val="603328"/>
                <w:w w:val="122"/>
                <w:sz w:val="16"/>
              </w:rPr>
              <w:t>6</w:t>
            </w:r>
          </w:p>
        </w:tc>
      </w:tr>
      <w:tr>
        <w:trPr>
          <w:trHeight w:val="297" w:hRule="exact"/>
        </w:trPr>
        <w:tc>
          <w:tcPr>
            <w:tcW w:w="2945" w:type="dxa"/>
          </w:tcPr>
          <w:p>
            <w:pPr>
              <w:pStyle w:val="TableParagraph"/>
              <w:spacing w:before="24"/>
              <w:ind w:left="198"/>
              <w:rPr>
                <w:sz w:val="18"/>
              </w:rPr>
            </w:pPr>
            <w:r>
              <w:rPr>
                <w:color w:val="231F1F"/>
                <w:sz w:val="18"/>
              </w:rPr>
              <w:t>Don Pedro Arce</w:t>
            </w:r>
          </w:p>
        </w:tc>
        <w:tc>
          <w:tcPr>
            <w:tcW w:w="1459" w:type="dxa"/>
          </w:tcPr>
          <w:p>
            <w:pPr>
              <w:pStyle w:val="TableParagraph"/>
              <w:ind w:left="472"/>
              <w:rPr>
                <w:sz w:val="16"/>
              </w:rPr>
            </w:pPr>
            <w:r>
              <w:rPr>
                <w:color w:val="603328"/>
                <w:w w:val="120"/>
                <w:sz w:val="16"/>
              </w:rPr>
              <w:t>238</w:t>
            </w:r>
          </w:p>
        </w:tc>
        <w:tc>
          <w:tcPr>
            <w:tcW w:w="1451" w:type="dxa"/>
          </w:tcPr>
          <w:p>
            <w:pPr/>
          </w:p>
        </w:tc>
        <w:tc>
          <w:tcPr>
            <w:tcW w:w="1265" w:type="dxa"/>
          </w:tcPr>
          <w:p>
            <w:pPr/>
          </w:p>
        </w:tc>
        <w:tc>
          <w:tcPr>
            <w:tcW w:w="1048" w:type="dxa"/>
          </w:tcPr>
          <w:p>
            <w:pPr/>
          </w:p>
        </w:tc>
        <w:tc>
          <w:tcPr>
            <w:tcW w:w="1106" w:type="dxa"/>
          </w:tcPr>
          <w:p>
            <w:pPr>
              <w:pStyle w:val="TableParagraph"/>
              <w:ind w:left="448"/>
              <w:rPr>
                <w:sz w:val="16"/>
              </w:rPr>
            </w:pPr>
            <w:r>
              <w:rPr>
                <w:color w:val="603328"/>
                <w:w w:val="120"/>
                <w:sz w:val="16"/>
              </w:rPr>
              <w:t>104</w:t>
            </w:r>
          </w:p>
        </w:tc>
        <w:tc>
          <w:tcPr>
            <w:tcW w:w="950" w:type="dxa"/>
          </w:tcPr>
          <w:p>
            <w:pPr>
              <w:pStyle w:val="TableParagraph"/>
              <w:ind w:left="363"/>
              <w:rPr>
                <w:sz w:val="16"/>
              </w:rPr>
            </w:pPr>
            <w:r>
              <w:rPr>
                <w:color w:val="603328"/>
                <w:w w:val="122"/>
                <w:sz w:val="16"/>
              </w:rPr>
              <w:t>1</w:t>
            </w:r>
          </w:p>
        </w:tc>
        <w:tc>
          <w:tcPr>
            <w:tcW w:w="1259" w:type="dxa"/>
          </w:tcPr>
          <w:p>
            <w:pPr/>
          </w:p>
        </w:tc>
      </w:tr>
      <w:tr>
        <w:trPr>
          <w:trHeight w:val="297" w:hRule="exact"/>
        </w:trPr>
        <w:tc>
          <w:tcPr>
            <w:tcW w:w="2945" w:type="dxa"/>
          </w:tcPr>
          <w:p>
            <w:pPr>
              <w:pStyle w:val="TableParagraph"/>
              <w:spacing w:before="24"/>
              <w:ind w:left="198"/>
              <w:rPr>
                <w:sz w:val="18"/>
              </w:rPr>
            </w:pPr>
            <w:r>
              <w:rPr>
                <w:color w:val="231F1F"/>
                <w:sz w:val="18"/>
              </w:rPr>
              <w:t>Don  Miguel Aguilar</w:t>
            </w:r>
          </w:p>
        </w:tc>
        <w:tc>
          <w:tcPr>
            <w:tcW w:w="1459" w:type="dxa"/>
          </w:tcPr>
          <w:p>
            <w:pPr>
              <w:pStyle w:val="TableParagraph"/>
              <w:ind w:left="522"/>
              <w:rPr>
                <w:sz w:val="16"/>
              </w:rPr>
            </w:pPr>
            <w:r>
              <w:rPr>
                <w:color w:val="603328"/>
                <w:w w:val="120"/>
                <w:sz w:val="16"/>
              </w:rPr>
              <w:t>46</w:t>
            </w:r>
          </w:p>
        </w:tc>
        <w:tc>
          <w:tcPr>
            <w:tcW w:w="1451" w:type="dxa"/>
          </w:tcPr>
          <w:p>
            <w:pPr>
              <w:pStyle w:val="TableParagraph"/>
              <w:ind w:right="562"/>
              <w:jc w:val="right"/>
              <w:rPr>
                <w:sz w:val="16"/>
              </w:rPr>
            </w:pPr>
            <w:r>
              <w:rPr>
                <w:color w:val="603328"/>
                <w:w w:val="120"/>
                <w:sz w:val="16"/>
              </w:rPr>
              <w:t>21</w:t>
            </w:r>
          </w:p>
        </w:tc>
        <w:tc>
          <w:tcPr>
            <w:tcW w:w="1265" w:type="dxa"/>
          </w:tcPr>
          <w:p>
            <w:pPr>
              <w:pStyle w:val="TableParagraph"/>
              <w:ind w:left="547" w:right="483"/>
              <w:jc w:val="center"/>
              <w:rPr>
                <w:sz w:val="16"/>
              </w:rPr>
            </w:pPr>
            <w:r>
              <w:rPr>
                <w:color w:val="603328"/>
                <w:w w:val="120"/>
                <w:sz w:val="16"/>
              </w:rPr>
              <w:t>26</w:t>
            </w:r>
          </w:p>
        </w:tc>
        <w:tc>
          <w:tcPr>
            <w:tcW w:w="1048" w:type="dxa"/>
          </w:tcPr>
          <w:p>
            <w:pPr>
              <w:pStyle w:val="TableParagraph"/>
              <w:ind w:right="446"/>
              <w:jc w:val="right"/>
              <w:rPr>
                <w:sz w:val="16"/>
              </w:rPr>
            </w:pPr>
            <w:r>
              <w:rPr>
                <w:color w:val="603328"/>
                <w:w w:val="122"/>
                <w:sz w:val="16"/>
              </w:rPr>
              <w:t>8</w:t>
            </w:r>
          </w:p>
        </w:tc>
        <w:tc>
          <w:tcPr>
            <w:tcW w:w="1106" w:type="dxa"/>
          </w:tcPr>
          <w:p>
            <w:pPr>
              <w:pStyle w:val="TableParagraph"/>
              <w:ind w:left="498"/>
              <w:rPr>
                <w:sz w:val="16"/>
              </w:rPr>
            </w:pPr>
            <w:r>
              <w:rPr>
                <w:color w:val="603328"/>
                <w:w w:val="120"/>
                <w:sz w:val="16"/>
              </w:rPr>
              <w:t>22</w:t>
            </w:r>
          </w:p>
        </w:tc>
        <w:tc>
          <w:tcPr>
            <w:tcW w:w="950" w:type="dxa"/>
          </w:tcPr>
          <w:p>
            <w:pPr>
              <w:pStyle w:val="TableParagraph"/>
              <w:ind w:left="363"/>
              <w:rPr>
                <w:sz w:val="16"/>
              </w:rPr>
            </w:pPr>
            <w:r>
              <w:rPr>
                <w:color w:val="603328"/>
                <w:w w:val="122"/>
                <w:sz w:val="16"/>
              </w:rPr>
              <w:t>6</w:t>
            </w:r>
          </w:p>
        </w:tc>
        <w:tc>
          <w:tcPr>
            <w:tcW w:w="1259" w:type="dxa"/>
          </w:tcPr>
          <w:p>
            <w:pPr>
              <w:pStyle w:val="TableParagraph"/>
              <w:ind w:left="530"/>
              <w:rPr>
                <w:sz w:val="16"/>
              </w:rPr>
            </w:pPr>
            <w:r>
              <w:rPr>
                <w:color w:val="603328"/>
                <w:w w:val="122"/>
                <w:sz w:val="16"/>
              </w:rPr>
              <w:t>5</w:t>
            </w:r>
          </w:p>
        </w:tc>
      </w:tr>
      <w:tr>
        <w:trPr>
          <w:trHeight w:val="312" w:hRule="exact"/>
        </w:trPr>
        <w:tc>
          <w:tcPr>
            <w:tcW w:w="2945" w:type="dxa"/>
          </w:tcPr>
          <w:p>
            <w:pPr>
              <w:pStyle w:val="TableParagraph"/>
              <w:spacing w:before="24"/>
              <w:ind w:left="198"/>
              <w:rPr>
                <w:sz w:val="18"/>
              </w:rPr>
            </w:pPr>
            <w:r>
              <w:rPr>
                <w:color w:val="231F1F"/>
                <w:sz w:val="18"/>
              </w:rPr>
              <w:t>José Florentino Rojas</w:t>
            </w:r>
          </w:p>
        </w:tc>
        <w:tc>
          <w:tcPr>
            <w:tcW w:w="1459" w:type="dxa"/>
          </w:tcPr>
          <w:p>
            <w:pPr>
              <w:pStyle w:val="TableParagraph"/>
              <w:ind w:left="572"/>
              <w:rPr>
                <w:sz w:val="16"/>
              </w:rPr>
            </w:pPr>
            <w:r>
              <w:rPr>
                <w:color w:val="603328"/>
                <w:w w:val="122"/>
                <w:sz w:val="16"/>
              </w:rPr>
              <w:t>8</w:t>
            </w:r>
          </w:p>
        </w:tc>
        <w:tc>
          <w:tcPr>
            <w:tcW w:w="1451" w:type="dxa"/>
          </w:tcPr>
          <w:p>
            <w:pPr/>
          </w:p>
        </w:tc>
        <w:tc>
          <w:tcPr>
            <w:tcW w:w="1265" w:type="dxa"/>
          </w:tcPr>
          <w:p>
            <w:pPr/>
          </w:p>
        </w:tc>
        <w:tc>
          <w:tcPr>
            <w:tcW w:w="1048" w:type="dxa"/>
          </w:tcPr>
          <w:p>
            <w:pPr/>
          </w:p>
        </w:tc>
        <w:tc>
          <w:tcPr>
            <w:tcW w:w="1106" w:type="dxa"/>
          </w:tcPr>
          <w:p>
            <w:pPr>
              <w:pStyle w:val="TableParagraph"/>
              <w:ind w:left="548"/>
              <w:rPr>
                <w:sz w:val="16"/>
              </w:rPr>
            </w:pPr>
            <w:r>
              <w:rPr>
                <w:color w:val="603328"/>
                <w:w w:val="122"/>
                <w:sz w:val="16"/>
              </w:rPr>
              <w:t>3</w:t>
            </w:r>
          </w:p>
        </w:tc>
        <w:tc>
          <w:tcPr>
            <w:tcW w:w="950" w:type="dxa"/>
          </w:tcPr>
          <w:p>
            <w:pPr>
              <w:pStyle w:val="TableParagraph"/>
              <w:ind w:left="363"/>
              <w:rPr>
                <w:sz w:val="16"/>
              </w:rPr>
            </w:pPr>
            <w:r>
              <w:rPr>
                <w:color w:val="603328"/>
                <w:w w:val="122"/>
                <w:sz w:val="16"/>
              </w:rPr>
              <w:t>4</w:t>
            </w:r>
          </w:p>
        </w:tc>
        <w:tc>
          <w:tcPr>
            <w:tcW w:w="1259" w:type="dxa"/>
          </w:tcPr>
          <w:p>
            <w:pPr/>
          </w:p>
        </w:tc>
      </w:tr>
      <w:tr>
        <w:trPr>
          <w:trHeight w:val="290" w:hRule="exact"/>
        </w:trPr>
        <w:tc>
          <w:tcPr>
            <w:tcW w:w="2945" w:type="dxa"/>
            <w:tcBorders>
              <w:bottom w:val="single" w:sz="4" w:space="0" w:color="A8483D"/>
            </w:tcBorders>
          </w:tcPr>
          <w:p>
            <w:pPr>
              <w:pStyle w:val="TableParagraph"/>
              <w:spacing w:before="39"/>
              <w:ind w:left="198"/>
              <w:rPr>
                <w:sz w:val="18"/>
              </w:rPr>
            </w:pPr>
            <w:r>
              <w:rPr>
                <w:color w:val="231F1F"/>
                <w:w w:val="105"/>
                <w:sz w:val="18"/>
              </w:rPr>
              <w:t>Antonio Sánchez</w:t>
            </w:r>
          </w:p>
        </w:tc>
        <w:tc>
          <w:tcPr>
            <w:tcW w:w="1459" w:type="dxa"/>
            <w:tcBorders>
              <w:bottom w:val="single" w:sz="4" w:space="0" w:color="A8483D"/>
            </w:tcBorders>
          </w:tcPr>
          <w:p>
            <w:pPr>
              <w:pStyle w:val="TableParagraph"/>
              <w:spacing w:before="39"/>
              <w:ind w:left="509"/>
              <w:rPr>
                <w:sz w:val="18"/>
              </w:rPr>
            </w:pPr>
            <w:r>
              <w:rPr>
                <w:color w:val="603328"/>
                <w:w w:val="120"/>
                <w:sz w:val="18"/>
              </w:rPr>
              <w:t>12</w:t>
            </w:r>
          </w:p>
        </w:tc>
        <w:tc>
          <w:tcPr>
            <w:tcW w:w="1451" w:type="dxa"/>
            <w:tcBorders>
              <w:bottom w:val="single" w:sz="4" w:space="0" w:color="A8483D"/>
            </w:tcBorders>
          </w:tcPr>
          <w:p>
            <w:pPr>
              <w:pStyle w:val="TableParagraph"/>
              <w:spacing w:before="39"/>
              <w:ind w:right="607"/>
              <w:jc w:val="right"/>
              <w:rPr>
                <w:sz w:val="18"/>
              </w:rPr>
            </w:pPr>
            <w:r>
              <w:rPr>
                <w:color w:val="603328"/>
                <w:w w:val="122"/>
                <w:sz w:val="18"/>
              </w:rPr>
              <w:t>4</w:t>
            </w:r>
          </w:p>
        </w:tc>
        <w:tc>
          <w:tcPr>
            <w:tcW w:w="1265" w:type="dxa"/>
            <w:tcBorders>
              <w:bottom w:val="single" w:sz="4" w:space="0" w:color="A8483D"/>
            </w:tcBorders>
          </w:tcPr>
          <w:p>
            <w:pPr>
              <w:pStyle w:val="TableParagraph"/>
              <w:spacing w:before="39"/>
              <w:ind w:left="64"/>
              <w:jc w:val="center"/>
              <w:rPr>
                <w:sz w:val="18"/>
              </w:rPr>
            </w:pPr>
            <w:r>
              <w:rPr>
                <w:color w:val="603328"/>
                <w:w w:val="122"/>
                <w:sz w:val="18"/>
              </w:rPr>
              <w:t>1</w:t>
            </w:r>
          </w:p>
        </w:tc>
        <w:tc>
          <w:tcPr>
            <w:tcW w:w="1048" w:type="dxa"/>
            <w:tcBorders>
              <w:bottom w:val="single" w:sz="4" w:space="0" w:color="A8483D"/>
            </w:tcBorders>
          </w:tcPr>
          <w:p>
            <w:pPr/>
          </w:p>
        </w:tc>
        <w:tc>
          <w:tcPr>
            <w:tcW w:w="1106" w:type="dxa"/>
            <w:tcBorders>
              <w:bottom w:val="single" w:sz="4" w:space="0" w:color="A8483D"/>
            </w:tcBorders>
          </w:tcPr>
          <w:p>
            <w:pPr>
              <w:pStyle w:val="TableParagraph"/>
              <w:spacing w:before="39"/>
              <w:ind w:left="542"/>
              <w:rPr>
                <w:sz w:val="18"/>
              </w:rPr>
            </w:pPr>
            <w:r>
              <w:rPr>
                <w:color w:val="603328"/>
                <w:w w:val="122"/>
                <w:sz w:val="18"/>
              </w:rPr>
              <w:t>5</w:t>
            </w:r>
          </w:p>
        </w:tc>
        <w:tc>
          <w:tcPr>
            <w:tcW w:w="950" w:type="dxa"/>
            <w:tcBorders>
              <w:bottom w:val="single" w:sz="4" w:space="0" w:color="A8483D"/>
            </w:tcBorders>
          </w:tcPr>
          <w:p>
            <w:pPr>
              <w:pStyle w:val="TableParagraph"/>
              <w:spacing w:before="39"/>
              <w:ind w:left="356"/>
              <w:rPr>
                <w:sz w:val="18"/>
              </w:rPr>
            </w:pPr>
            <w:r>
              <w:rPr>
                <w:color w:val="603328"/>
                <w:w w:val="122"/>
                <w:sz w:val="18"/>
              </w:rPr>
              <w:t>4</w:t>
            </w:r>
          </w:p>
        </w:tc>
        <w:tc>
          <w:tcPr>
            <w:tcW w:w="1259" w:type="dxa"/>
            <w:tcBorders>
              <w:bottom w:val="single" w:sz="4" w:space="0" w:color="A8483D"/>
            </w:tcBorders>
          </w:tcPr>
          <w:p>
            <w:pPr>
              <w:pStyle w:val="TableParagraph"/>
              <w:spacing w:before="39"/>
              <w:ind w:left="524"/>
              <w:rPr>
                <w:sz w:val="18"/>
              </w:rPr>
            </w:pPr>
            <w:r>
              <w:rPr>
                <w:color w:val="603328"/>
                <w:w w:val="122"/>
                <w:sz w:val="18"/>
              </w:rPr>
              <w:t>3</w:t>
            </w:r>
          </w:p>
        </w:tc>
      </w:tr>
    </w:tbl>
    <w:p>
      <w:pPr>
        <w:spacing w:before="132"/>
        <w:ind w:left="0" w:right="125" w:firstLine="0"/>
        <w:jc w:val="right"/>
        <w:rPr>
          <w:sz w:val="16"/>
        </w:rPr>
      </w:pPr>
      <w:r>
        <w:rPr/>
        <w:pict>
          <v:group style="position:absolute;margin-left:191.813995pt;margin-top:-447.763794pt;width:.5pt;height:447.3pt;mso-position-horizontal-relative:page;mso-position-vertical-relative:paragraph;z-index:-73000" coordorigin="3836,-8955" coordsize="10,8946">
            <v:line style="position:absolute" from="3841,-8660" to="3841,-8950" stroked="true" strokeweight=".5pt" strokecolor="#a8483d"/>
            <v:line style="position:absolute" from="3841,-8363" to="3841,-8660" stroked="true" strokeweight=".5pt" strokecolor="#a8483d"/>
            <v:line style="position:absolute" from="3841,-8066" to="3841,-8363" stroked="true" strokeweight=".5pt" strokecolor="#a8483d"/>
            <v:line style="position:absolute" from="3841,-7769" to="3841,-8066" stroked="true" strokeweight=".5pt" strokecolor="#a8483d"/>
            <v:line style="position:absolute" from="3841,-7471" to="3841,-7769" stroked="true" strokeweight=".5pt" strokecolor="#a8483d"/>
            <v:line style="position:absolute" from="3841,-7174" to="3841,-7471" stroked="true" strokeweight=".5pt" strokecolor="#a8483d"/>
            <v:line style="position:absolute" from="3841,-6877" to="3841,-7174" stroked="true" strokeweight=".5pt" strokecolor="#a8483d"/>
            <v:line style="position:absolute" from="3841,-6579" to="3841,-6877" stroked="true" strokeweight=".5pt" strokecolor="#a8483d"/>
            <v:line style="position:absolute" from="3841,-6282" to="3841,-6579" stroked="true" strokeweight=".5pt" strokecolor="#a8483d"/>
            <v:line style="position:absolute" from="3841,-5985" to="3841,-6282" stroked="true" strokeweight=".5pt" strokecolor="#a8483d"/>
            <v:line style="position:absolute" from="3841,-5687" to="3841,-5985" stroked="true" strokeweight=".5pt" strokecolor="#a8483d"/>
            <v:line style="position:absolute" from="3841,-5390" to="3841,-5688" stroked="true" strokeweight=".5pt" strokecolor="#a8483d"/>
            <v:line style="position:absolute" from="3841,-5093" to="3841,-5390" stroked="true" strokeweight=".5pt" strokecolor="#a8483d"/>
            <v:line style="position:absolute" from="3841,-4796" to="3841,-5093" stroked="true" strokeweight=".5pt" strokecolor="#a8483d"/>
            <v:line style="position:absolute" from="3841,-4498" to="3841,-4796" stroked="true" strokeweight=".5pt" strokecolor="#a8483d"/>
            <v:line style="position:absolute" from="3841,-4201" to="3841,-4498" stroked="true" strokeweight=".5pt" strokecolor="#a8483d"/>
            <v:line style="position:absolute" from="3841,-3904" to="3841,-4201" stroked="true" strokeweight=".5pt" strokecolor="#a8483d"/>
            <v:line style="position:absolute" from="3841,-3606" to="3841,-3904" stroked="true" strokeweight=".5pt" strokecolor="#a8483d"/>
            <v:line style="position:absolute" from="3841,-3309" to="3841,-3606" stroked="true" strokeweight=".5pt" strokecolor="#a8483d"/>
            <v:line style="position:absolute" from="3841,-3012" to="3841,-3309" stroked="true" strokeweight=".5pt" strokecolor="#a8483d"/>
            <v:line style="position:absolute" from="3841,-2715" to="3841,-3012" stroked="true" strokeweight=".5pt" strokecolor="#a8483d"/>
            <v:line style="position:absolute" from="3841,-2417" to="3841,-2715" stroked="true" strokeweight=".5pt" strokecolor="#a8483d"/>
            <v:line style="position:absolute" from="3841,-2120" to="3841,-2417" stroked="true" strokeweight=".5pt" strokecolor="#a8483d"/>
            <v:line style="position:absolute" from="3841,-1823" to="3841,-2120" stroked="true" strokeweight=".5pt" strokecolor="#a8483d"/>
            <v:line style="position:absolute" from="3841,-1525" to="3841,-1823" stroked="true" strokeweight=".5pt" strokecolor="#a8483d"/>
            <v:line style="position:absolute" from="3841,-1228" to="3841,-1525" stroked="true" strokeweight=".5pt" strokecolor="#a8483d"/>
            <v:line style="position:absolute" from="3841,-931" to="3841,-1228" stroked="true" strokeweight=".5pt" strokecolor="#a8483d"/>
            <v:line style="position:absolute" from="3841,-633" to="3841,-931" stroked="true" strokeweight=".5pt" strokecolor="#a8483d"/>
            <v:line style="position:absolute" from="3841,-307" to="3841,-633" stroked="true" strokeweight=".5pt" strokecolor="#a8483d"/>
            <v:line style="position:absolute" from="3841,-15" to="3841,-307" stroked="true" strokeweight=".5pt" strokecolor="#a8483d"/>
            <w10:wrap type="none"/>
          </v:group>
        </w:pict>
      </w:r>
      <w:r>
        <w:rPr/>
        <w:pict>
          <v:group style="position:absolute;margin-left:765.921021pt;margin-top:-447.763794pt;width:.5pt;height:447.3pt;mso-position-horizontal-relative:page;mso-position-vertical-relative:paragraph;z-index:-72976" coordorigin="15318,-8955" coordsize="10,8946">
            <v:line style="position:absolute" from="15323,-8660" to="15323,-8950" stroked="true" strokeweight=".5pt" strokecolor="#a8483d"/>
            <v:line style="position:absolute" from="15323,-8363" to="15323,-8660" stroked="true" strokeweight=".5pt" strokecolor="#a8483d"/>
            <v:line style="position:absolute" from="15323,-8066" to="15323,-8363" stroked="true" strokeweight=".5pt" strokecolor="#a8483d"/>
            <v:line style="position:absolute" from="15323,-7769" to="15323,-8066" stroked="true" strokeweight=".5pt" strokecolor="#a8483d"/>
            <v:line style="position:absolute" from="15323,-7471" to="15323,-7769" stroked="true" strokeweight=".5pt" strokecolor="#a8483d"/>
            <v:line style="position:absolute" from="15323,-7174" to="15323,-7471" stroked="true" strokeweight=".5pt" strokecolor="#a8483d"/>
            <v:line style="position:absolute" from="15323,-6877" to="15323,-7174" stroked="true" strokeweight=".5pt" strokecolor="#a8483d"/>
            <v:line style="position:absolute" from="15323,-6579" to="15323,-6877" stroked="true" strokeweight=".5pt" strokecolor="#a8483d"/>
            <v:line style="position:absolute" from="15323,-6282" to="15323,-6579" stroked="true" strokeweight=".5pt" strokecolor="#a8483d"/>
            <v:line style="position:absolute" from="15323,-5985" to="15323,-6282" stroked="true" strokeweight=".5pt" strokecolor="#a8483d"/>
            <v:line style="position:absolute" from="15323,-5687" to="15323,-5985" stroked="true" strokeweight=".5pt" strokecolor="#a8483d"/>
            <v:line style="position:absolute" from="15323,-5390" to="15323,-5688" stroked="true" strokeweight=".5pt" strokecolor="#a8483d"/>
            <v:line style="position:absolute" from="15323,-5093" to="15323,-5390" stroked="true" strokeweight=".5pt" strokecolor="#a8483d"/>
            <v:line style="position:absolute" from="15323,-4796" to="15323,-5093" stroked="true" strokeweight=".5pt" strokecolor="#a8483d"/>
            <v:line style="position:absolute" from="15323,-4498" to="15323,-4796" stroked="true" strokeweight=".5pt" strokecolor="#a8483d"/>
            <v:line style="position:absolute" from="15323,-4201" to="15323,-4498" stroked="true" strokeweight=".5pt" strokecolor="#a8483d"/>
            <v:line style="position:absolute" from="15323,-3904" to="15323,-4201" stroked="true" strokeweight=".5pt" strokecolor="#a8483d"/>
            <v:line style="position:absolute" from="15323,-3606" to="15323,-3904" stroked="true" strokeweight=".5pt" strokecolor="#a8483d"/>
            <v:line style="position:absolute" from="15323,-3309" to="15323,-3606" stroked="true" strokeweight=".5pt" strokecolor="#a8483d"/>
            <v:line style="position:absolute" from="15323,-3012" to="15323,-3309" stroked="true" strokeweight=".5pt" strokecolor="#a8483d"/>
            <v:line style="position:absolute" from="15323,-2715" to="15323,-3012" stroked="true" strokeweight=".5pt" strokecolor="#a8483d"/>
            <v:line style="position:absolute" from="15323,-2417" to="15323,-2715" stroked="true" strokeweight=".5pt" strokecolor="#a8483d"/>
            <v:line style="position:absolute" from="15323,-2120" to="15323,-2417" stroked="true" strokeweight=".5pt" strokecolor="#a8483d"/>
            <v:line style="position:absolute" from="15323,-1823" to="15323,-2120" stroked="true" strokeweight=".5pt" strokecolor="#a8483d"/>
            <v:line style="position:absolute" from="15323,-1525" to="15323,-1823" stroked="true" strokeweight=".5pt" strokecolor="#a8483d"/>
            <v:line style="position:absolute" from="15323,-1228" to="15323,-1525" stroked="true" strokeweight=".5pt" strokecolor="#a8483d"/>
            <v:line style="position:absolute" from="15323,-931" to="15323,-1228" stroked="true" strokeweight=".5pt" strokecolor="#a8483d"/>
            <v:line style="position:absolute" from="15323,-633" to="15323,-931" stroked="true" strokeweight=".5pt" strokecolor="#a8483d"/>
            <v:line style="position:absolute" from="15323,-307" to="15323,-633" stroked="true" strokeweight=".5pt" strokecolor="#a8483d"/>
            <v:line style="position:absolute" from="15323,-15" to="15323,-307" stroked="true" strokeweight=".5pt" strokecolor="#a8483d"/>
            <w10:wrap type="none"/>
          </v:group>
        </w:pict>
      </w:r>
      <w:r>
        <w:rPr>
          <w:color w:val="A8483D"/>
          <w:w w:val="105"/>
          <w:sz w:val="16"/>
        </w:rPr>
        <w:t>Continúa en la siguiente página</w:t>
      </w:r>
    </w:p>
    <w:p>
      <w:pPr>
        <w:spacing w:after="0"/>
        <w:jc w:val="right"/>
        <w:rPr>
          <w:sz w:val="16"/>
        </w:rPr>
        <w:sectPr>
          <w:pgSz w:w="17920" w:h="13100" w:orient="landscape"/>
          <w:pgMar w:top="1220" w:bottom="280" w:left="2580" w:right="2480"/>
        </w:sectPr>
      </w:pPr>
    </w:p>
    <w:p>
      <w:pPr>
        <w:pStyle w:val="BodyText"/>
        <w:rPr>
          <w:sz w:val="20"/>
        </w:rPr>
      </w:pPr>
      <w:r>
        <w:rPr/>
        <w:pict>
          <v:shape style="position:absolute;margin-left:798.466919pt;margin-top:56.722198pt;width:11pt;height:20.55pt;mso-position-horizontal-relative:page;mso-position-vertical-relative:page;z-index:3784" type="#_x0000_t202" filled="false" stroked="false">
            <v:textbox inset="0,0,0,0" style="layout-flow:vertical">
              <w:txbxContent>
                <w:p>
                  <w:pPr>
                    <w:spacing w:line="201" w:lineRule="exact" w:before="0"/>
                    <w:ind w:left="20" w:right="-191" w:firstLine="0"/>
                    <w:jc w:val="left"/>
                    <w:rPr>
                      <w:rFonts w:ascii="Verdana"/>
                      <w:b/>
                      <w:sz w:val="18"/>
                    </w:rPr>
                  </w:pPr>
                  <w:r>
                    <w:rPr>
                      <w:rFonts w:ascii="Verdana"/>
                      <w:b/>
                      <w:color w:val="4F3628"/>
                      <w:w w:val="96"/>
                      <w:sz w:val="18"/>
                    </w:rPr>
                    <w:t>132</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11"/>
        <w:rPr>
          <w:sz w:val="16"/>
        </w:rPr>
      </w:pPr>
    </w:p>
    <w:p>
      <w:pPr>
        <w:spacing w:before="0"/>
        <w:ind w:left="0" w:right="998" w:firstLine="0"/>
        <w:jc w:val="right"/>
        <w:rPr>
          <w:sz w:val="18"/>
        </w:rPr>
      </w:pPr>
      <w:r>
        <w:rPr/>
        <w:drawing>
          <wp:anchor distT="0" distB="0" distL="0" distR="0" allowOverlap="1" layoutInCell="1" locked="0" behindDoc="0" simplePos="0" relativeHeight="3760">
            <wp:simplePos x="0" y="0"/>
            <wp:positionH relativeFrom="page">
              <wp:posOffset>9491713</wp:posOffset>
            </wp:positionH>
            <wp:positionV relativeFrom="paragraph">
              <wp:posOffset>-171817</wp:posOffset>
            </wp:positionV>
            <wp:extent cx="457949" cy="522296"/>
            <wp:effectExtent l="0" t="0" r="0" b="0"/>
            <wp:wrapNone/>
            <wp:docPr id="111" name="image50.png" descr=""/>
            <wp:cNvGraphicFramePr>
              <a:graphicFrameLocks noChangeAspect="1"/>
            </wp:cNvGraphicFramePr>
            <a:graphic>
              <a:graphicData uri="http://schemas.openxmlformats.org/drawingml/2006/picture">
                <pic:pic>
                  <pic:nvPicPr>
                    <pic:cNvPr id="112" name="image50.png"/>
                    <pic:cNvPicPr/>
                  </pic:nvPicPr>
                  <pic:blipFill>
                    <a:blip r:embed="rId55" cstate="print"/>
                    <a:stretch>
                      <a:fillRect/>
                    </a:stretch>
                  </pic:blipFill>
                  <pic:spPr>
                    <a:xfrm>
                      <a:off x="0" y="0"/>
                      <a:ext cx="457949" cy="522296"/>
                    </a:xfrm>
                    <a:prstGeom prst="rect">
                      <a:avLst/>
                    </a:prstGeom>
                  </pic:spPr>
                </pic:pic>
              </a:graphicData>
            </a:graphic>
          </wp:anchor>
        </w:drawing>
      </w:r>
      <w:r>
        <w:rPr>
          <w:color w:val="231F1F"/>
          <w:w w:val="105"/>
          <w:sz w:val="18"/>
        </w:rPr>
        <w:t>René García Castro</w:t>
      </w:r>
    </w:p>
    <w:p>
      <w:pPr>
        <w:pStyle w:val="BodyText"/>
        <w:rPr>
          <w:sz w:val="20"/>
        </w:rPr>
      </w:pPr>
    </w:p>
    <w:p>
      <w:pPr>
        <w:pStyle w:val="BodyText"/>
        <w:rPr>
          <w:sz w:val="20"/>
        </w:rPr>
      </w:pPr>
    </w:p>
    <w:p>
      <w:pPr>
        <w:pStyle w:val="BodyText"/>
        <w:rPr>
          <w:sz w:val="20"/>
        </w:rPr>
      </w:pPr>
    </w:p>
    <w:p>
      <w:pPr>
        <w:pStyle w:val="BodyText"/>
        <w:spacing w:before="7"/>
        <w:rPr>
          <w:sz w:val="14"/>
        </w:rPr>
      </w:pPr>
    </w:p>
    <w:tbl>
      <w:tblPr>
        <w:tblW w:w="0" w:type="auto"/>
        <w:jc w:val="left"/>
        <w:tblInd w:w="27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0"/>
        <w:gridCol w:w="1666"/>
        <w:gridCol w:w="1448"/>
        <w:gridCol w:w="1268"/>
        <w:gridCol w:w="1039"/>
        <w:gridCol w:w="1149"/>
        <w:gridCol w:w="907"/>
        <w:gridCol w:w="1265"/>
      </w:tblGrid>
      <w:tr>
        <w:trPr>
          <w:trHeight w:val="319" w:hRule="exact"/>
        </w:trPr>
        <w:tc>
          <w:tcPr>
            <w:tcW w:w="2740" w:type="dxa"/>
            <w:tcBorders>
              <w:top w:val="single" w:sz="4" w:space="0" w:color="A8483D"/>
              <w:left w:val="single" w:sz="4" w:space="0" w:color="A8483D"/>
            </w:tcBorders>
          </w:tcPr>
          <w:p>
            <w:pPr>
              <w:pStyle w:val="TableParagraph"/>
              <w:spacing w:before="41"/>
              <w:ind w:left="193"/>
              <w:rPr>
                <w:sz w:val="18"/>
              </w:rPr>
            </w:pPr>
            <w:r>
              <w:rPr>
                <w:color w:val="231F1F"/>
                <w:sz w:val="18"/>
              </w:rPr>
              <w:t>Juan Rueda</w:t>
            </w:r>
          </w:p>
        </w:tc>
        <w:tc>
          <w:tcPr>
            <w:tcW w:w="1666" w:type="dxa"/>
            <w:tcBorders>
              <w:top w:val="single" w:sz="4" w:space="0" w:color="A8483D"/>
            </w:tcBorders>
          </w:tcPr>
          <w:p>
            <w:pPr>
              <w:pStyle w:val="TableParagraph"/>
              <w:spacing w:before="41"/>
              <w:ind w:left="589" w:right="599"/>
              <w:jc w:val="center"/>
              <w:rPr>
                <w:sz w:val="18"/>
              </w:rPr>
            </w:pPr>
            <w:r>
              <w:rPr>
                <w:color w:val="603328"/>
                <w:w w:val="120"/>
                <w:sz w:val="18"/>
              </w:rPr>
              <w:t>29</w:t>
            </w:r>
          </w:p>
        </w:tc>
        <w:tc>
          <w:tcPr>
            <w:tcW w:w="1448" w:type="dxa"/>
            <w:tcBorders>
              <w:top w:val="single" w:sz="4" w:space="0" w:color="A8483D"/>
            </w:tcBorders>
          </w:tcPr>
          <w:p>
            <w:pPr/>
          </w:p>
        </w:tc>
        <w:tc>
          <w:tcPr>
            <w:tcW w:w="1268" w:type="dxa"/>
            <w:tcBorders>
              <w:top w:val="single" w:sz="4" w:space="0" w:color="A8483D"/>
            </w:tcBorders>
          </w:tcPr>
          <w:p>
            <w:pPr/>
          </w:p>
        </w:tc>
        <w:tc>
          <w:tcPr>
            <w:tcW w:w="1039" w:type="dxa"/>
            <w:tcBorders>
              <w:top w:val="single" w:sz="4" w:space="0" w:color="A8483D"/>
            </w:tcBorders>
          </w:tcPr>
          <w:p>
            <w:pPr/>
          </w:p>
        </w:tc>
        <w:tc>
          <w:tcPr>
            <w:tcW w:w="1149" w:type="dxa"/>
            <w:tcBorders>
              <w:top w:val="single" w:sz="4" w:space="0" w:color="A8483D"/>
            </w:tcBorders>
          </w:tcPr>
          <w:p>
            <w:pPr>
              <w:pStyle w:val="TableParagraph"/>
              <w:spacing w:before="41"/>
              <w:ind w:left="365" w:right="306"/>
              <w:jc w:val="center"/>
              <w:rPr>
                <w:sz w:val="18"/>
              </w:rPr>
            </w:pPr>
            <w:r>
              <w:rPr>
                <w:color w:val="603328"/>
                <w:w w:val="120"/>
                <w:sz w:val="18"/>
              </w:rPr>
              <w:t>12</w:t>
            </w:r>
          </w:p>
        </w:tc>
        <w:tc>
          <w:tcPr>
            <w:tcW w:w="907" w:type="dxa"/>
            <w:tcBorders>
              <w:top w:val="single" w:sz="4" w:space="0" w:color="A8483D"/>
            </w:tcBorders>
          </w:tcPr>
          <w:p>
            <w:pPr>
              <w:pStyle w:val="TableParagraph"/>
              <w:spacing w:before="41"/>
              <w:ind w:left="320"/>
              <w:rPr>
                <w:sz w:val="18"/>
              </w:rPr>
            </w:pPr>
            <w:r>
              <w:rPr>
                <w:color w:val="603328"/>
                <w:w w:val="122"/>
                <w:sz w:val="18"/>
              </w:rPr>
              <w:t>5</w:t>
            </w:r>
          </w:p>
        </w:tc>
        <w:tc>
          <w:tcPr>
            <w:tcW w:w="1265" w:type="dxa"/>
            <w:tcBorders>
              <w:top w:val="single" w:sz="4" w:space="0" w:color="A8483D"/>
              <w:right w:val="single" w:sz="4" w:space="0" w:color="A8483D"/>
            </w:tcBorders>
          </w:tcPr>
          <w:p>
            <w:pPr>
              <w:pStyle w:val="TableParagraph"/>
              <w:spacing w:before="41"/>
              <w:ind w:right="84"/>
              <w:jc w:val="center"/>
              <w:rPr>
                <w:sz w:val="18"/>
              </w:rPr>
            </w:pPr>
            <w:r>
              <w:rPr>
                <w:color w:val="603328"/>
                <w:w w:val="122"/>
                <w:sz w:val="18"/>
              </w:rPr>
              <w:t>6</w:t>
            </w: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sz w:val="18"/>
              </w:rPr>
              <w:t>José  Nicolás López</w:t>
            </w:r>
          </w:p>
        </w:tc>
        <w:tc>
          <w:tcPr>
            <w:tcW w:w="1666" w:type="dxa"/>
          </w:tcPr>
          <w:p>
            <w:pPr>
              <w:pStyle w:val="TableParagraph"/>
              <w:spacing w:before="24"/>
              <w:ind w:right="10"/>
              <w:jc w:val="center"/>
              <w:rPr>
                <w:sz w:val="18"/>
              </w:rPr>
            </w:pPr>
            <w:r>
              <w:rPr>
                <w:color w:val="603328"/>
                <w:w w:val="122"/>
                <w:sz w:val="18"/>
              </w:rPr>
              <w:t>5</w:t>
            </w:r>
          </w:p>
        </w:tc>
        <w:tc>
          <w:tcPr>
            <w:tcW w:w="1448" w:type="dxa"/>
          </w:tcPr>
          <w:p>
            <w:pPr/>
          </w:p>
        </w:tc>
        <w:tc>
          <w:tcPr>
            <w:tcW w:w="1268" w:type="dxa"/>
          </w:tcPr>
          <w:p>
            <w:pPr/>
          </w:p>
        </w:tc>
        <w:tc>
          <w:tcPr>
            <w:tcW w:w="1039" w:type="dxa"/>
          </w:tcPr>
          <w:p>
            <w:pPr/>
          </w:p>
        </w:tc>
        <w:tc>
          <w:tcPr>
            <w:tcW w:w="1149" w:type="dxa"/>
          </w:tcPr>
          <w:p>
            <w:pPr>
              <w:pStyle w:val="TableParagraph"/>
              <w:spacing w:before="24"/>
              <w:ind w:left="59"/>
              <w:jc w:val="center"/>
              <w:rPr>
                <w:sz w:val="18"/>
              </w:rPr>
            </w:pPr>
            <w:r>
              <w:rPr>
                <w:color w:val="603328"/>
                <w:w w:val="122"/>
                <w:sz w:val="18"/>
              </w:rPr>
              <w:t>2</w:t>
            </w:r>
          </w:p>
        </w:tc>
        <w:tc>
          <w:tcPr>
            <w:tcW w:w="907" w:type="dxa"/>
          </w:tcPr>
          <w:p>
            <w:pPr>
              <w:pStyle w:val="TableParagraph"/>
              <w:spacing w:before="24"/>
              <w:ind w:left="320"/>
              <w:rPr>
                <w:sz w:val="18"/>
              </w:rPr>
            </w:pPr>
            <w:r>
              <w:rPr>
                <w:color w:val="603328"/>
                <w:w w:val="122"/>
                <w:sz w:val="18"/>
              </w:rPr>
              <w:t>1</w:t>
            </w:r>
          </w:p>
        </w:tc>
        <w:tc>
          <w:tcPr>
            <w:tcW w:w="1265" w:type="dxa"/>
            <w:tcBorders>
              <w:right w:val="single" w:sz="4" w:space="0" w:color="A8483D"/>
            </w:tcBorders>
          </w:tcPr>
          <w:p>
            <w:pPr>
              <w:pStyle w:val="TableParagraph"/>
              <w:spacing w:before="24"/>
              <w:ind w:right="84"/>
              <w:jc w:val="center"/>
              <w:rPr>
                <w:sz w:val="18"/>
              </w:rPr>
            </w:pPr>
            <w:r>
              <w:rPr>
                <w:color w:val="603328"/>
                <w:w w:val="122"/>
                <w:sz w:val="18"/>
              </w:rPr>
              <w:t>6</w:t>
            </w: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sz w:val="18"/>
              </w:rPr>
              <w:t>José Pablo Tejupilco</w:t>
            </w:r>
          </w:p>
        </w:tc>
        <w:tc>
          <w:tcPr>
            <w:tcW w:w="1666" w:type="dxa"/>
          </w:tcPr>
          <w:p>
            <w:pPr>
              <w:pStyle w:val="TableParagraph"/>
              <w:spacing w:before="24"/>
              <w:ind w:right="10"/>
              <w:jc w:val="center"/>
              <w:rPr>
                <w:sz w:val="18"/>
              </w:rPr>
            </w:pPr>
            <w:r>
              <w:rPr>
                <w:color w:val="603328"/>
                <w:w w:val="122"/>
                <w:sz w:val="18"/>
              </w:rPr>
              <w:t>1</w:t>
            </w:r>
          </w:p>
        </w:tc>
        <w:tc>
          <w:tcPr>
            <w:tcW w:w="1448" w:type="dxa"/>
          </w:tcPr>
          <w:p>
            <w:pPr>
              <w:pStyle w:val="TableParagraph"/>
              <w:spacing w:before="24"/>
              <w:ind w:left="118"/>
              <w:jc w:val="center"/>
              <w:rPr>
                <w:sz w:val="18"/>
              </w:rPr>
            </w:pPr>
            <w:r>
              <w:rPr>
                <w:color w:val="603328"/>
                <w:w w:val="122"/>
                <w:sz w:val="18"/>
              </w:rPr>
              <w:t>1</w:t>
            </w:r>
          </w:p>
        </w:tc>
        <w:tc>
          <w:tcPr>
            <w:tcW w:w="1268" w:type="dxa"/>
          </w:tcPr>
          <w:p>
            <w:pPr/>
          </w:p>
        </w:tc>
        <w:tc>
          <w:tcPr>
            <w:tcW w:w="1039" w:type="dxa"/>
          </w:tcPr>
          <w:p>
            <w:pPr/>
          </w:p>
        </w:tc>
        <w:tc>
          <w:tcPr>
            <w:tcW w:w="1149" w:type="dxa"/>
          </w:tcPr>
          <w:p>
            <w:pPr/>
          </w:p>
        </w:tc>
        <w:tc>
          <w:tcPr>
            <w:tcW w:w="907" w:type="dxa"/>
          </w:tcPr>
          <w:p>
            <w:pPr>
              <w:pStyle w:val="TableParagraph"/>
              <w:spacing w:before="24"/>
              <w:ind w:left="320"/>
              <w:rPr>
                <w:sz w:val="18"/>
              </w:rPr>
            </w:pPr>
            <w:r>
              <w:rPr>
                <w:color w:val="603328"/>
                <w:w w:val="122"/>
                <w:sz w:val="18"/>
              </w:rPr>
              <w:t>4</w:t>
            </w:r>
          </w:p>
        </w:tc>
        <w:tc>
          <w:tcPr>
            <w:tcW w:w="1265" w:type="dxa"/>
            <w:tcBorders>
              <w:right w:val="single" w:sz="4" w:space="0" w:color="A8483D"/>
            </w:tcBorders>
          </w:tcPr>
          <w:p>
            <w:pPr>
              <w:pStyle w:val="TableParagraph"/>
              <w:spacing w:before="24"/>
              <w:ind w:right="84"/>
              <w:jc w:val="center"/>
              <w:rPr>
                <w:sz w:val="18"/>
              </w:rPr>
            </w:pPr>
            <w:r>
              <w:rPr>
                <w:color w:val="603328"/>
                <w:w w:val="122"/>
                <w:sz w:val="18"/>
              </w:rPr>
              <w:t>5</w:t>
            </w: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w w:val="110"/>
                <w:sz w:val="18"/>
              </w:rPr>
              <w:t>Miguel Salazar</w:t>
            </w:r>
          </w:p>
        </w:tc>
        <w:tc>
          <w:tcPr>
            <w:tcW w:w="1666" w:type="dxa"/>
          </w:tcPr>
          <w:p>
            <w:pPr>
              <w:pStyle w:val="TableParagraph"/>
              <w:spacing w:before="24"/>
              <w:ind w:right="10"/>
              <w:jc w:val="center"/>
              <w:rPr>
                <w:sz w:val="18"/>
              </w:rPr>
            </w:pPr>
            <w:r>
              <w:rPr>
                <w:color w:val="603328"/>
                <w:w w:val="122"/>
                <w:sz w:val="18"/>
              </w:rPr>
              <w:t>4</w:t>
            </w:r>
          </w:p>
        </w:tc>
        <w:tc>
          <w:tcPr>
            <w:tcW w:w="1448" w:type="dxa"/>
          </w:tcPr>
          <w:p>
            <w:pPr>
              <w:pStyle w:val="TableParagraph"/>
              <w:spacing w:before="24"/>
              <w:ind w:left="118"/>
              <w:jc w:val="center"/>
              <w:rPr>
                <w:sz w:val="18"/>
              </w:rPr>
            </w:pPr>
            <w:r>
              <w:rPr>
                <w:color w:val="603328"/>
                <w:w w:val="122"/>
                <w:sz w:val="18"/>
              </w:rPr>
              <w:t>1</w:t>
            </w:r>
          </w:p>
        </w:tc>
        <w:tc>
          <w:tcPr>
            <w:tcW w:w="1268" w:type="dxa"/>
          </w:tcPr>
          <w:p>
            <w:pPr/>
          </w:p>
        </w:tc>
        <w:tc>
          <w:tcPr>
            <w:tcW w:w="1039" w:type="dxa"/>
          </w:tcPr>
          <w:p>
            <w:pPr/>
          </w:p>
        </w:tc>
        <w:tc>
          <w:tcPr>
            <w:tcW w:w="1149" w:type="dxa"/>
          </w:tcPr>
          <w:p>
            <w:pPr>
              <w:pStyle w:val="TableParagraph"/>
              <w:spacing w:before="24"/>
              <w:ind w:left="59"/>
              <w:jc w:val="center"/>
              <w:rPr>
                <w:sz w:val="18"/>
              </w:rPr>
            </w:pPr>
            <w:r>
              <w:rPr>
                <w:color w:val="603328"/>
                <w:w w:val="122"/>
                <w:sz w:val="18"/>
              </w:rPr>
              <w:t>1</w:t>
            </w:r>
          </w:p>
        </w:tc>
        <w:tc>
          <w:tcPr>
            <w:tcW w:w="907" w:type="dxa"/>
          </w:tcPr>
          <w:p>
            <w:pPr>
              <w:pStyle w:val="TableParagraph"/>
              <w:spacing w:before="24"/>
              <w:ind w:left="320"/>
              <w:rPr>
                <w:sz w:val="18"/>
              </w:rPr>
            </w:pPr>
            <w:r>
              <w:rPr>
                <w:color w:val="603328"/>
                <w:w w:val="122"/>
                <w:sz w:val="18"/>
              </w:rPr>
              <w:t>7</w:t>
            </w:r>
          </w:p>
        </w:tc>
        <w:tc>
          <w:tcPr>
            <w:tcW w:w="1265" w:type="dxa"/>
            <w:tcBorders>
              <w:right w:val="single" w:sz="4" w:space="0" w:color="A8483D"/>
            </w:tcBorders>
          </w:tcPr>
          <w:p>
            <w:pPr>
              <w:pStyle w:val="TableParagraph"/>
              <w:spacing w:before="24"/>
              <w:ind w:left="458" w:right="542"/>
              <w:jc w:val="center"/>
              <w:rPr>
                <w:sz w:val="18"/>
              </w:rPr>
            </w:pPr>
            <w:r>
              <w:rPr>
                <w:color w:val="603328"/>
                <w:w w:val="120"/>
                <w:sz w:val="18"/>
              </w:rPr>
              <w:t>11</w:t>
            </w: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w w:val="105"/>
                <w:sz w:val="18"/>
              </w:rPr>
              <w:t>Don Vicente Calderón</w:t>
            </w:r>
          </w:p>
        </w:tc>
        <w:tc>
          <w:tcPr>
            <w:tcW w:w="1666" w:type="dxa"/>
          </w:tcPr>
          <w:p>
            <w:pPr>
              <w:pStyle w:val="TableParagraph"/>
              <w:spacing w:before="24"/>
              <w:ind w:right="10"/>
              <w:jc w:val="center"/>
              <w:rPr>
                <w:sz w:val="18"/>
              </w:rPr>
            </w:pPr>
            <w:r>
              <w:rPr>
                <w:color w:val="603328"/>
                <w:w w:val="122"/>
                <w:sz w:val="18"/>
              </w:rPr>
              <w:t>2</w:t>
            </w:r>
          </w:p>
        </w:tc>
        <w:tc>
          <w:tcPr>
            <w:tcW w:w="1448" w:type="dxa"/>
          </w:tcPr>
          <w:p>
            <w:pPr/>
          </w:p>
        </w:tc>
        <w:tc>
          <w:tcPr>
            <w:tcW w:w="1268" w:type="dxa"/>
          </w:tcPr>
          <w:p>
            <w:pPr/>
          </w:p>
        </w:tc>
        <w:tc>
          <w:tcPr>
            <w:tcW w:w="1039" w:type="dxa"/>
          </w:tcPr>
          <w:p>
            <w:pPr/>
          </w:p>
        </w:tc>
        <w:tc>
          <w:tcPr>
            <w:tcW w:w="1149" w:type="dxa"/>
          </w:tcPr>
          <w:p>
            <w:pPr/>
          </w:p>
        </w:tc>
        <w:tc>
          <w:tcPr>
            <w:tcW w:w="907" w:type="dxa"/>
          </w:tcPr>
          <w:p>
            <w:pPr>
              <w:pStyle w:val="TableParagraph"/>
              <w:spacing w:before="24"/>
              <w:ind w:left="320"/>
              <w:rPr>
                <w:sz w:val="18"/>
              </w:rPr>
            </w:pPr>
            <w:r>
              <w:rPr>
                <w:color w:val="603328"/>
                <w:w w:val="122"/>
                <w:sz w:val="18"/>
              </w:rPr>
              <w:t>7</w:t>
            </w:r>
          </w:p>
        </w:tc>
        <w:tc>
          <w:tcPr>
            <w:tcW w:w="1265" w:type="dxa"/>
            <w:tcBorders>
              <w:right w:val="single" w:sz="4" w:space="0" w:color="A8483D"/>
            </w:tcBorders>
          </w:tcPr>
          <w:p>
            <w:pP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w w:val="105"/>
                <w:sz w:val="18"/>
              </w:rPr>
              <w:t>José de la Cruz Loera</w:t>
            </w:r>
          </w:p>
        </w:tc>
        <w:tc>
          <w:tcPr>
            <w:tcW w:w="1666" w:type="dxa"/>
          </w:tcPr>
          <w:p>
            <w:pPr>
              <w:pStyle w:val="TableParagraph"/>
              <w:spacing w:before="24"/>
              <w:ind w:left="589" w:right="599"/>
              <w:jc w:val="center"/>
              <w:rPr>
                <w:sz w:val="18"/>
              </w:rPr>
            </w:pPr>
            <w:r>
              <w:rPr>
                <w:color w:val="603328"/>
                <w:w w:val="120"/>
                <w:sz w:val="18"/>
              </w:rPr>
              <w:t>49</w:t>
            </w:r>
          </w:p>
        </w:tc>
        <w:tc>
          <w:tcPr>
            <w:tcW w:w="1448" w:type="dxa"/>
          </w:tcPr>
          <w:p>
            <w:pPr/>
          </w:p>
        </w:tc>
        <w:tc>
          <w:tcPr>
            <w:tcW w:w="1268" w:type="dxa"/>
          </w:tcPr>
          <w:p>
            <w:pPr/>
          </w:p>
        </w:tc>
        <w:tc>
          <w:tcPr>
            <w:tcW w:w="1039" w:type="dxa"/>
          </w:tcPr>
          <w:p>
            <w:pPr/>
          </w:p>
        </w:tc>
        <w:tc>
          <w:tcPr>
            <w:tcW w:w="1149" w:type="dxa"/>
          </w:tcPr>
          <w:p>
            <w:pPr>
              <w:pStyle w:val="TableParagraph"/>
              <w:spacing w:before="24"/>
              <w:ind w:left="365" w:right="306"/>
              <w:jc w:val="center"/>
              <w:rPr>
                <w:sz w:val="18"/>
              </w:rPr>
            </w:pPr>
            <w:r>
              <w:rPr>
                <w:color w:val="603328"/>
                <w:w w:val="120"/>
                <w:sz w:val="18"/>
              </w:rPr>
              <w:t>21</w:t>
            </w:r>
          </w:p>
        </w:tc>
        <w:tc>
          <w:tcPr>
            <w:tcW w:w="907" w:type="dxa"/>
          </w:tcPr>
          <w:p>
            <w:pPr>
              <w:pStyle w:val="TableParagraph"/>
              <w:spacing w:before="24"/>
              <w:ind w:left="320"/>
              <w:rPr>
                <w:sz w:val="18"/>
              </w:rPr>
            </w:pPr>
            <w:r>
              <w:rPr>
                <w:color w:val="603328"/>
                <w:w w:val="122"/>
                <w:sz w:val="18"/>
              </w:rPr>
              <w:t>3</w:t>
            </w:r>
          </w:p>
        </w:tc>
        <w:tc>
          <w:tcPr>
            <w:tcW w:w="1265" w:type="dxa"/>
            <w:tcBorders>
              <w:right w:val="single" w:sz="4" w:space="0" w:color="A8483D"/>
            </w:tcBorders>
          </w:tcPr>
          <w:p>
            <w:pPr/>
          </w:p>
        </w:tc>
      </w:tr>
      <w:tr>
        <w:trPr>
          <w:trHeight w:val="297" w:hRule="exact"/>
        </w:trPr>
        <w:tc>
          <w:tcPr>
            <w:tcW w:w="2740" w:type="dxa"/>
            <w:tcBorders>
              <w:left w:val="single" w:sz="4" w:space="0" w:color="A8483D"/>
            </w:tcBorders>
          </w:tcPr>
          <w:p>
            <w:pPr>
              <w:pStyle w:val="TableParagraph"/>
              <w:spacing w:before="24"/>
              <w:ind w:left="193"/>
              <w:rPr>
                <w:sz w:val="18"/>
              </w:rPr>
            </w:pPr>
            <w:r>
              <w:rPr>
                <w:color w:val="231F1F"/>
                <w:sz w:val="18"/>
              </w:rPr>
              <w:t>Por lo pagado al   fundidor</w:t>
            </w:r>
          </w:p>
        </w:tc>
        <w:tc>
          <w:tcPr>
            <w:tcW w:w="1666" w:type="dxa"/>
          </w:tcPr>
          <w:p>
            <w:pPr/>
          </w:p>
        </w:tc>
        <w:tc>
          <w:tcPr>
            <w:tcW w:w="1448" w:type="dxa"/>
          </w:tcPr>
          <w:p>
            <w:pPr/>
          </w:p>
        </w:tc>
        <w:tc>
          <w:tcPr>
            <w:tcW w:w="1268" w:type="dxa"/>
          </w:tcPr>
          <w:p>
            <w:pPr/>
          </w:p>
        </w:tc>
        <w:tc>
          <w:tcPr>
            <w:tcW w:w="1039" w:type="dxa"/>
          </w:tcPr>
          <w:p>
            <w:pPr/>
          </w:p>
        </w:tc>
        <w:tc>
          <w:tcPr>
            <w:tcW w:w="1149" w:type="dxa"/>
          </w:tcPr>
          <w:p>
            <w:pPr>
              <w:pStyle w:val="TableParagraph"/>
              <w:spacing w:before="24"/>
              <w:ind w:left="59"/>
              <w:jc w:val="center"/>
              <w:rPr>
                <w:sz w:val="18"/>
              </w:rPr>
            </w:pPr>
            <w:r>
              <w:rPr>
                <w:color w:val="603328"/>
                <w:w w:val="122"/>
                <w:sz w:val="18"/>
              </w:rPr>
              <w:t>2</w:t>
            </w:r>
          </w:p>
        </w:tc>
        <w:tc>
          <w:tcPr>
            <w:tcW w:w="907" w:type="dxa"/>
          </w:tcPr>
          <w:p>
            <w:pPr>
              <w:pStyle w:val="TableParagraph"/>
              <w:spacing w:before="24"/>
              <w:ind w:left="320"/>
              <w:rPr>
                <w:sz w:val="18"/>
              </w:rPr>
            </w:pPr>
            <w:r>
              <w:rPr>
                <w:color w:val="603328"/>
                <w:w w:val="122"/>
                <w:sz w:val="18"/>
              </w:rPr>
              <w:t>2</w:t>
            </w:r>
          </w:p>
        </w:tc>
        <w:tc>
          <w:tcPr>
            <w:tcW w:w="1265" w:type="dxa"/>
            <w:tcBorders>
              <w:right w:val="single" w:sz="4" w:space="0" w:color="A8483D"/>
            </w:tcBorders>
          </w:tcPr>
          <w:p>
            <w:pPr/>
          </w:p>
        </w:tc>
      </w:tr>
      <w:tr>
        <w:trPr>
          <w:trHeight w:val="276" w:hRule="exact"/>
        </w:trPr>
        <w:tc>
          <w:tcPr>
            <w:tcW w:w="2740" w:type="dxa"/>
            <w:tcBorders>
              <w:left w:val="single" w:sz="4" w:space="0" w:color="A8483D"/>
              <w:bottom w:val="single" w:sz="4" w:space="0" w:color="A8483D"/>
            </w:tcBorders>
          </w:tcPr>
          <w:p>
            <w:pPr>
              <w:pStyle w:val="TableParagraph"/>
              <w:spacing w:before="24"/>
              <w:ind w:left="193"/>
              <w:rPr>
                <w:sz w:val="18"/>
              </w:rPr>
            </w:pPr>
            <w:r>
              <w:rPr>
                <w:color w:val="231F1F"/>
                <w:sz w:val="18"/>
              </w:rPr>
              <w:t>Total</w:t>
            </w:r>
          </w:p>
        </w:tc>
        <w:tc>
          <w:tcPr>
            <w:tcW w:w="1666" w:type="dxa"/>
            <w:tcBorders>
              <w:bottom w:val="single" w:sz="4" w:space="0" w:color="A8483D"/>
            </w:tcBorders>
          </w:tcPr>
          <w:p>
            <w:pPr>
              <w:pStyle w:val="TableParagraph"/>
              <w:spacing w:before="24"/>
              <w:ind w:left="589" w:right="599"/>
              <w:jc w:val="center"/>
              <w:rPr>
                <w:sz w:val="18"/>
              </w:rPr>
            </w:pPr>
            <w:r>
              <w:rPr>
                <w:color w:val="603328"/>
                <w:w w:val="120"/>
                <w:sz w:val="18"/>
              </w:rPr>
              <w:t>2295</w:t>
            </w:r>
          </w:p>
        </w:tc>
        <w:tc>
          <w:tcPr>
            <w:tcW w:w="1448" w:type="dxa"/>
            <w:tcBorders>
              <w:bottom w:val="single" w:sz="4" w:space="0" w:color="A8483D"/>
            </w:tcBorders>
          </w:tcPr>
          <w:p>
            <w:pPr>
              <w:pStyle w:val="TableParagraph"/>
              <w:spacing w:before="24"/>
              <w:ind w:left="598" w:right="480"/>
              <w:jc w:val="center"/>
              <w:rPr>
                <w:sz w:val="18"/>
              </w:rPr>
            </w:pPr>
            <w:r>
              <w:rPr>
                <w:color w:val="603328"/>
                <w:w w:val="120"/>
                <w:sz w:val="18"/>
              </w:rPr>
              <w:t>181</w:t>
            </w:r>
          </w:p>
        </w:tc>
        <w:tc>
          <w:tcPr>
            <w:tcW w:w="1268" w:type="dxa"/>
            <w:tcBorders>
              <w:bottom w:val="single" w:sz="4" w:space="0" w:color="A8483D"/>
            </w:tcBorders>
          </w:tcPr>
          <w:p>
            <w:pPr>
              <w:pStyle w:val="TableParagraph"/>
              <w:spacing w:before="24"/>
              <w:ind w:left="480" w:right="419"/>
              <w:jc w:val="center"/>
              <w:rPr>
                <w:sz w:val="18"/>
              </w:rPr>
            </w:pPr>
            <w:r>
              <w:rPr>
                <w:color w:val="603328"/>
                <w:w w:val="120"/>
                <w:sz w:val="18"/>
              </w:rPr>
              <w:t>129</w:t>
            </w:r>
          </w:p>
        </w:tc>
        <w:tc>
          <w:tcPr>
            <w:tcW w:w="1039" w:type="dxa"/>
            <w:tcBorders>
              <w:bottom w:val="single" w:sz="4" w:space="0" w:color="A8483D"/>
            </w:tcBorders>
          </w:tcPr>
          <w:p>
            <w:pPr>
              <w:pStyle w:val="TableParagraph"/>
              <w:spacing w:before="24"/>
              <w:ind w:left="417" w:right="362"/>
              <w:jc w:val="center"/>
              <w:rPr>
                <w:sz w:val="18"/>
              </w:rPr>
            </w:pPr>
            <w:r>
              <w:rPr>
                <w:color w:val="603328"/>
                <w:w w:val="120"/>
                <w:sz w:val="18"/>
              </w:rPr>
              <w:t>42</w:t>
            </w:r>
          </w:p>
        </w:tc>
        <w:tc>
          <w:tcPr>
            <w:tcW w:w="1149" w:type="dxa"/>
            <w:tcBorders>
              <w:bottom w:val="single" w:sz="4" w:space="0" w:color="A8483D"/>
            </w:tcBorders>
          </w:tcPr>
          <w:p>
            <w:pPr>
              <w:pStyle w:val="TableParagraph"/>
              <w:spacing w:before="24"/>
              <w:ind w:left="365" w:right="306"/>
              <w:jc w:val="center"/>
              <w:rPr>
                <w:sz w:val="18"/>
              </w:rPr>
            </w:pPr>
            <w:r>
              <w:rPr>
                <w:color w:val="603328"/>
                <w:w w:val="120"/>
                <w:sz w:val="18"/>
              </w:rPr>
              <w:t>1032</w:t>
            </w:r>
          </w:p>
        </w:tc>
        <w:tc>
          <w:tcPr>
            <w:tcW w:w="907" w:type="dxa"/>
            <w:tcBorders>
              <w:bottom w:val="single" w:sz="4" w:space="0" w:color="A8483D"/>
            </w:tcBorders>
          </w:tcPr>
          <w:p>
            <w:pPr>
              <w:pStyle w:val="TableParagraph"/>
              <w:spacing w:before="24"/>
              <w:ind w:left="320"/>
              <w:rPr>
                <w:sz w:val="18"/>
              </w:rPr>
            </w:pPr>
            <w:r>
              <w:rPr>
                <w:color w:val="603328"/>
                <w:w w:val="122"/>
                <w:sz w:val="18"/>
              </w:rPr>
              <w:t>1</w:t>
            </w:r>
          </w:p>
        </w:tc>
        <w:tc>
          <w:tcPr>
            <w:tcW w:w="1265" w:type="dxa"/>
            <w:tcBorders>
              <w:bottom w:val="single" w:sz="4" w:space="0" w:color="A8483D"/>
              <w:right w:val="single" w:sz="4" w:space="0" w:color="A8483D"/>
            </w:tcBorders>
          </w:tcPr>
          <w:p>
            <w:pPr>
              <w:pStyle w:val="TableParagraph"/>
              <w:spacing w:before="24"/>
              <w:ind w:right="84"/>
              <w:jc w:val="center"/>
              <w:rPr>
                <w:sz w:val="18"/>
              </w:rPr>
            </w:pPr>
            <w:r>
              <w:rPr>
                <w:color w:val="603328"/>
                <w:w w:val="122"/>
                <w:sz w:val="18"/>
              </w:rPr>
              <w:t>6</w:t>
            </w:r>
          </w:p>
        </w:tc>
      </w:tr>
    </w:tbl>
    <w:p>
      <w:pPr>
        <w:pStyle w:val="BodyText"/>
        <w:spacing w:before="10"/>
        <w:rPr>
          <w:sz w:val="9"/>
        </w:rPr>
      </w:pPr>
    </w:p>
    <w:p>
      <w:pPr>
        <w:spacing w:before="66"/>
        <w:ind w:left="2778" w:right="0" w:firstLine="0"/>
        <w:jc w:val="both"/>
        <w:rPr>
          <w:sz w:val="18"/>
        </w:rPr>
      </w:pPr>
      <w:r>
        <w:rPr>
          <w:color w:val="231F1F"/>
          <w:w w:val="110"/>
          <w:sz w:val="18"/>
        </w:rPr>
        <w:t>Fuente: </w:t>
      </w:r>
      <w:r>
        <w:rPr>
          <w:color w:val="231F1F"/>
          <w:w w:val="110"/>
          <w:sz w:val="14"/>
        </w:rPr>
        <w:t>AGN</w:t>
      </w:r>
      <w:r>
        <w:rPr>
          <w:color w:val="231F1F"/>
          <w:w w:val="110"/>
          <w:sz w:val="18"/>
        </w:rPr>
        <w:t>, A. H. </w:t>
      </w:r>
      <w:r>
        <w:rPr>
          <w:color w:val="231F1F"/>
          <w:w w:val="110"/>
          <w:sz w:val="14"/>
        </w:rPr>
        <w:t>HDA</w:t>
      </w:r>
      <w:r>
        <w:rPr>
          <w:color w:val="231F1F"/>
          <w:w w:val="110"/>
          <w:sz w:val="18"/>
        </w:rPr>
        <w:t>. , Vol.    </w:t>
      </w:r>
      <w:r>
        <w:rPr>
          <w:color w:val="231F1F"/>
          <w:w w:val="110"/>
          <w:sz w:val="16"/>
        </w:rPr>
        <w:t>1081</w:t>
      </w:r>
      <w:r>
        <w:rPr>
          <w:color w:val="231F1F"/>
          <w:w w:val="110"/>
          <w:sz w:val="18"/>
        </w:rPr>
        <w:t>, Exp. s/n, fo. 1.</w:t>
      </w:r>
    </w:p>
    <w:p>
      <w:pPr>
        <w:spacing w:line="216" w:lineRule="exact" w:before="80"/>
        <w:ind w:left="2778" w:right="463" w:firstLine="0"/>
        <w:jc w:val="both"/>
        <w:rPr>
          <w:sz w:val="18"/>
        </w:rPr>
      </w:pPr>
      <w:r>
        <w:rPr>
          <w:color w:val="231F1F"/>
          <w:sz w:val="18"/>
        </w:rPr>
        <w:t>Cuyo número de monedas se entregan de orden del mismo señor comandante general al capitán tesorero don Nicolás Cano con más setenta y dos de      plata de todas clases que se recogieron del colector de Tejupilco; y noventa y tres de cobre de varios indios de aquí; y cuarenta y cinco pesos, un real,        siete</w:t>
      </w:r>
      <w:r>
        <w:rPr>
          <w:color w:val="231F1F"/>
          <w:spacing w:val="20"/>
          <w:sz w:val="18"/>
        </w:rPr>
        <w:t> </w:t>
      </w:r>
      <w:r>
        <w:rPr>
          <w:color w:val="231F1F"/>
          <w:sz w:val="18"/>
        </w:rPr>
        <w:t>granos</w:t>
      </w:r>
      <w:r>
        <w:rPr>
          <w:color w:val="231F1F"/>
          <w:spacing w:val="20"/>
          <w:sz w:val="18"/>
        </w:rPr>
        <w:t> </w:t>
      </w:r>
      <w:r>
        <w:rPr>
          <w:color w:val="231F1F"/>
          <w:sz w:val="18"/>
        </w:rPr>
        <w:t>valor</w:t>
      </w:r>
      <w:r>
        <w:rPr>
          <w:color w:val="231F1F"/>
          <w:spacing w:val="20"/>
          <w:sz w:val="18"/>
        </w:rPr>
        <w:t> </w:t>
      </w:r>
      <w:r>
        <w:rPr>
          <w:color w:val="231F1F"/>
          <w:sz w:val="18"/>
        </w:rPr>
        <w:t>de</w:t>
      </w:r>
      <w:r>
        <w:rPr>
          <w:color w:val="231F1F"/>
          <w:spacing w:val="20"/>
          <w:sz w:val="18"/>
        </w:rPr>
        <w:t> </w:t>
      </w:r>
      <w:r>
        <w:rPr>
          <w:color w:val="231F1F"/>
          <w:sz w:val="18"/>
        </w:rPr>
        <w:t>las</w:t>
      </w:r>
      <w:r>
        <w:rPr>
          <w:color w:val="231F1F"/>
          <w:spacing w:val="20"/>
          <w:sz w:val="18"/>
        </w:rPr>
        <w:t> </w:t>
      </w:r>
      <w:r>
        <w:rPr>
          <w:color w:val="231F1F"/>
          <w:sz w:val="18"/>
        </w:rPr>
        <w:t>siete</w:t>
      </w:r>
      <w:r>
        <w:rPr>
          <w:color w:val="231F1F"/>
          <w:spacing w:val="20"/>
          <w:sz w:val="18"/>
        </w:rPr>
        <w:t> </w:t>
      </w:r>
      <w:r>
        <w:rPr>
          <w:color w:val="231F1F"/>
          <w:sz w:val="18"/>
        </w:rPr>
        <w:t>últimas</w:t>
      </w:r>
      <w:r>
        <w:rPr>
          <w:color w:val="231F1F"/>
          <w:spacing w:val="20"/>
          <w:sz w:val="18"/>
        </w:rPr>
        <w:t> </w:t>
      </w:r>
      <w:r>
        <w:rPr>
          <w:color w:val="231F1F"/>
          <w:sz w:val="18"/>
        </w:rPr>
        <w:t>partidas,</w:t>
      </w:r>
      <w:r>
        <w:rPr>
          <w:color w:val="231F1F"/>
          <w:spacing w:val="20"/>
          <w:sz w:val="18"/>
        </w:rPr>
        <w:t> </w:t>
      </w:r>
      <w:r>
        <w:rPr>
          <w:color w:val="231F1F"/>
          <w:sz w:val="18"/>
        </w:rPr>
        <w:t>cuyos</w:t>
      </w:r>
      <w:r>
        <w:rPr>
          <w:color w:val="231F1F"/>
          <w:spacing w:val="20"/>
          <w:sz w:val="18"/>
        </w:rPr>
        <w:t> </w:t>
      </w:r>
      <w:r>
        <w:rPr>
          <w:color w:val="231F1F"/>
          <w:sz w:val="18"/>
        </w:rPr>
        <w:t>dueños</w:t>
      </w:r>
      <w:r>
        <w:rPr>
          <w:color w:val="231F1F"/>
          <w:spacing w:val="20"/>
          <w:sz w:val="18"/>
        </w:rPr>
        <w:t> </w:t>
      </w:r>
      <w:r>
        <w:rPr>
          <w:color w:val="231F1F"/>
          <w:sz w:val="18"/>
        </w:rPr>
        <w:t>no</w:t>
      </w:r>
      <w:r>
        <w:rPr>
          <w:color w:val="231F1F"/>
          <w:spacing w:val="20"/>
          <w:sz w:val="18"/>
        </w:rPr>
        <w:t> </w:t>
      </w:r>
      <w:r>
        <w:rPr>
          <w:color w:val="231F1F"/>
          <w:sz w:val="18"/>
        </w:rPr>
        <w:t>han</w:t>
      </w:r>
      <w:r>
        <w:rPr>
          <w:color w:val="231F1F"/>
          <w:spacing w:val="20"/>
          <w:sz w:val="18"/>
        </w:rPr>
        <w:t> </w:t>
      </w:r>
      <w:r>
        <w:rPr>
          <w:color w:val="231F1F"/>
          <w:sz w:val="18"/>
        </w:rPr>
        <w:t>ocurrido</w:t>
      </w:r>
      <w:r>
        <w:rPr>
          <w:color w:val="231F1F"/>
          <w:spacing w:val="20"/>
          <w:sz w:val="18"/>
        </w:rPr>
        <w:t> </w:t>
      </w:r>
      <w:r>
        <w:rPr>
          <w:color w:val="231F1F"/>
          <w:sz w:val="18"/>
        </w:rPr>
        <w:t>a</w:t>
      </w:r>
      <w:r>
        <w:rPr>
          <w:color w:val="231F1F"/>
          <w:spacing w:val="20"/>
          <w:sz w:val="18"/>
        </w:rPr>
        <w:t> </w:t>
      </w:r>
      <w:r>
        <w:rPr>
          <w:color w:val="231F1F"/>
          <w:sz w:val="18"/>
        </w:rPr>
        <w:t>percibirlo.</w:t>
      </w:r>
      <w:r>
        <w:rPr>
          <w:color w:val="231F1F"/>
          <w:spacing w:val="20"/>
          <w:sz w:val="18"/>
        </w:rPr>
        <w:t> </w:t>
      </w:r>
      <w:r>
        <w:rPr>
          <w:color w:val="231F1F"/>
          <w:sz w:val="18"/>
        </w:rPr>
        <w:t>Sultepec,</w:t>
      </w:r>
      <w:r>
        <w:rPr>
          <w:color w:val="231F1F"/>
          <w:spacing w:val="20"/>
          <w:sz w:val="18"/>
        </w:rPr>
        <w:t> </w:t>
      </w:r>
      <w:r>
        <w:rPr>
          <w:color w:val="231F1F"/>
          <w:sz w:val="16"/>
        </w:rPr>
        <w:t>14</w:t>
      </w:r>
      <w:r>
        <w:rPr>
          <w:color w:val="231F1F"/>
          <w:spacing w:val="24"/>
          <w:sz w:val="16"/>
        </w:rPr>
        <w:t> </w:t>
      </w:r>
      <w:r>
        <w:rPr>
          <w:color w:val="231F1F"/>
          <w:sz w:val="18"/>
        </w:rPr>
        <w:t>de</w:t>
      </w:r>
      <w:r>
        <w:rPr>
          <w:color w:val="231F1F"/>
          <w:spacing w:val="20"/>
          <w:sz w:val="18"/>
        </w:rPr>
        <w:t> </w:t>
      </w:r>
      <w:r>
        <w:rPr>
          <w:color w:val="231F1F"/>
          <w:sz w:val="18"/>
        </w:rPr>
        <w:t>julio</w:t>
      </w:r>
      <w:r>
        <w:rPr>
          <w:color w:val="231F1F"/>
          <w:spacing w:val="20"/>
          <w:sz w:val="18"/>
        </w:rPr>
        <w:t> </w:t>
      </w:r>
      <w:r>
        <w:rPr>
          <w:color w:val="231F1F"/>
          <w:sz w:val="18"/>
        </w:rPr>
        <w:t>de</w:t>
      </w:r>
      <w:r>
        <w:rPr>
          <w:color w:val="231F1F"/>
          <w:spacing w:val="20"/>
          <w:sz w:val="18"/>
        </w:rPr>
        <w:t> </w:t>
      </w:r>
      <w:r>
        <w:rPr>
          <w:color w:val="231F1F"/>
          <w:sz w:val="16"/>
        </w:rPr>
        <w:t>1812</w:t>
      </w:r>
      <w:r>
        <w:rPr>
          <w:color w:val="231F1F"/>
          <w:sz w:val="18"/>
        </w:rPr>
        <w:t>.</w:t>
      </w:r>
    </w:p>
    <w:p>
      <w:pPr>
        <w:spacing w:line="216" w:lineRule="exact" w:before="85"/>
        <w:ind w:left="2778" w:right="464" w:firstLine="0"/>
        <w:jc w:val="both"/>
        <w:rPr>
          <w:sz w:val="18"/>
        </w:rPr>
      </w:pPr>
      <w:r>
        <w:rPr>
          <w:color w:val="231F1F"/>
          <w:w w:val="110"/>
          <w:sz w:val="18"/>
        </w:rPr>
        <w:t>Nota:</w:t>
      </w:r>
      <w:r>
        <w:rPr>
          <w:color w:val="231F1F"/>
          <w:spacing w:val="-19"/>
          <w:w w:val="110"/>
          <w:sz w:val="18"/>
        </w:rPr>
        <w:t> </w:t>
      </w:r>
      <w:r>
        <w:rPr>
          <w:color w:val="231F1F"/>
          <w:w w:val="110"/>
          <w:sz w:val="18"/>
        </w:rPr>
        <w:t>Que</w:t>
      </w:r>
      <w:r>
        <w:rPr>
          <w:color w:val="231F1F"/>
          <w:spacing w:val="-19"/>
          <w:w w:val="110"/>
          <w:sz w:val="18"/>
        </w:rPr>
        <w:t> </w:t>
      </w:r>
      <w:r>
        <w:rPr>
          <w:color w:val="231F1F"/>
          <w:w w:val="110"/>
          <w:sz w:val="18"/>
        </w:rPr>
        <w:t>deben</w:t>
      </w:r>
      <w:r>
        <w:rPr>
          <w:color w:val="231F1F"/>
          <w:spacing w:val="-19"/>
          <w:w w:val="110"/>
          <w:sz w:val="18"/>
        </w:rPr>
        <w:t> </w:t>
      </w:r>
      <w:r>
        <w:rPr>
          <w:color w:val="231F1F"/>
          <w:w w:val="110"/>
          <w:sz w:val="18"/>
        </w:rPr>
        <w:t>éstas</w:t>
      </w:r>
      <w:r>
        <w:rPr>
          <w:color w:val="231F1F"/>
          <w:spacing w:val="-19"/>
          <w:w w:val="110"/>
          <w:sz w:val="18"/>
        </w:rPr>
        <w:t> </w:t>
      </w:r>
      <w:r>
        <w:rPr>
          <w:color w:val="231F1F"/>
          <w:w w:val="110"/>
          <w:sz w:val="18"/>
        </w:rPr>
        <w:t>del</w:t>
      </w:r>
      <w:r>
        <w:rPr>
          <w:color w:val="231F1F"/>
          <w:spacing w:val="-19"/>
          <w:w w:val="110"/>
          <w:sz w:val="18"/>
        </w:rPr>
        <w:t> </w:t>
      </w:r>
      <w:r>
        <w:rPr>
          <w:color w:val="231F1F"/>
          <w:w w:val="110"/>
          <w:sz w:val="18"/>
        </w:rPr>
        <w:t>ensaye</w:t>
      </w:r>
      <w:r>
        <w:rPr>
          <w:color w:val="231F1F"/>
          <w:spacing w:val="-19"/>
          <w:w w:val="110"/>
          <w:sz w:val="18"/>
        </w:rPr>
        <w:t> </w:t>
      </w:r>
      <w:r>
        <w:rPr>
          <w:color w:val="231F1F"/>
          <w:w w:val="110"/>
          <w:sz w:val="18"/>
        </w:rPr>
        <w:t>y</w:t>
      </w:r>
      <w:r>
        <w:rPr>
          <w:color w:val="231F1F"/>
          <w:spacing w:val="-19"/>
          <w:w w:val="110"/>
          <w:sz w:val="18"/>
        </w:rPr>
        <w:t> </w:t>
      </w:r>
      <w:r>
        <w:rPr>
          <w:color w:val="231F1F"/>
          <w:w w:val="110"/>
          <w:sz w:val="18"/>
        </w:rPr>
        <w:t>peso</w:t>
      </w:r>
      <w:r>
        <w:rPr>
          <w:color w:val="231F1F"/>
          <w:spacing w:val="-19"/>
          <w:w w:val="110"/>
          <w:sz w:val="18"/>
        </w:rPr>
        <w:t> </w:t>
      </w:r>
      <w:r>
        <w:rPr>
          <w:color w:val="231F1F"/>
          <w:w w:val="110"/>
          <w:sz w:val="18"/>
        </w:rPr>
        <w:t>de</w:t>
      </w:r>
      <w:r>
        <w:rPr>
          <w:color w:val="231F1F"/>
          <w:spacing w:val="-19"/>
          <w:w w:val="110"/>
          <w:sz w:val="18"/>
        </w:rPr>
        <w:t> </w:t>
      </w:r>
      <w:r>
        <w:rPr>
          <w:color w:val="231F1F"/>
          <w:w w:val="110"/>
          <w:sz w:val="18"/>
        </w:rPr>
        <w:t>las</w:t>
      </w:r>
      <w:r>
        <w:rPr>
          <w:color w:val="231F1F"/>
          <w:spacing w:val="-19"/>
          <w:w w:val="110"/>
          <w:sz w:val="18"/>
        </w:rPr>
        <w:t> </w:t>
      </w:r>
      <w:r>
        <w:rPr>
          <w:color w:val="231F1F"/>
          <w:w w:val="110"/>
          <w:sz w:val="18"/>
        </w:rPr>
        <w:t>monedas,</w:t>
      </w:r>
      <w:r>
        <w:rPr>
          <w:color w:val="231F1F"/>
          <w:spacing w:val="-19"/>
          <w:w w:val="110"/>
          <w:sz w:val="18"/>
        </w:rPr>
        <w:t> </w:t>
      </w:r>
      <w:r>
        <w:rPr>
          <w:color w:val="231F1F"/>
          <w:w w:val="110"/>
          <w:sz w:val="18"/>
        </w:rPr>
        <w:t>se</w:t>
      </w:r>
      <w:r>
        <w:rPr>
          <w:color w:val="231F1F"/>
          <w:spacing w:val="-19"/>
          <w:w w:val="110"/>
          <w:sz w:val="18"/>
        </w:rPr>
        <w:t> </w:t>
      </w:r>
      <w:r>
        <w:rPr>
          <w:color w:val="231F1F"/>
          <w:w w:val="110"/>
          <w:sz w:val="18"/>
        </w:rPr>
        <w:t>valuaron</w:t>
      </w:r>
      <w:r>
        <w:rPr>
          <w:color w:val="231F1F"/>
          <w:spacing w:val="-19"/>
          <w:w w:val="110"/>
          <w:sz w:val="18"/>
        </w:rPr>
        <w:t> </w:t>
      </w:r>
      <w:r>
        <w:rPr>
          <w:color w:val="231F1F"/>
          <w:w w:val="110"/>
          <w:sz w:val="18"/>
        </w:rPr>
        <w:t>las</w:t>
      </w:r>
      <w:r>
        <w:rPr>
          <w:color w:val="231F1F"/>
          <w:spacing w:val="-19"/>
          <w:w w:val="110"/>
          <w:sz w:val="18"/>
        </w:rPr>
        <w:t> </w:t>
      </w:r>
      <w:r>
        <w:rPr>
          <w:color w:val="231F1F"/>
          <w:w w:val="110"/>
          <w:sz w:val="18"/>
        </w:rPr>
        <w:t>primeras</w:t>
      </w:r>
      <w:r>
        <w:rPr>
          <w:color w:val="231F1F"/>
          <w:spacing w:val="-19"/>
          <w:w w:val="110"/>
          <w:sz w:val="18"/>
        </w:rPr>
        <w:t> </w:t>
      </w:r>
      <w:r>
        <w:rPr>
          <w:color w:val="231F1F"/>
          <w:w w:val="110"/>
          <w:sz w:val="18"/>
        </w:rPr>
        <w:t>a</w:t>
      </w:r>
      <w:r>
        <w:rPr>
          <w:color w:val="231F1F"/>
          <w:spacing w:val="-19"/>
          <w:w w:val="110"/>
          <w:sz w:val="18"/>
        </w:rPr>
        <w:t> </w:t>
      </w:r>
      <w:r>
        <w:rPr>
          <w:color w:val="231F1F"/>
          <w:w w:val="110"/>
          <w:sz w:val="16"/>
        </w:rPr>
        <w:t>3</w:t>
      </w:r>
      <w:r>
        <w:rPr>
          <w:color w:val="231F1F"/>
          <w:spacing w:val="-14"/>
          <w:w w:val="110"/>
          <w:sz w:val="16"/>
        </w:rPr>
        <w:t> </w:t>
      </w:r>
      <w:r>
        <w:rPr>
          <w:color w:val="231F1F"/>
          <w:w w:val="110"/>
          <w:sz w:val="18"/>
        </w:rPr>
        <w:t>½</w:t>
      </w:r>
      <w:r>
        <w:rPr>
          <w:color w:val="231F1F"/>
          <w:spacing w:val="-19"/>
          <w:w w:val="110"/>
          <w:sz w:val="18"/>
        </w:rPr>
        <w:t> </w:t>
      </w:r>
      <w:r>
        <w:rPr>
          <w:color w:val="231F1F"/>
          <w:w w:val="110"/>
          <w:sz w:val="18"/>
        </w:rPr>
        <w:t>reales;</w:t>
      </w:r>
      <w:r>
        <w:rPr>
          <w:color w:val="231F1F"/>
          <w:spacing w:val="-19"/>
          <w:w w:val="110"/>
          <w:sz w:val="18"/>
        </w:rPr>
        <w:t> </w:t>
      </w:r>
      <w:r>
        <w:rPr>
          <w:color w:val="231F1F"/>
          <w:w w:val="110"/>
          <w:sz w:val="18"/>
        </w:rPr>
        <w:t>las</w:t>
      </w:r>
      <w:r>
        <w:rPr>
          <w:color w:val="231F1F"/>
          <w:spacing w:val="-19"/>
          <w:w w:val="110"/>
          <w:sz w:val="18"/>
        </w:rPr>
        <w:t> </w:t>
      </w:r>
      <w:r>
        <w:rPr>
          <w:color w:val="231F1F"/>
          <w:w w:val="110"/>
          <w:sz w:val="18"/>
        </w:rPr>
        <w:t>segundas</w:t>
      </w:r>
      <w:r>
        <w:rPr>
          <w:color w:val="231F1F"/>
          <w:spacing w:val="-19"/>
          <w:w w:val="110"/>
          <w:sz w:val="18"/>
        </w:rPr>
        <w:t> </w:t>
      </w:r>
      <w:r>
        <w:rPr>
          <w:color w:val="231F1F"/>
          <w:w w:val="110"/>
          <w:sz w:val="18"/>
        </w:rPr>
        <w:t>a</w:t>
      </w:r>
      <w:r>
        <w:rPr>
          <w:color w:val="231F1F"/>
          <w:spacing w:val="-19"/>
          <w:w w:val="110"/>
          <w:sz w:val="18"/>
        </w:rPr>
        <w:t> </w:t>
      </w:r>
      <w:r>
        <w:rPr>
          <w:color w:val="231F1F"/>
          <w:w w:val="110"/>
          <w:sz w:val="16"/>
        </w:rPr>
        <w:t>15</w:t>
      </w:r>
      <w:r>
        <w:rPr>
          <w:color w:val="231F1F"/>
          <w:spacing w:val="-14"/>
          <w:w w:val="110"/>
          <w:sz w:val="16"/>
        </w:rPr>
        <w:t> </w:t>
      </w:r>
      <w:r>
        <w:rPr>
          <w:color w:val="231F1F"/>
          <w:w w:val="110"/>
          <w:sz w:val="18"/>
        </w:rPr>
        <w:t>granos:</w:t>
      </w:r>
      <w:r>
        <w:rPr>
          <w:color w:val="231F1F"/>
          <w:spacing w:val="-19"/>
          <w:w w:val="110"/>
          <w:sz w:val="18"/>
        </w:rPr>
        <w:t> </w:t>
      </w:r>
      <w:r>
        <w:rPr>
          <w:color w:val="231F1F"/>
          <w:w w:val="110"/>
          <w:sz w:val="18"/>
        </w:rPr>
        <w:t>las</w:t>
      </w:r>
      <w:r>
        <w:rPr>
          <w:color w:val="231F1F"/>
          <w:spacing w:val="-19"/>
          <w:w w:val="110"/>
          <w:sz w:val="18"/>
        </w:rPr>
        <w:t> </w:t>
      </w:r>
      <w:r>
        <w:rPr>
          <w:color w:val="231F1F"/>
          <w:w w:val="110"/>
          <w:sz w:val="18"/>
        </w:rPr>
        <w:t>terceras</w:t>
      </w:r>
      <w:r>
        <w:rPr>
          <w:color w:val="231F1F"/>
          <w:spacing w:val="-19"/>
          <w:w w:val="110"/>
          <w:sz w:val="18"/>
        </w:rPr>
        <w:t> </w:t>
      </w:r>
      <w:r>
        <w:rPr>
          <w:color w:val="231F1F"/>
          <w:w w:val="110"/>
          <w:sz w:val="18"/>
        </w:rPr>
        <w:t>a</w:t>
      </w:r>
      <w:r>
        <w:rPr>
          <w:color w:val="231F1F"/>
          <w:spacing w:val="-19"/>
          <w:w w:val="110"/>
          <w:sz w:val="18"/>
        </w:rPr>
        <w:t> </w:t>
      </w:r>
      <w:r>
        <w:rPr>
          <w:color w:val="231F1F"/>
          <w:w w:val="110"/>
          <w:sz w:val="16"/>
        </w:rPr>
        <w:t>5</w:t>
      </w:r>
      <w:r>
        <w:rPr>
          <w:color w:val="231F1F"/>
          <w:w w:val="110"/>
          <w:sz w:val="18"/>
        </w:rPr>
        <w:t>;</w:t>
      </w:r>
      <w:r>
        <w:rPr>
          <w:color w:val="231F1F"/>
          <w:spacing w:val="-19"/>
          <w:w w:val="110"/>
          <w:sz w:val="18"/>
        </w:rPr>
        <w:t> </w:t>
      </w:r>
      <w:r>
        <w:rPr>
          <w:color w:val="231F1F"/>
          <w:w w:val="110"/>
          <w:sz w:val="18"/>
        </w:rPr>
        <w:t>y</w:t>
      </w:r>
      <w:r>
        <w:rPr>
          <w:color w:val="231F1F"/>
          <w:spacing w:val="-19"/>
          <w:w w:val="110"/>
          <w:sz w:val="18"/>
        </w:rPr>
        <w:t> </w:t>
      </w:r>
      <w:r>
        <w:rPr>
          <w:color w:val="231F1F"/>
          <w:w w:val="110"/>
          <w:sz w:val="18"/>
        </w:rPr>
        <w:t>las</w:t>
      </w:r>
      <w:r>
        <w:rPr>
          <w:color w:val="231F1F"/>
          <w:spacing w:val="-19"/>
          <w:w w:val="110"/>
          <w:sz w:val="18"/>
        </w:rPr>
        <w:t> </w:t>
      </w:r>
      <w:r>
        <w:rPr>
          <w:color w:val="231F1F"/>
          <w:w w:val="110"/>
          <w:sz w:val="18"/>
        </w:rPr>
        <w:t>cuartas a dos.</w:t>
      </w:r>
      <w:r>
        <w:rPr>
          <w:color w:val="231F1F"/>
          <w:spacing w:val="-15"/>
          <w:w w:val="110"/>
          <w:sz w:val="18"/>
        </w:rPr>
        <w:t> </w:t>
      </w:r>
      <w:r>
        <w:rPr>
          <w:color w:val="231F1F"/>
          <w:w w:val="110"/>
          <w:sz w:val="18"/>
        </w:rPr>
        <w:t>Guerra.</w:t>
      </w:r>
    </w:p>
    <w:p>
      <w:pPr>
        <w:spacing w:before="86"/>
        <w:ind w:left="2778" w:right="0" w:firstLine="0"/>
        <w:jc w:val="both"/>
        <w:rPr>
          <w:sz w:val="18"/>
        </w:rPr>
      </w:pPr>
      <w:r>
        <w:rPr>
          <w:color w:val="231F1F"/>
          <w:sz w:val="18"/>
        </w:rPr>
        <w:t>José  Francisco  Guerra  de Manzanares</w:t>
      </w:r>
    </w:p>
    <w:p>
      <w:pPr>
        <w:spacing w:line="216" w:lineRule="exact" w:before="80"/>
        <w:ind w:left="2778" w:right="463" w:firstLine="0"/>
        <w:jc w:val="both"/>
        <w:rPr>
          <w:sz w:val="18"/>
        </w:rPr>
      </w:pPr>
      <w:r>
        <w:rPr>
          <w:color w:val="231F1F"/>
          <w:sz w:val="18"/>
        </w:rPr>
        <w:t>Entregué la orden y recibo, que en mi poder existían, por resguardo de los mil treinta y dos pesos un real y medio grano que importa esta cuenta. Sultepec     y  Julio  </w:t>
      </w:r>
      <w:r>
        <w:rPr>
          <w:color w:val="231F1F"/>
          <w:w w:val="110"/>
          <w:sz w:val="16"/>
        </w:rPr>
        <w:t>14/1812</w:t>
      </w:r>
      <w:r>
        <w:rPr>
          <w:color w:val="231F1F"/>
          <w:w w:val="110"/>
          <w:sz w:val="18"/>
        </w:rPr>
        <w:t>.   </w:t>
      </w:r>
      <w:r>
        <w:rPr>
          <w:color w:val="231F1F"/>
          <w:sz w:val="18"/>
        </w:rPr>
        <w:t>Cano.</w:t>
      </w:r>
    </w:p>
    <w:p>
      <w:pPr>
        <w:spacing w:after="0" w:line="216" w:lineRule="exact"/>
        <w:jc w:val="both"/>
        <w:rPr>
          <w:sz w:val="18"/>
        </w:rPr>
        <w:sectPr>
          <w:pgSz w:w="17920" w:h="13100" w:orient="landscape"/>
          <w:pgMar w:top="0" w:bottom="280" w:left="1020" w:right="2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3"/>
      </w:pPr>
      <w:r>
        <w:rPr>
          <w:color w:val="231F1F"/>
        </w:rPr>
        <w:t>Referencias</w:t>
      </w:r>
    </w:p>
    <w:p>
      <w:pPr>
        <w:pStyle w:val="BodyText"/>
        <w:rPr>
          <w:rFonts w:ascii="Times New Roman"/>
          <w:sz w:val="32"/>
        </w:rPr>
      </w:pPr>
    </w:p>
    <w:p>
      <w:pPr>
        <w:pStyle w:val="BodyText"/>
        <w:rPr>
          <w:rFonts w:ascii="Times New Roman"/>
          <w:sz w:val="32"/>
        </w:rPr>
      </w:pPr>
    </w:p>
    <w:p>
      <w:pPr>
        <w:pStyle w:val="BodyText"/>
        <w:spacing w:before="3"/>
        <w:rPr>
          <w:rFonts w:ascii="Times New Roman"/>
          <w:sz w:val="29"/>
        </w:rPr>
      </w:pPr>
    </w:p>
    <w:p>
      <w:pPr>
        <w:spacing w:line="268" w:lineRule="auto" w:before="0"/>
        <w:ind w:left="109" w:right="461" w:firstLine="0"/>
        <w:jc w:val="both"/>
        <w:rPr>
          <w:sz w:val="22"/>
        </w:rPr>
      </w:pPr>
      <w:r>
        <w:rPr>
          <w:color w:val="231F1F"/>
          <w:spacing w:val="-3"/>
          <w:w w:val="105"/>
          <w:sz w:val="22"/>
        </w:rPr>
        <w:t>Archer, </w:t>
      </w:r>
      <w:r>
        <w:rPr>
          <w:color w:val="231F1F"/>
          <w:w w:val="105"/>
          <w:sz w:val="22"/>
        </w:rPr>
        <w:t>Christon I. (</w:t>
      </w:r>
      <w:r>
        <w:rPr>
          <w:color w:val="231F1F"/>
          <w:w w:val="105"/>
          <w:sz w:val="20"/>
        </w:rPr>
        <w:t>1985</w:t>
      </w:r>
      <w:r>
        <w:rPr>
          <w:color w:val="231F1F"/>
          <w:w w:val="105"/>
          <w:sz w:val="22"/>
        </w:rPr>
        <w:t>), “Los dineros de la insurgencia, </w:t>
      </w:r>
      <w:r>
        <w:rPr>
          <w:color w:val="231F1F"/>
          <w:w w:val="105"/>
          <w:sz w:val="20"/>
        </w:rPr>
        <w:t>1810-1821</w:t>
      </w:r>
      <w:r>
        <w:rPr>
          <w:color w:val="231F1F"/>
          <w:w w:val="105"/>
          <w:sz w:val="22"/>
        </w:rPr>
        <w:t>”, en </w:t>
      </w:r>
      <w:r>
        <w:rPr>
          <w:i/>
          <w:color w:val="231F1F"/>
          <w:w w:val="105"/>
          <w:sz w:val="22"/>
        </w:rPr>
        <w:t>Repaso de la Indepen- </w:t>
      </w:r>
      <w:r>
        <w:rPr>
          <w:i/>
          <w:color w:val="231F1F"/>
          <w:w w:val="105"/>
          <w:sz w:val="22"/>
        </w:rPr>
        <w:t>dencia. Memoria del Congreso sobre la Insurgencia Mexicana, Octubre </w:t>
      </w:r>
      <w:r>
        <w:rPr>
          <w:i/>
          <w:color w:val="231F1F"/>
          <w:w w:val="105"/>
          <w:sz w:val="20"/>
        </w:rPr>
        <w:t>22-23  </w:t>
      </w:r>
      <w:r>
        <w:rPr>
          <w:i/>
          <w:color w:val="231F1F"/>
          <w:w w:val="105"/>
          <w:sz w:val="22"/>
        </w:rPr>
        <w:t>de </w:t>
      </w:r>
      <w:r>
        <w:rPr>
          <w:i/>
          <w:color w:val="231F1F"/>
          <w:w w:val="105"/>
          <w:sz w:val="20"/>
        </w:rPr>
        <w:t>1984</w:t>
      </w:r>
      <w:r>
        <w:rPr>
          <w:color w:val="231F1F"/>
          <w:w w:val="105"/>
          <w:sz w:val="22"/>
        </w:rPr>
        <w:t>, Zamora,</w:t>
      </w:r>
      <w:r>
        <w:rPr>
          <w:color w:val="231F1F"/>
          <w:spacing w:val="52"/>
          <w:w w:val="105"/>
          <w:sz w:val="22"/>
        </w:rPr>
        <w:t> </w:t>
      </w:r>
      <w:r>
        <w:rPr>
          <w:color w:val="231F1F"/>
          <w:w w:val="105"/>
          <w:sz w:val="22"/>
        </w:rPr>
        <w:t>El</w:t>
      </w:r>
      <w:r>
        <w:rPr>
          <w:color w:val="231F1F"/>
          <w:spacing w:val="37"/>
          <w:w w:val="105"/>
          <w:sz w:val="22"/>
        </w:rPr>
        <w:t> </w:t>
      </w:r>
      <w:r>
        <w:rPr>
          <w:color w:val="231F1F"/>
          <w:w w:val="105"/>
          <w:sz w:val="22"/>
        </w:rPr>
        <w:t>Colegio</w:t>
      </w:r>
      <w:r>
        <w:rPr>
          <w:color w:val="231F1F"/>
          <w:spacing w:val="37"/>
          <w:w w:val="105"/>
          <w:sz w:val="22"/>
        </w:rPr>
        <w:t> </w:t>
      </w:r>
      <w:r>
        <w:rPr>
          <w:color w:val="231F1F"/>
          <w:w w:val="105"/>
          <w:sz w:val="22"/>
        </w:rPr>
        <w:t>de</w:t>
      </w:r>
      <w:r>
        <w:rPr>
          <w:color w:val="231F1F"/>
          <w:spacing w:val="37"/>
          <w:w w:val="105"/>
          <w:sz w:val="22"/>
        </w:rPr>
        <w:t> </w:t>
      </w:r>
      <w:r>
        <w:rPr>
          <w:color w:val="231F1F"/>
          <w:w w:val="105"/>
          <w:sz w:val="22"/>
        </w:rPr>
        <w:t>Michoacán/Gobierno</w:t>
      </w:r>
      <w:r>
        <w:rPr>
          <w:color w:val="231F1F"/>
          <w:spacing w:val="37"/>
          <w:w w:val="105"/>
          <w:sz w:val="22"/>
        </w:rPr>
        <w:t> </w:t>
      </w:r>
      <w:r>
        <w:rPr>
          <w:color w:val="231F1F"/>
          <w:w w:val="105"/>
          <w:sz w:val="22"/>
        </w:rPr>
        <w:t>del</w:t>
      </w:r>
      <w:r>
        <w:rPr>
          <w:color w:val="231F1F"/>
          <w:spacing w:val="37"/>
          <w:w w:val="105"/>
          <w:sz w:val="22"/>
        </w:rPr>
        <w:t> </w:t>
      </w:r>
      <w:r>
        <w:rPr>
          <w:color w:val="231F1F"/>
          <w:w w:val="105"/>
          <w:sz w:val="22"/>
        </w:rPr>
        <w:t>estado</w:t>
      </w:r>
      <w:r>
        <w:rPr>
          <w:color w:val="231F1F"/>
          <w:spacing w:val="37"/>
          <w:w w:val="105"/>
          <w:sz w:val="22"/>
        </w:rPr>
        <w:t> </w:t>
      </w:r>
      <w:r>
        <w:rPr>
          <w:color w:val="231F1F"/>
          <w:w w:val="105"/>
          <w:sz w:val="22"/>
        </w:rPr>
        <w:t>de</w:t>
      </w:r>
      <w:r>
        <w:rPr>
          <w:color w:val="231F1F"/>
          <w:spacing w:val="37"/>
          <w:w w:val="105"/>
          <w:sz w:val="22"/>
        </w:rPr>
        <w:t> </w:t>
      </w:r>
      <w:r>
        <w:rPr>
          <w:color w:val="231F1F"/>
          <w:w w:val="105"/>
          <w:sz w:val="22"/>
        </w:rPr>
        <w:t>Michoacán,</w:t>
      </w:r>
      <w:r>
        <w:rPr>
          <w:color w:val="231F1F"/>
          <w:spacing w:val="37"/>
          <w:w w:val="105"/>
          <w:sz w:val="22"/>
        </w:rPr>
        <w:t> </w:t>
      </w:r>
      <w:r>
        <w:rPr>
          <w:color w:val="231F1F"/>
          <w:w w:val="105"/>
          <w:sz w:val="22"/>
        </w:rPr>
        <w:t>pp.</w:t>
      </w:r>
      <w:r>
        <w:rPr>
          <w:color w:val="231F1F"/>
          <w:spacing w:val="37"/>
          <w:w w:val="105"/>
          <w:sz w:val="22"/>
        </w:rPr>
        <w:t> </w:t>
      </w:r>
      <w:r>
        <w:rPr>
          <w:color w:val="231F1F"/>
          <w:w w:val="105"/>
          <w:sz w:val="20"/>
        </w:rPr>
        <w:t>39-55</w:t>
      </w:r>
      <w:r>
        <w:rPr>
          <w:color w:val="231F1F"/>
          <w:w w:val="105"/>
          <w:sz w:val="22"/>
        </w:rPr>
        <w:t>.</w:t>
      </w:r>
    </w:p>
    <w:p>
      <w:pPr>
        <w:pStyle w:val="BodyText"/>
        <w:spacing w:before="1"/>
        <w:rPr>
          <w:sz w:val="23"/>
        </w:rPr>
      </w:pPr>
    </w:p>
    <w:p>
      <w:pPr>
        <w:spacing w:line="268" w:lineRule="auto" w:before="1"/>
        <w:ind w:left="109" w:right="461" w:firstLine="0"/>
        <w:jc w:val="both"/>
        <w:rPr>
          <w:sz w:val="22"/>
        </w:rPr>
      </w:pPr>
      <w:r>
        <w:rPr>
          <w:color w:val="231F1F"/>
          <w:w w:val="110"/>
          <w:sz w:val="22"/>
        </w:rPr>
        <w:t>Archivo General de la Nación (</w:t>
      </w:r>
      <w:r>
        <w:rPr>
          <w:color w:val="231F1F"/>
          <w:w w:val="110"/>
          <w:sz w:val="18"/>
        </w:rPr>
        <w:t>AGN</w:t>
      </w:r>
      <w:r>
        <w:rPr>
          <w:color w:val="231F1F"/>
          <w:w w:val="110"/>
          <w:sz w:val="22"/>
        </w:rPr>
        <w:t>) (</w:t>
      </w:r>
      <w:r>
        <w:rPr>
          <w:color w:val="231F1F"/>
          <w:w w:val="110"/>
          <w:sz w:val="20"/>
        </w:rPr>
        <w:t>1812</w:t>
      </w:r>
      <w:r>
        <w:rPr>
          <w:color w:val="231F1F"/>
          <w:w w:val="110"/>
          <w:sz w:val="22"/>
        </w:rPr>
        <w:t>), </w:t>
      </w:r>
      <w:r>
        <w:rPr>
          <w:i/>
          <w:color w:val="231F1F"/>
          <w:w w:val="110"/>
          <w:sz w:val="22"/>
        </w:rPr>
        <w:t>Archivo Histórico de Hacienda</w:t>
      </w:r>
      <w:r>
        <w:rPr>
          <w:color w:val="231F1F"/>
          <w:w w:val="110"/>
          <w:sz w:val="22"/>
        </w:rPr>
        <w:t>, vol. </w:t>
      </w:r>
      <w:r>
        <w:rPr>
          <w:color w:val="231F1F"/>
          <w:w w:val="110"/>
          <w:sz w:val="20"/>
        </w:rPr>
        <w:t>1081</w:t>
      </w:r>
      <w:r>
        <w:rPr>
          <w:color w:val="231F1F"/>
          <w:w w:val="110"/>
          <w:sz w:val="22"/>
        </w:rPr>
        <w:t>, exp. s/n, fo. </w:t>
      </w:r>
      <w:r>
        <w:rPr>
          <w:color w:val="231F1F"/>
          <w:w w:val="110"/>
          <w:sz w:val="20"/>
        </w:rPr>
        <w:t>1</w:t>
      </w:r>
      <w:r>
        <w:rPr>
          <w:color w:val="231F1F"/>
          <w:w w:val="110"/>
          <w:sz w:val="22"/>
        </w:rPr>
        <w:t>.</w:t>
      </w:r>
    </w:p>
    <w:p>
      <w:pPr>
        <w:pStyle w:val="BodyText"/>
        <w:spacing w:before="1"/>
        <w:rPr>
          <w:sz w:val="23"/>
        </w:rPr>
      </w:pPr>
    </w:p>
    <w:p>
      <w:pPr>
        <w:spacing w:line="268" w:lineRule="auto" w:before="1"/>
        <w:ind w:left="109" w:right="459" w:firstLine="0"/>
        <w:jc w:val="both"/>
        <w:rPr>
          <w:sz w:val="22"/>
        </w:rPr>
      </w:pPr>
      <w:r>
        <w:rPr>
          <w:color w:val="231F1F"/>
          <w:w w:val="105"/>
          <w:sz w:val="22"/>
        </w:rPr>
        <w:t>Bernal</w:t>
      </w:r>
      <w:r>
        <w:rPr>
          <w:color w:val="231F1F"/>
          <w:spacing w:val="-14"/>
          <w:w w:val="105"/>
          <w:sz w:val="22"/>
        </w:rPr>
        <w:t> </w:t>
      </w:r>
      <w:r>
        <w:rPr>
          <w:color w:val="231F1F"/>
          <w:w w:val="105"/>
          <w:sz w:val="22"/>
        </w:rPr>
        <w:t>Rodríguez,</w:t>
      </w:r>
      <w:r>
        <w:rPr>
          <w:color w:val="231F1F"/>
          <w:spacing w:val="-14"/>
          <w:w w:val="105"/>
          <w:sz w:val="22"/>
        </w:rPr>
        <w:t> </w:t>
      </w:r>
      <w:r>
        <w:rPr>
          <w:color w:val="231F1F"/>
          <w:w w:val="105"/>
          <w:sz w:val="22"/>
        </w:rPr>
        <w:t>Antonio</w:t>
      </w:r>
      <w:r>
        <w:rPr>
          <w:color w:val="231F1F"/>
          <w:spacing w:val="-14"/>
          <w:w w:val="105"/>
          <w:sz w:val="22"/>
        </w:rPr>
        <w:t> </w:t>
      </w:r>
      <w:r>
        <w:rPr>
          <w:color w:val="231F1F"/>
          <w:w w:val="105"/>
          <w:sz w:val="22"/>
        </w:rPr>
        <w:t>Miguel</w:t>
      </w:r>
      <w:r>
        <w:rPr>
          <w:color w:val="231F1F"/>
          <w:spacing w:val="-14"/>
          <w:w w:val="105"/>
          <w:sz w:val="22"/>
        </w:rPr>
        <w:t> </w:t>
      </w:r>
      <w:r>
        <w:rPr>
          <w:color w:val="231F1F"/>
          <w:w w:val="105"/>
          <w:sz w:val="22"/>
        </w:rPr>
        <w:t>(</w:t>
      </w:r>
      <w:r>
        <w:rPr>
          <w:color w:val="231F1F"/>
          <w:w w:val="105"/>
          <w:sz w:val="20"/>
        </w:rPr>
        <w:t>1999</w:t>
      </w:r>
      <w:r>
        <w:rPr>
          <w:color w:val="231F1F"/>
          <w:w w:val="105"/>
          <w:sz w:val="22"/>
        </w:rPr>
        <w:t>),</w:t>
      </w:r>
      <w:r>
        <w:rPr>
          <w:color w:val="231F1F"/>
          <w:spacing w:val="-14"/>
          <w:w w:val="105"/>
          <w:sz w:val="22"/>
        </w:rPr>
        <w:t> </w:t>
      </w:r>
      <w:r>
        <w:rPr>
          <w:color w:val="231F1F"/>
          <w:w w:val="105"/>
          <w:sz w:val="22"/>
        </w:rPr>
        <w:t>“Las</w:t>
      </w:r>
      <w:r>
        <w:rPr>
          <w:color w:val="231F1F"/>
          <w:spacing w:val="-14"/>
          <w:w w:val="105"/>
          <w:sz w:val="22"/>
        </w:rPr>
        <w:t> </w:t>
      </w:r>
      <w:r>
        <w:rPr>
          <w:color w:val="231F1F"/>
          <w:w w:val="105"/>
          <w:sz w:val="22"/>
        </w:rPr>
        <w:t>finanzas</w:t>
      </w:r>
      <w:r>
        <w:rPr>
          <w:color w:val="231F1F"/>
          <w:spacing w:val="-14"/>
          <w:w w:val="105"/>
          <w:sz w:val="22"/>
        </w:rPr>
        <w:t> </w:t>
      </w:r>
      <w:r>
        <w:rPr>
          <w:color w:val="231F1F"/>
          <w:w w:val="105"/>
          <w:sz w:val="22"/>
        </w:rPr>
        <w:t>imperiales:</w:t>
      </w:r>
      <w:r>
        <w:rPr>
          <w:color w:val="231F1F"/>
          <w:spacing w:val="-14"/>
          <w:w w:val="105"/>
          <w:sz w:val="22"/>
        </w:rPr>
        <w:t> </w:t>
      </w:r>
      <w:r>
        <w:rPr>
          <w:color w:val="231F1F"/>
          <w:w w:val="105"/>
          <w:sz w:val="22"/>
        </w:rPr>
        <w:t>expansión</w:t>
      </w:r>
      <w:r>
        <w:rPr>
          <w:color w:val="231F1F"/>
          <w:spacing w:val="-14"/>
          <w:w w:val="105"/>
          <w:sz w:val="22"/>
        </w:rPr>
        <w:t> </w:t>
      </w:r>
      <w:r>
        <w:rPr>
          <w:color w:val="231F1F"/>
          <w:w w:val="105"/>
          <w:sz w:val="22"/>
        </w:rPr>
        <w:t>del</w:t>
      </w:r>
      <w:r>
        <w:rPr>
          <w:color w:val="231F1F"/>
          <w:spacing w:val="-14"/>
          <w:w w:val="105"/>
          <w:sz w:val="22"/>
        </w:rPr>
        <w:t> </w:t>
      </w:r>
      <w:r>
        <w:rPr>
          <w:color w:val="231F1F"/>
          <w:w w:val="105"/>
          <w:sz w:val="22"/>
        </w:rPr>
        <w:t>oro</w:t>
      </w:r>
      <w:r>
        <w:rPr>
          <w:color w:val="231F1F"/>
          <w:spacing w:val="-14"/>
          <w:w w:val="105"/>
          <w:sz w:val="22"/>
        </w:rPr>
        <w:t> </w:t>
      </w:r>
      <w:r>
        <w:rPr>
          <w:color w:val="231F1F"/>
          <w:w w:val="105"/>
          <w:sz w:val="22"/>
        </w:rPr>
        <w:t>y</w:t>
      </w:r>
      <w:r>
        <w:rPr>
          <w:color w:val="231F1F"/>
          <w:spacing w:val="-14"/>
          <w:w w:val="105"/>
          <w:sz w:val="22"/>
        </w:rPr>
        <w:t> </w:t>
      </w:r>
      <w:r>
        <w:rPr>
          <w:color w:val="231F1F"/>
          <w:w w:val="105"/>
          <w:sz w:val="22"/>
        </w:rPr>
        <w:t>la</w:t>
      </w:r>
      <w:r>
        <w:rPr>
          <w:color w:val="231F1F"/>
          <w:spacing w:val="-14"/>
          <w:w w:val="105"/>
          <w:sz w:val="22"/>
        </w:rPr>
        <w:t> </w:t>
      </w:r>
      <w:r>
        <w:rPr>
          <w:color w:val="231F1F"/>
          <w:w w:val="105"/>
          <w:sz w:val="22"/>
        </w:rPr>
        <w:t>plata</w:t>
      </w:r>
      <w:r>
        <w:rPr>
          <w:color w:val="231F1F"/>
          <w:spacing w:val="-14"/>
          <w:w w:val="105"/>
          <w:sz w:val="22"/>
        </w:rPr>
        <w:t> </w:t>
      </w:r>
      <w:r>
        <w:rPr>
          <w:color w:val="231F1F"/>
          <w:w w:val="105"/>
          <w:sz w:val="22"/>
        </w:rPr>
        <w:t>por Europa”, en Concepción Lópezosa Aparicio (coord.), </w:t>
      </w:r>
      <w:r>
        <w:rPr>
          <w:i/>
          <w:color w:val="231F1F"/>
          <w:w w:val="105"/>
          <w:sz w:val="22"/>
        </w:rPr>
        <w:t>El oro y la plata de las Indias en la época </w:t>
      </w:r>
      <w:r>
        <w:rPr>
          <w:i/>
          <w:color w:val="231F1F"/>
          <w:spacing w:val="52"/>
          <w:w w:val="105"/>
          <w:sz w:val="22"/>
        </w:rPr>
        <w:t> </w:t>
      </w:r>
      <w:r>
        <w:rPr>
          <w:i/>
          <w:color w:val="231F1F"/>
          <w:w w:val="105"/>
          <w:sz w:val="22"/>
        </w:rPr>
        <w:t>de</w:t>
      </w:r>
      <w:r>
        <w:rPr>
          <w:i/>
          <w:color w:val="231F1F"/>
          <w:spacing w:val="40"/>
          <w:w w:val="105"/>
          <w:sz w:val="22"/>
        </w:rPr>
        <w:t> </w:t>
      </w:r>
      <w:r>
        <w:rPr>
          <w:i/>
          <w:color w:val="231F1F"/>
          <w:w w:val="105"/>
          <w:sz w:val="22"/>
        </w:rPr>
        <w:t>los</w:t>
      </w:r>
      <w:r>
        <w:rPr>
          <w:i/>
          <w:color w:val="231F1F"/>
          <w:spacing w:val="40"/>
          <w:w w:val="105"/>
          <w:sz w:val="22"/>
        </w:rPr>
        <w:t> </w:t>
      </w:r>
      <w:r>
        <w:rPr>
          <w:i/>
          <w:color w:val="231F1F"/>
          <w:w w:val="105"/>
          <w:sz w:val="22"/>
        </w:rPr>
        <w:t>Austrias</w:t>
      </w:r>
      <w:r>
        <w:rPr>
          <w:color w:val="231F1F"/>
          <w:w w:val="105"/>
          <w:sz w:val="22"/>
        </w:rPr>
        <w:t>,</w:t>
      </w:r>
      <w:r>
        <w:rPr>
          <w:color w:val="231F1F"/>
          <w:spacing w:val="40"/>
          <w:w w:val="105"/>
          <w:sz w:val="22"/>
        </w:rPr>
        <w:t> </w:t>
      </w:r>
      <w:r>
        <w:rPr>
          <w:color w:val="231F1F"/>
          <w:w w:val="105"/>
          <w:sz w:val="22"/>
        </w:rPr>
        <w:t>Madrid,</w:t>
      </w:r>
      <w:r>
        <w:rPr>
          <w:color w:val="231F1F"/>
          <w:spacing w:val="40"/>
          <w:w w:val="105"/>
          <w:sz w:val="22"/>
        </w:rPr>
        <w:t> </w:t>
      </w:r>
      <w:r>
        <w:rPr>
          <w:color w:val="231F1F"/>
          <w:w w:val="105"/>
          <w:sz w:val="22"/>
        </w:rPr>
        <w:t>Fundación</w:t>
      </w:r>
      <w:r>
        <w:rPr>
          <w:color w:val="231F1F"/>
          <w:spacing w:val="40"/>
          <w:w w:val="105"/>
          <w:sz w:val="22"/>
        </w:rPr>
        <w:t> </w:t>
      </w:r>
      <w:r>
        <w:rPr>
          <w:color w:val="231F1F"/>
          <w:w w:val="105"/>
          <w:sz w:val="18"/>
        </w:rPr>
        <w:t>ICO</w:t>
      </w:r>
      <w:r>
        <w:rPr>
          <w:color w:val="231F1F"/>
          <w:w w:val="105"/>
          <w:sz w:val="22"/>
        </w:rPr>
        <w:t>,</w:t>
      </w:r>
      <w:r>
        <w:rPr>
          <w:color w:val="231F1F"/>
          <w:spacing w:val="40"/>
          <w:w w:val="105"/>
          <w:sz w:val="22"/>
        </w:rPr>
        <w:t> </w:t>
      </w:r>
      <w:r>
        <w:rPr>
          <w:color w:val="231F1F"/>
          <w:w w:val="105"/>
          <w:sz w:val="20"/>
        </w:rPr>
        <w:t>1999</w:t>
      </w:r>
      <w:r>
        <w:rPr>
          <w:color w:val="231F1F"/>
          <w:w w:val="105"/>
          <w:sz w:val="22"/>
        </w:rPr>
        <w:t>.</w:t>
      </w:r>
      <w:r>
        <w:rPr>
          <w:color w:val="231F1F"/>
          <w:spacing w:val="40"/>
          <w:w w:val="105"/>
          <w:sz w:val="22"/>
        </w:rPr>
        <w:t> </w:t>
      </w:r>
      <w:r>
        <w:rPr>
          <w:color w:val="231F1F"/>
          <w:w w:val="105"/>
          <w:sz w:val="22"/>
        </w:rPr>
        <w:t>pp.</w:t>
      </w:r>
      <w:r>
        <w:rPr>
          <w:color w:val="231F1F"/>
          <w:spacing w:val="40"/>
          <w:w w:val="105"/>
          <w:sz w:val="22"/>
        </w:rPr>
        <w:t> </w:t>
      </w:r>
      <w:r>
        <w:rPr>
          <w:color w:val="231F1F"/>
          <w:w w:val="105"/>
          <w:sz w:val="20"/>
        </w:rPr>
        <w:t>551-575</w:t>
      </w:r>
      <w:r>
        <w:rPr>
          <w:color w:val="231F1F"/>
          <w:w w:val="105"/>
          <w:sz w:val="22"/>
        </w:rPr>
        <w:t>.</w:t>
      </w:r>
    </w:p>
    <w:p>
      <w:pPr>
        <w:pStyle w:val="BodyText"/>
        <w:spacing w:before="1"/>
        <w:rPr>
          <w:sz w:val="23"/>
        </w:rPr>
      </w:pPr>
    </w:p>
    <w:p>
      <w:pPr>
        <w:spacing w:line="268" w:lineRule="auto" w:before="1"/>
        <w:ind w:left="109" w:right="461" w:firstLine="0"/>
        <w:jc w:val="both"/>
        <w:rPr>
          <w:sz w:val="22"/>
        </w:rPr>
      </w:pPr>
      <w:r>
        <w:rPr>
          <w:color w:val="231F1F"/>
          <w:w w:val="105"/>
          <w:sz w:val="22"/>
        </w:rPr>
        <w:t>Cortés</w:t>
      </w:r>
      <w:r>
        <w:rPr>
          <w:color w:val="231F1F"/>
          <w:spacing w:val="-15"/>
          <w:w w:val="105"/>
          <w:sz w:val="22"/>
        </w:rPr>
        <w:t> </w:t>
      </w:r>
      <w:r>
        <w:rPr>
          <w:color w:val="231F1F"/>
          <w:w w:val="105"/>
          <w:sz w:val="22"/>
        </w:rPr>
        <w:t>Máximo,</w:t>
      </w:r>
      <w:r>
        <w:rPr>
          <w:color w:val="231F1F"/>
          <w:spacing w:val="-15"/>
          <w:w w:val="105"/>
          <w:sz w:val="22"/>
        </w:rPr>
        <w:t> </w:t>
      </w:r>
      <w:r>
        <w:rPr>
          <w:color w:val="231F1F"/>
          <w:w w:val="105"/>
          <w:sz w:val="22"/>
        </w:rPr>
        <w:t>Juan</w:t>
      </w:r>
      <w:r>
        <w:rPr>
          <w:color w:val="231F1F"/>
          <w:spacing w:val="-15"/>
          <w:w w:val="105"/>
          <w:sz w:val="22"/>
        </w:rPr>
        <w:t> </w:t>
      </w:r>
      <w:r>
        <w:rPr>
          <w:color w:val="231F1F"/>
          <w:w w:val="105"/>
          <w:sz w:val="22"/>
        </w:rPr>
        <w:t>Carlos</w:t>
      </w:r>
      <w:r>
        <w:rPr>
          <w:color w:val="231F1F"/>
          <w:spacing w:val="-15"/>
          <w:w w:val="105"/>
          <w:sz w:val="22"/>
        </w:rPr>
        <w:t> </w:t>
      </w:r>
      <w:r>
        <w:rPr>
          <w:color w:val="231F1F"/>
          <w:w w:val="105"/>
          <w:sz w:val="22"/>
        </w:rPr>
        <w:t>(</w:t>
      </w:r>
      <w:r>
        <w:rPr>
          <w:color w:val="231F1F"/>
          <w:w w:val="105"/>
          <w:sz w:val="20"/>
        </w:rPr>
        <w:t>2006</w:t>
      </w:r>
      <w:r>
        <w:rPr>
          <w:color w:val="231F1F"/>
          <w:w w:val="105"/>
          <w:sz w:val="22"/>
        </w:rPr>
        <w:t>),</w:t>
      </w:r>
      <w:r>
        <w:rPr>
          <w:color w:val="231F1F"/>
          <w:spacing w:val="-15"/>
          <w:w w:val="105"/>
          <w:sz w:val="22"/>
        </w:rPr>
        <w:t> </w:t>
      </w:r>
      <w:r>
        <w:rPr>
          <w:color w:val="231F1F"/>
          <w:w w:val="105"/>
          <w:sz w:val="22"/>
        </w:rPr>
        <w:t>“Política</w:t>
      </w:r>
      <w:r>
        <w:rPr>
          <w:color w:val="231F1F"/>
          <w:spacing w:val="-15"/>
          <w:w w:val="105"/>
          <w:sz w:val="22"/>
        </w:rPr>
        <w:t> </w:t>
      </w:r>
      <w:r>
        <w:rPr>
          <w:color w:val="231F1F"/>
          <w:w w:val="105"/>
          <w:sz w:val="22"/>
        </w:rPr>
        <w:t>insurgente</w:t>
      </w:r>
      <w:r>
        <w:rPr>
          <w:color w:val="231F1F"/>
          <w:spacing w:val="-15"/>
          <w:w w:val="105"/>
          <w:sz w:val="22"/>
        </w:rPr>
        <w:t> </w:t>
      </w:r>
      <w:r>
        <w:rPr>
          <w:color w:val="231F1F"/>
          <w:w w:val="105"/>
          <w:sz w:val="22"/>
        </w:rPr>
        <w:t>y</w:t>
      </w:r>
      <w:r>
        <w:rPr>
          <w:color w:val="231F1F"/>
          <w:spacing w:val="-15"/>
          <w:w w:val="105"/>
          <w:sz w:val="22"/>
        </w:rPr>
        <w:t> </w:t>
      </w:r>
      <w:r>
        <w:rPr>
          <w:color w:val="231F1F"/>
          <w:w w:val="105"/>
          <w:sz w:val="22"/>
        </w:rPr>
        <w:t>autonomía</w:t>
      </w:r>
      <w:r>
        <w:rPr>
          <w:color w:val="231F1F"/>
          <w:spacing w:val="-15"/>
          <w:w w:val="105"/>
          <w:sz w:val="22"/>
        </w:rPr>
        <w:t> </w:t>
      </w:r>
      <w:r>
        <w:rPr>
          <w:color w:val="231F1F"/>
          <w:w w:val="105"/>
          <w:sz w:val="22"/>
        </w:rPr>
        <w:t>de</w:t>
      </w:r>
      <w:r>
        <w:rPr>
          <w:color w:val="231F1F"/>
          <w:spacing w:val="-15"/>
          <w:w w:val="105"/>
          <w:sz w:val="22"/>
        </w:rPr>
        <w:t> </w:t>
      </w:r>
      <w:r>
        <w:rPr>
          <w:color w:val="231F1F"/>
          <w:w w:val="105"/>
          <w:sz w:val="22"/>
        </w:rPr>
        <w:t>los</w:t>
      </w:r>
      <w:r>
        <w:rPr>
          <w:color w:val="231F1F"/>
          <w:spacing w:val="-15"/>
          <w:w w:val="105"/>
          <w:sz w:val="22"/>
        </w:rPr>
        <w:t> </w:t>
      </w:r>
      <w:r>
        <w:rPr>
          <w:color w:val="231F1F"/>
          <w:w w:val="105"/>
          <w:sz w:val="22"/>
        </w:rPr>
        <w:t>pueblos</w:t>
      </w:r>
      <w:r>
        <w:rPr>
          <w:color w:val="231F1F"/>
          <w:spacing w:val="-15"/>
          <w:w w:val="105"/>
          <w:sz w:val="22"/>
        </w:rPr>
        <w:t> </w:t>
      </w:r>
      <w:r>
        <w:rPr>
          <w:color w:val="231F1F"/>
          <w:w w:val="105"/>
          <w:sz w:val="22"/>
        </w:rPr>
        <w:t>indios</w:t>
      </w:r>
      <w:r>
        <w:rPr>
          <w:color w:val="231F1F"/>
          <w:spacing w:val="-15"/>
          <w:w w:val="105"/>
          <w:sz w:val="22"/>
        </w:rPr>
        <w:t> </w:t>
      </w:r>
      <w:r>
        <w:rPr>
          <w:color w:val="231F1F"/>
          <w:w w:val="105"/>
          <w:sz w:val="22"/>
        </w:rPr>
        <w:t>michoa- canos durante la Guerra de Independencia, </w:t>
      </w:r>
      <w:r>
        <w:rPr>
          <w:color w:val="231F1F"/>
          <w:w w:val="105"/>
          <w:sz w:val="20"/>
        </w:rPr>
        <w:t>1810-1820</w:t>
      </w:r>
      <w:r>
        <w:rPr>
          <w:color w:val="231F1F"/>
          <w:w w:val="105"/>
          <w:sz w:val="22"/>
        </w:rPr>
        <w:t>”, en Moisés Guzmán Pérez (coord.), </w:t>
      </w:r>
      <w:r>
        <w:rPr>
          <w:i/>
          <w:color w:val="231F1F"/>
          <w:w w:val="105"/>
          <w:sz w:val="22"/>
        </w:rPr>
        <w:t>Entre </w:t>
      </w:r>
      <w:r>
        <w:rPr>
          <w:i/>
          <w:color w:val="231F1F"/>
          <w:w w:val="105"/>
          <w:sz w:val="22"/>
        </w:rPr>
        <w:t>la tradición y la modernidad. Estudios sobre la Independencia</w:t>
      </w:r>
      <w:r>
        <w:rPr>
          <w:color w:val="231F1F"/>
          <w:w w:val="105"/>
          <w:sz w:val="22"/>
        </w:rPr>
        <w:t>, Morelia, Universidad Michoacana de  San  Nicolás  de  Hidalgo,  pp. </w:t>
      </w:r>
      <w:r>
        <w:rPr>
          <w:color w:val="231F1F"/>
          <w:spacing w:val="9"/>
          <w:w w:val="105"/>
          <w:sz w:val="22"/>
        </w:rPr>
        <w:t> </w:t>
      </w:r>
      <w:r>
        <w:rPr>
          <w:color w:val="231F1F"/>
          <w:w w:val="105"/>
          <w:sz w:val="20"/>
        </w:rPr>
        <w:t>279-311</w:t>
      </w:r>
      <w:r>
        <w:rPr>
          <w:color w:val="231F1F"/>
          <w:w w:val="105"/>
          <w:sz w:val="22"/>
        </w:rPr>
        <w:t>.</w:t>
      </w:r>
    </w:p>
    <w:p>
      <w:pPr>
        <w:pStyle w:val="BodyText"/>
        <w:spacing w:before="1"/>
        <w:rPr>
          <w:sz w:val="23"/>
        </w:rPr>
      </w:pPr>
    </w:p>
    <w:p>
      <w:pPr>
        <w:spacing w:before="1"/>
        <w:ind w:left="109" w:right="0" w:firstLine="0"/>
        <w:jc w:val="both"/>
        <w:rPr>
          <w:sz w:val="22"/>
        </w:rPr>
      </w:pPr>
      <w:r>
        <w:rPr>
          <w:color w:val="231F1F"/>
          <w:w w:val="105"/>
          <w:sz w:val="22"/>
        </w:rPr>
        <w:t>Dopsh, Alfons (</w:t>
      </w:r>
      <w:r>
        <w:rPr>
          <w:color w:val="231F1F"/>
          <w:w w:val="105"/>
          <w:sz w:val="20"/>
        </w:rPr>
        <w:t>1943</w:t>
      </w:r>
      <w:r>
        <w:rPr>
          <w:color w:val="231F1F"/>
          <w:w w:val="105"/>
          <w:sz w:val="22"/>
        </w:rPr>
        <w:t>), </w:t>
      </w:r>
      <w:r>
        <w:rPr>
          <w:i/>
          <w:color w:val="231F1F"/>
          <w:w w:val="105"/>
          <w:sz w:val="22"/>
        </w:rPr>
        <w:t>Economía natural y economía monetaria</w:t>
      </w:r>
      <w:r>
        <w:rPr>
          <w:color w:val="231F1F"/>
          <w:w w:val="105"/>
          <w:sz w:val="22"/>
        </w:rPr>
        <w:t>, México, Fondo de Cultura Económica.</w:t>
      </w:r>
    </w:p>
    <w:p>
      <w:pPr>
        <w:pStyle w:val="BodyText"/>
        <w:spacing w:before="9"/>
        <w:rPr>
          <w:sz w:val="25"/>
        </w:rPr>
      </w:pPr>
    </w:p>
    <w:p>
      <w:pPr>
        <w:spacing w:line="268" w:lineRule="auto" w:before="0"/>
        <w:ind w:left="109" w:right="460" w:firstLine="0"/>
        <w:jc w:val="both"/>
        <w:rPr>
          <w:sz w:val="22"/>
        </w:rPr>
      </w:pPr>
      <w:r>
        <w:rPr>
          <w:color w:val="231F1F"/>
          <w:w w:val="105"/>
          <w:sz w:val="22"/>
        </w:rPr>
        <w:t>García Ávila, Sergio (</w:t>
      </w:r>
      <w:r>
        <w:rPr>
          <w:color w:val="231F1F"/>
          <w:w w:val="105"/>
          <w:sz w:val="20"/>
        </w:rPr>
        <w:t>2006</w:t>
      </w:r>
      <w:r>
        <w:rPr>
          <w:color w:val="231F1F"/>
          <w:w w:val="105"/>
          <w:sz w:val="22"/>
        </w:rPr>
        <w:t>), “Las tierras comunales indígenas en Michoacán y las políticas del gobierno</w:t>
      </w:r>
      <w:r>
        <w:rPr>
          <w:color w:val="231F1F"/>
          <w:spacing w:val="-8"/>
          <w:w w:val="105"/>
          <w:sz w:val="22"/>
        </w:rPr>
        <w:t> </w:t>
      </w:r>
      <w:r>
        <w:rPr>
          <w:color w:val="231F1F"/>
          <w:w w:val="105"/>
          <w:sz w:val="22"/>
        </w:rPr>
        <w:t>español</w:t>
      </w:r>
      <w:r>
        <w:rPr>
          <w:color w:val="231F1F"/>
          <w:spacing w:val="-8"/>
          <w:w w:val="105"/>
          <w:sz w:val="22"/>
        </w:rPr>
        <w:t> </w:t>
      </w:r>
      <w:r>
        <w:rPr>
          <w:color w:val="231F1F"/>
          <w:w w:val="105"/>
          <w:sz w:val="22"/>
        </w:rPr>
        <w:t>durante</w:t>
      </w:r>
      <w:r>
        <w:rPr>
          <w:color w:val="231F1F"/>
          <w:spacing w:val="-8"/>
          <w:w w:val="105"/>
          <w:sz w:val="22"/>
        </w:rPr>
        <w:t> </w:t>
      </w:r>
      <w:r>
        <w:rPr>
          <w:color w:val="231F1F"/>
          <w:w w:val="105"/>
          <w:sz w:val="22"/>
        </w:rPr>
        <w:t>la</w:t>
      </w:r>
      <w:r>
        <w:rPr>
          <w:color w:val="231F1F"/>
          <w:spacing w:val="-8"/>
          <w:w w:val="105"/>
          <w:sz w:val="22"/>
        </w:rPr>
        <w:t> </w:t>
      </w:r>
      <w:r>
        <w:rPr>
          <w:color w:val="231F1F"/>
          <w:w w:val="105"/>
          <w:sz w:val="22"/>
        </w:rPr>
        <w:t>guerra</w:t>
      </w:r>
      <w:r>
        <w:rPr>
          <w:color w:val="231F1F"/>
          <w:spacing w:val="-8"/>
          <w:w w:val="105"/>
          <w:sz w:val="22"/>
        </w:rPr>
        <w:t> </w:t>
      </w:r>
      <w:r>
        <w:rPr>
          <w:color w:val="231F1F"/>
          <w:w w:val="105"/>
          <w:sz w:val="22"/>
        </w:rPr>
        <w:t>insurgente”,</w:t>
      </w:r>
      <w:r>
        <w:rPr>
          <w:color w:val="231F1F"/>
          <w:spacing w:val="-8"/>
          <w:w w:val="105"/>
          <w:sz w:val="22"/>
        </w:rPr>
        <w:t> </w:t>
      </w:r>
      <w:r>
        <w:rPr>
          <w:color w:val="231F1F"/>
          <w:w w:val="105"/>
          <w:sz w:val="22"/>
        </w:rPr>
        <w:t>en</w:t>
      </w:r>
      <w:r>
        <w:rPr>
          <w:color w:val="231F1F"/>
          <w:spacing w:val="-8"/>
          <w:w w:val="105"/>
          <w:sz w:val="22"/>
        </w:rPr>
        <w:t> </w:t>
      </w:r>
      <w:r>
        <w:rPr>
          <w:color w:val="231F1F"/>
          <w:w w:val="105"/>
          <w:sz w:val="22"/>
        </w:rPr>
        <w:t>Moisés</w:t>
      </w:r>
      <w:r>
        <w:rPr>
          <w:color w:val="231F1F"/>
          <w:spacing w:val="-8"/>
          <w:w w:val="105"/>
          <w:sz w:val="22"/>
        </w:rPr>
        <w:t> </w:t>
      </w:r>
      <w:r>
        <w:rPr>
          <w:color w:val="231F1F"/>
          <w:w w:val="105"/>
          <w:sz w:val="22"/>
        </w:rPr>
        <w:t>Guzmán</w:t>
      </w:r>
      <w:r>
        <w:rPr>
          <w:color w:val="231F1F"/>
          <w:spacing w:val="-8"/>
          <w:w w:val="105"/>
          <w:sz w:val="22"/>
        </w:rPr>
        <w:t> </w:t>
      </w:r>
      <w:r>
        <w:rPr>
          <w:color w:val="231F1F"/>
          <w:w w:val="105"/>
          <w:sz w:val="22"/>
        </w:rPr>
        <w:t>Pérez</w:t>
      </w:r>
      <w:r>
        <w:rPr>
          <w:color w:val="231F1F"/>
          <w:spacing w:val="-8"/>
          <w:w w:val="105"/>
          <w:sz w:val="22"/>
        </w:rPr>
        <w:t> </w:t>
      </w:r>
      <w:r>
        <w:rPr>
          <w:color w:val="231F1F"/>
          <w:w w:val="105"/>
          <w:sz w:val="22"/>
        </w:rPr>
        <w:t>(coord.),</w:t>
      </w:r>
      <w:r>
        <w:rPr>
          <w:color w:val="231F1F"/>
          <w:spacing w:val="-8"/>
          <w:w w:val="105"/>
          <w:sz w:val="22"/>
        </w:rPr>
        <w:t> </w:t>
      </w:r>
      <w:r>
        <w:rPr>
          <w:i/>
          <w:color w:val="231F1F"/>
          <w:w w:val="105"/>
          <w:sz w:val="22"/>
        </w:rPr>
        <w:t>Entre</w:t>
      </w:r>
      <w:r>
        <w:rPr>
          <w:i/>
          <w:color w:val="231F1F"/>
          <w:spacing w:val="-8"/>
          <w:w w:val="105"/>
          <w:sz w:val="22"/>
        </w:rPr>
        <w:t> </w:t>
      </w:r>
      <w:r>
        <w:rPr>
          <w:i/>
          <w:color w:val="231F1F"/>
          <w:w w:val="105"/>
          <w:sz w:val="22"/>
        </w:rPr>
        <w:t>la</w:t>
      </w:r>
      <w:r>
        <w:rPr>
          <w:i/>
          <w:color w:val="231F1F"/>
          <w:spacing w:val="-8"/>
          <w:w w:val="105"/>
          <w:sz w:val="22"/>
        </w:rPr>
        <w:t> </w:t>
      </w:r>
      <w:r>
        <w:rPr>
          <w:i/>
          <w:color w:val="231F1F"/>
          <w:w w:val="105"/>
          <w:sz w:val="22"/>
        </w:rPr>
        <w:t>tradi- </w:t>
      </w:r>
      <w:r>
        <w:rPr>
          <w:i/>
          <w:color w:val="231F1F"/>
          <w:w w:val="105"/>
          <w:sz w:val="22"/>
        </w:rPr>
        <w:t>ción y la modernidad. Estudios sobre la Independencia</w:t>
      </w:r>
      <w:r>
        <w:rPr>
          <w:color w:val="231F1F"/>
          <w:w w:val="105"/>
          <w:sz w:val="22"/>
        </w:rPr>
        <w:t>, Morelia, Universidad Michoacana de San Nicolás  de  Hidalgo,  pp.  </w:t>
      </w:r>
      <w:r>
        <w:rPr>
          <w:color w:val="231F1F"/>
          <w:spacing w:val="11"/>
          <w:w w:val="105"/>
          <w:sz w:val="22"/>
        </w:rPr>
        <w:t> </w:t>
      </w:r>
      <w:r>
        <w:rPr>
          <w:color w:val="231F1F"/>
          <w:w w:val="105"/>
          <w:sz w:val="20"/>
        </w:rPr>
        <w:t>381-417</w:t>
      </w:r>
      <w:r>
        <w:rPr>
          <w:color w:val="231F1F"/>
          <w:w w:val="105"/>
          <w:sz w:val="22"/>
        </w:rPr>
        <w:t>.</w:t>
      </w:r>
    </w:p>
    <w:p>
      <w:pPr>
        <w:pStyle w:val="BodyText"/>
        <w:spacing w:before="1"/>
        <w:rPr>
          <w:sz w:val="23"/>
        </w:rPr>
      </w:pPr>
    </w:p>
    <w:p>
      <w:pPr>
        <w:spacing w:line="268" w:lineRule="auto" w:before="1"/>
        <w:ind w:left="109" w:right="461" w:firstLine="0"/>
        <w:jc w:val="both"/>
        <w:rPr>
          <w:sz w:val="22"/>
        </w:rPr>
      </w:pPr>
      <w:r>
        <w:rPr>
          <w:color w:val="231F1F"/>
          <w:sz w:val="22"/>
        </w:rPr>
        <w:t>García Martínez, Bernardo y Gustavo Martínez Mendoza (</w:t>
      </w:r>
      <w:r>
        <w:rPr>
          <w:color w:val="231F1F"/>
          <w:sz w:val="20"/>
        </w:rPr>
        <w:t>2012</w:t>
      </w:r>
      <w:r>
        <w:rPr>
          <w:color w:val="231F1F"/>
          <w:sz w:val="22"/>
        </w:rPr>
        <w:t>), </w:t>
      </w:r>
      <w:r>
        <w:rPr>
          <w:i/>
          <w:color w:val="231F1F"/>
          <w:sz w:val="22"/>
        </w:rPr>
        <w:t>Señoríos, pueblos y  municipios. </w:t>
      </w:r>
      <w:r>
        <w:rPr>
          <w:i/>
          <w:color w:val="231F1F"/>
          <w:sz w:val="22"/>
        </w:rPr>
        <w:t>Banco  preliminar  de  información</w:t>
      </w:r>
      <w:r>
        <w:rPr>
          <w:color w:val="231F1F"/>
          <w:sz w:val="22"/>
        </w:rPr>
        <w:t>,  México,  El  Colegio  de México.</w:t>
      </w:r>
    </w:p>
    <w:p>
      <w:pPr>
        <w:pStyle w:val="BodyText"/>
        <w:spacing w:before="1"/>
        <w:rPr>
          <w:sz w:val="23"/>
        </w:rPr>
      </w:pPr>
    </w:p>
    <w:p>
      <w:pPr>
        <w:pStyle w:val="BodyText"/>
        <w:spacing w:line="268" w:lineRule="auto" w:before="1"/>
        <w:ind w:left="109" w:right="462"/>
        <w:jc w:val="both"/>
      </w:pPr>
      <w:r>
        <w:rPr>
          <w:color w:val="231F1F"/>
          <w:spacing w:val="-4"/>
          <w:w w:val="105"/>
        </w:rPr>
        <w:t>Gómez-Wulschner,</w:t>
      </w:r>
      <w:r>
        <w:rPr>
          <w:color w:val="231F1F"/>
          <w:spacing w:val="-6"/>
          <w:w w:val="105"/>
        </w:rPr>
        <w:t> </w:t>
      </w:r>
      <w:r>
        <w:rPr>
          <w:color w:val="231F1F"/>
          <w:w w:val="105"/>
        </w:rPr>
        <w:t>Luis</w:t>
      </w:r>
      <w:r>
        <w:rPr>
          <w:color w:val="231F1F"/>
          <w:spacing w:val="-6"/>
          <w:w w:val="105"/>
        </w:rPr>
        <w:t> </w:t>
      </w:r>
      <w:r>
        <w:rPr>
          <w:color w:val="231F1F"/>
          <w:w w:val="105"/>
        </w:rPr>
        <w:t>(</w:t>
      </w:r>
      <w:r>
        <w:rPr>
          <w:color w:val="231F1F"/>
          <w:w w:val="105"/>
          <w:sz w:val="20"/>
        </w:rPr>
        <w:t>2009</w:t>
      </w:r>
      <w:r>
        <w:rPr>
          <w:color w:val="231F1F"/>
          <w:w w:val="105"/>
        </w:rPr>
        <w:t>),</w:t>
      </w:r>
      <w:r>
        <w:rPr>
          <w:color w:val="231F1F"/>
          <w:spacing w:val="-6"/>
          <w:w w:val="105"/>
        </w:rPr>
        <w:t> </w:t>
      </w:r>
      <w:r>
        <w:rPr>
          <w:color w:val="231F1F"/>
          <w:w w:val="105"/>
        </w:rPr>
        <w:t>“Los</w:t>
      </w:r>
      <w:r>
        <w:rPr>
          <w:color w:val="231F1F"/>
          <w:spacing w:val="-6"/>
          <w:w w:val="105"/>
        </w:rPr>
        <w:t> </w:t>
      </w:r>
      <w:r>
        <w:rPr>
          <w:color w:val="231F1F"/>
          <w:w w:val="105"/>
        </w:rPr>
        <w:t>avatares</w:t>
      </w:r>
      <w:r>
        <w:rPr>
          <w:color w:val="231F1F"/>
          <w:spacing w:val="-6"/>
          <w:w w:val="105"/>
        </w:rPr>
        <w:t> </w:t>
      </w:r>
      <w:r>
        <w:rPr>
          <w:color w:val="231F1F"/>
          <w:w w:val="105"/>
        </w:rPr>
        <w:t>de</w:t>
      </w:r>
      <w:r>
        <w:rPr>
          <w:color w:val="231F1F"/>
          <w:spacing w:val="-6"/>
          <w:w w:val="105"/>
        </w:rPr>
        <w:t> </w:t>
      </w:r>
      <w:r>
        <w:rPr>
          <w:color w:val="231F1F"/>
          <w:w w:val="105"/>
        </w:rPr>
        <w:t>la</w:t>
      </w:r>
      <w:r>
        <w:rPr>
          <w:color w:val="231F1F"/>
          <w:spacing w:val="-6"/>
          <w:w w:val="105"/>
        </w:rPr>
        <w:t> </w:t>
      </w:r>
      <w:r>
        <w:rPr>
          <w:color w:val="231F1F"/>
          <w:w w:val="105"/>
        </w:rPr>
        <w:t>moneda</w:t>
      </w:r>
      <w:r>
        <w:rPr>
          <w:color w:val="231F1F"/>
          <w:spacing w:val="-6"/>
          <w:w w:val="105"/>
        </w:rPr>
        <w:t> </w:t>
      </w:r>
      <w:r>
        <w:rPr>
          <w:color w:val="231F1F"/>
          <w:w w:val="105"/>
        </w:rPr>
        <w:t>mexicana:</w:t>
      </w:r>
      <w:r>
        <w:rPr>
          <w:color w:val="231F1F"/>
          <w:spacing w:val="-6"/>
          <w:w w:val="105"/>
        </w:rPr>
        <w:t> </w:t>
      </w:r>
      <w:r>
        <w:rPr>
          <w:color w:val="231F1F"/>
          <w:w w:val="105"/>
        </w:rPr>
        <w:t>unidad</w:t>
      </w:r>
      <w:r>
        <w:rPr>
          <w:color w:val="231F1F"/>
          <w:spacing w:val="-6"/>
          <w:w w:val="105"/>
        </w:rPr>
        <w:t> </w:t>
      </w:r>
      <w:r>
        <w:rPr>
          <w:color w:val="231F1F"/>
          <w:w w:val="105"/>
        </w:rPr>
        <w:t>novohispana,</w:t>
      </w:r>
      <w:r>
        <w:rPr>
          <w:color w:val="231F1F"/>
          <w:spacing w:val="-6"/>
          <w:w w:val="105"/>
        </w:rPr>
        <w:t> </w:t>
      </w:r>
      <w:r>
        <w:rPr>
          <w:color w:val="231F1F"/>
          <w:w w:val="105"/>
        </w:rPr>
        <w:t>diver- sificación independentista y reunificación republicana”, en René García Castro y Ana Lidia </w:t>
      </w:r>
      <w:r>
        <w:rPr>
          <w:color w:val="231F1F"/>
          <w:spacing w:val="-2"/>
          <w:w w:val="105"/>
        </w:rPr>
        <w:t>García </w:t>
      </w:r>
      <w:r>
        <w:rPr>
          <w:color w:val="231F1F"/>
          <w:w w:val="105"/>
        </w:rPr>
        <w:t>Peña (coords.), </w:t>
      </w:r>
      <w:r>
        <w:rPr>
          <w:i/>
          <w:color w:val="231F1F"/>
          <w:w w:val="105"/>
        </w:rPr>
        <w:t>Bicentenario de la Independencia. Estado de México</w:t>
      </w:r>
      <w:r>
        <w:rPr>
          <w:color w:val="231F1F"/>
          <w:w w:val="105"/>
        </w:rPr>
        <w:t>, </w:t>
      </w:r>
      <w:r>
        <w:rPr>
          <w:color w:val="231F1F"/>
          <w:spacing w:val="-5"/>
          <w:w w:val="105"/>
        </w:rPr>
        <w:t>Toluca, </w:t>
      </w:r>
      <w:r>
        <w:rPr>
          <w:color w:val="231F1F"/>
          <w:w w:val="105"/>
        </w:rPr>
        <w:t>Gobierno del </w:t>
      </w:r>
      <w:r>
        <w:rPr>
          <w:color w:val="231F1F"/>
          <w:spacing w:val="-2"/>
          <w:w w:val="105"/>
        </w:rPr>
        <w:t>Estado </w:t>
      </w:r>
      <w:r>
        <w:rPr>
          <w:color w:val="231F1F"/>
          <w:w w:val="105"/>
        </w:rPr>
        <w:t>de México </w:t>
      </w:r>
      <w:r>
        <w:rPr>
          <w:color w:val="231F1F"/>
          <w:w w:val="135"/>
        </w:rPr>
        <w:t>/ </w:t>
      </w:r>
      <w:r>
        <w:rPr>
          <w:color w:val="231F1F"/>
          <w:w w:val="105"/>
        </w:rPr>
        <w:t>Universidad Autónoma del Estado de México, pp.</w:t>
      </w:r>
      <w:r>
        <w:rPr>
          <w:color w:val="231F1F"/>
          <w:spacing w:val="18"/>
          <w:w w:val="105"/>
        </w:rPr>
        <w:t> </w:t>
      </w:r>
      <w:r>
        <w:rPr>
          <w:color w:val="231F1F"/>
          <w:w w:val="105"/>
          <w:sz w:val="20"/>
        </w:rPr>
        <w:t>170-199</w:t>
      </w:r>
      <w:r>
        <w:rPr>
          <w:color w:val="231F1F"/>
          <w:w w:val="105"/>
        </w:rPr>
        <w:t>.</w:t>
      </w:r>
    </w:p>
    <w:p>
      <w:pPr>
        <w:pStyle w:val="BodyText"/>
        <w:spacing w:before="1"/>
        <w:rPr>
          <w:sz w:val="23"/>
        </w:rPr>
      </w:pPr>
    </w:p>
    <w:p>
      <w:pPr>
        <w:spacing w:line="268" w:lineRule="auto" w:before="1"/>
        <w:ind w:left="109" w:right="461" w:firstLine="0"/>
        <w:jc w:val="both"/>
        <w:rPr>
          <w:sz w:val="22"/>
        </w:rPr>
      </w:pPr>
      <w:r>
        <w:rPr>
          <w:color w:val="231F1F"/>
          <w:w w:val="105"/>
          <w:sz w:val="22"/>
        </w:rPr>
        <w:t>González, María del Refugio (</w:t>
      </w:r>
      <w:r>
        <w:rPr>
          <w:color w:val="231F1F"/>
          <w:w w:val="105"/>
          <w:sz w:val="20"/>
        </w:rPr>
        <w:t>2014</w:t>
      </w:r>
      <w:r>
        <w:rPr>
          <w:color w:val="231F1F"/>
          <w:w w:val="105"/>
          <w:sz w:val="22"/>
        </w:rPr>
        <w:t>), “La legitimidad de la Constitución de Apatzingán y la su- pervivencia</w:t>
      </w:r>
      <w:r>
        <w:rPr>
          <w:color w:val="231F1F"/>
          <w:spacing w:val="-6"/>
          <w:w w:val="105"/>
          <w:sz w:val="22"/>
        </w:rPr>
        <w:t> </w:t>
      </w:r>
      <w:r>
        <w:rPr>
          <w:color w:val="231F1F"/>
          <w:w w:val="105"/>
          <w:sz w:val="22"/>
        </w:rPr>
        <w:t>de</w:t>
      </w:r>
      <w:r>
        <w:rPr>
          <w:color w:val="231F1F"/>
          <w:spacing w:val="-6"/>
          <w:w w:val="105"/>
          <w:sz w:val="22"/>
        </w:rPr>
        <w:t> </w:t>
      </w:r>
      <w:r>
        <w:rPr>
          <w:color w:val="231F1F"/>
          <w:w w:val="105"/>
          <w:sz w:val="22"/>
        </w:rPr>
        <w:t>las</w:t>
      </w:r>
      <w:r>
        <w:rPr>
          <w:color w:val="231F1F"/>
          <w:spacing w:val="-6"/>
          <w:w w:val="105"/>
          <w:sz w:val="22"/>
        </w:rPr>
        <w:t> </w:t>
      </w:r>
      <w:r>
        <w:rPr>
          <w:color w:val="231F1F"/>
          <w:w w:val="105"/>
          <w:sz w:val="22"/>
        </w:rPr>
        <w:t>instituciones</w:t>
      </w:r>
      <w:r>
        <w:rPr>
          <w:color w:val="231F1F"/>
          <w:spacing w:val="-6"/>
          <w:w w:val="105"/>
          <w:sz w:val="22"/>
        </w:rPr>
        <w:t> </w:t>
      </w:r>
      <w:r>
        <w:rPr>
          <w:color w:val="231F1F"/>
          <w:w w:val="105"/>
          <w:sz w:val="22"/>
        </w:rPr>
        <w:t>virreinales”,</w:t>
      </w:r>
      <w:r>
        <w:rPr>
          <w:color w:val="231F1F"/>
          <w:spacing w:val="-6"/>
          <w:w w:val="105"/>
          <w:sz w:val="22"/>
        </w:rPr>
        <w:t> </w:t>
      </w:r>
      <w:r>
        <w:rPr>
          <w:color w:val="231F1F"/>
          <w:w w:val="105"/>
          <w:sz w:val="22"/>
        </w:rPr>
        <w:t>en</w:t>
      </w:r>
      <w:r>
        <w:rPr>
          <w:color w:val="231F1F"/>
          <w:spacing w:val="-6"/>
          <w:w w:val="105"/>
          <w:sz w:val="22"/>
        </w:rPr>
        <w:t> </w:t>
      </w:r>
      <w:r>
        <w:rPr>
          <w:color w:val="231F1F"/>
          <w:w w:val="105"/>
          <w:sz w:val="22"/>
        </w:rPr>
        <w:t>Ana</w:t>
      </w:r>
      <w:r>
        <w:rPr>
          <w:color w:val="231F1F"/>
          <w:spacing w:val="-6"/>
          <w:w w:val="105"/>
          <w:sz w:val="22"/>
        </w:rPr>
        <w:t> </w:t>
      </w:r>
      <w:r>
        <w:rPr>
          <w:color w:val="231F1F"/>
          <w:w w:val="105"/>
          <w:sz w:val="22"/>
        </w:rPr>
        <w:t>Carolina</w:t>
      </w:r>
      <w:r>
        <w:rPr>
          <w:color w:val="231F1F"/>
          <w:spacing w:val="-6"/>
          <w:w w:val="105"/>
          <w:sz w:val="22"/>
        </w:rPr>
        <w:t> </w:t>
      </w:r>
      <w:r>
        <w:rPr>
          <w:color w:val="231F1F"/>
          <w:w w:val="105"/>
          <w:sz w:val="22"/>
        </w:rPr>
        <w:t>Ibarra</w:t>
      </w:r>
      <w:r>
        <w:rPr>
          <w:color w:val="231F1F"/>
          <w:spacing w:val="-6"/>
          <w:w w:val="105"/>
          <w:sz w:val="22"/>
        </w:rPr>
        <w:t> </w:t>
      </w:r>
      <w:r>
        <w:rPr>
          <w:i/>
          <w:color w:val="231F1F"/>
          <w:w w:val="105"/>
          <w:sz w:val="22"/>
        </w:rPr>
        <w:t>et</w:t>
      </w:r>
      <w:r>
        <w:rPr>
          <w:i/>
          <w:color w:val="231F1F"/>
          <w:spacing w:val="-6"/>
          <w:w w:val="105"/>
          <w:sz w:val="22"/>
        </w:rPr>
        <w:t> </w:t>
      </w:r>
      <w:r>
        <w:rPr>
          <w:i/>
          <w:color w:val="231F1F"/>
          <w:w w:val="105"/>
          <w:sz w:val="22"/>
        </w:rPr>
        <w:t>al</w:t>
      </w:r>
      <w:r>
        <w:rPr>
          <w:color w:val="231F1F"/>
          <w:w w:val="105"/>
          <w:sz w:val="22"/>
        </w:rPr>
        <w:t>.</w:t>
      </w:r>
      <w:r>
        <w:rPr>
          <w:color w:val="231F1F"/>
          <w:spacing w:val="-6"/>
          <w:w w:val="105"/>
          <w:sz w:val="22"/>
        </w:rPr>
        <w:t> </w:t>
      </w:r>
      <w:r>
        <w:rPr>
          <w:color w:val="231F1F"/>
          <w:w w:val="105"/>
          <w:sz w:val="22"/>
        </w:rPr>
        <w:t>(coords.),</w:t>
      </w:r>
      <w:r>
        <w:rPr>
          <w:color w:val="231F1F"/>
          <w:spacing w:val="-6"/>
          <w:w w:val="105"/>
          <w:sz w:val="22"/>
        </w:rPr>
        <w:t> </w:t>
      </w:r>
      <w:r>
        <w:rPr>
          <w:i/>
          <w:color w:val="231F1F"/>
          <w:w w:val="105"/>
          <w:sz w:val="22"/>
        </w:rPr>
        <w:t>La</w:t>
      </w:r>
      <w:r>
        <w:rPr>
          <w:i/>
          <w:color w:val="231F1F"/>
          <w:spacing w:val="-6"/>
          <w:w w:val="105"/>
          <w:sz w:val="22"/>
        </w:rPr>
        <w:t> </w:t>
      </w:r>
      <w:r>
        <w:rPr>
          <w:i/>
          <w:color w:val="231F1F"/>
          <w:w w:val="105"/>
          <w:sz w:val="22"/>
        </w:rPr>
        <w:t>insurgencia </w:t>
      </w:r>
      <w:r>
        <w:rPr>
          <w:i/>
          <w:color w:val="231F1F"/>
          <w:w w:val="105"/>
          <w:sz w:val="22"/>
        </w:rPr>
        <w:t>mexicana</w:t>
      </w:r>
      <w:r>
        <w:rPr>
          <w:i/>
          <w:color w:val="231F1F"/>
          <w:spacing w:val="43"/>
          <w:w w:val="105"/>
          <w:sz w:val="22"/>
        </w:rPr>
        <w:t> </w:t>
      </w:r>
      <w:r>
        <w:rPr>
          <w:i/>
          <w:color w:val="231F1F"/>
          <w:w w:val="105"/>
          <w:sz w:val="22"/>
        </w:rPr>
        <w:t>y</w:t>
      </w:r>
      <w:r>
        <w:rPr>
          <w:i/>
          <w:color w:val="231F1F"/>
          <w:spacing w:val="43"/>
          <w:w w:val="105"/>
          <w:sz w:val="22"/>
        </w:rPr>
        <w:t> </w:t>
      </w:r>
      <w:r>
        <w:rPr>
          <w:i/>
          <w:color w:val="231F1F"/>
          <w:w w:val="105"/>
          <w:sz w:val="22"/>
        </w:rPr>
        <w:t>la</w:t>
      </w:r>
      <w:r>
        <w:rPr>
          <w:i/>
          <w:color w:val="231F1F"/>
          <w:spacing w:val="43"/>
          <w:w w:val="105"/>
          <w:sz w:val="22"/>
        </w:rPr>
        <w:t> </w:t>
      </w:r>
      <w:r>
        <w:rPr>
          <w:i/>
          <w:color w:val="231F1F"/>
          <w:w w:val="105"/>
          <w:sz w:val="22"/>
        </w:rPr>
        <w:t>Constitución</w:t>
      </w:r>
      <w:r>
        <w:rPr>
          <w:i/>
          <w:color w:val="231F1F"/>
          <w:spacing w:val="43"/>
          <w:w w:val="105"/>
          <w:sz w:val="22"/>
        </w:rPr>
        <w:t> </w:t>
      </w:r>
      <w:r>
        <w:rPr>
          <w:i/>
          <w:color w:val="231F1F"/>
          <w:w w:val="105"/>
          <w:sz w:val="22"/>
        </w:rPr>
        <w:t>de</w:t>
      </w:r>
      <w:r>
        <w:rPr>
          <w:i/>
          <w:color w:val="231F1F"/>
          <w:spacing w:val="43"/>
          <w:w w:val="105"/>
          <w:sz w:val="22"/>
        </w:rPr>
        <w:t> </w:t>
      </w:r>
      <w:r>
        <w:rPr>
          <w:i/>
          <w:color w:val="231F1F"/>
          <w:w w:val="105"/>
          <w:sz w:val="22"/>
        </w:rPr>
        <w:t>Apatzingán,</w:t>
      </w:r>
      <w:r>
        <w:rPr>
          <w:i/>
          <w:color w:val="231F1F"/>
          <w:spacing w:val="43"/>
          <w:w w:val="105"/>
          <w:sz w:val="22"/>
        </w:rPr>
        <w:t> </w:t>
      </w:r>
      <w:r>
        <w:rPr>
          <w:i/>
          <w:color w:val="231F1F"/>
          <w:w w:val="105"/>
          <w:sz w:val="20"/>
        </w:rPr>
        <w:t>1808-1824</w:t>
      </w:r>
      <w:r>
        <w:rPr>
          <w:color w:val="231F1F"/>
          <w:w w:val="105"/>
          <w:sz w:val="22"/>
        </w:rPr>
        <w:t>,</w:t>
      </w:r>
      <w:r>
        <w:rPr>
          <w:color w:val="231F1F"/>
          <w:spacing w:val="43"/>
          <w:w w:val="105"/>
          <w:sz w:val="22"/>
        </w:rPr>
        <w:t> </w:t>
      </w:r>
      <w:r>
        <w:rPr>
          <w:color w:val="231F1F"/>
          <w:w w:val="105"/>
          <w:sz w:val="22"/>
        </w:rPr>
        <w:t>México,</w:t>
      </w:r>
      <w:r>
        <w:rPr>
          <w:color w:val="231F1F"/>
          <w:spacing w:val="43"/>
          <w:w w:val="105"/>
          <w:sz w:val="22"/>
        </w:rPr>
        <w:t> </w:t>
      </w:r>
      <w:r>
        <w:rPr>
          <w:color w:val="231F1F"/>
          <w:w w:val="105"/>
          <w:sz w:val="18"/>
        </w:rPr>
        <w:t>UNAM</w:t>
      </w:r>
      <w:r>
        <w:rPr>
          <w:color w:val="231F1F"/>
          <w:w w:val="105"/>
          <w:sz w:val="22"/>
        </w:rPr>
        <w:t>,</w:t>
      </w:r>
      <w:r>
        <w:rPr>
          <w:color w:val="231F1F"/>
          <w:spacing w:val="43"/>
          <w:w w:val="105"/>
          <w:sz w:val="22"/>
        </w:rPr>
        <w:t> </w:t>
      </w:r>
      <w:r>
        <w:rPr>
          <w:color w:val="231F1F"/>
          <w:w w:val="105"/>
          <w:sz w:val="22"/>
        </w:rPr>
        <w:t>pp.</w:t>
      </w:r>
      <w:r>
        <w:rPr>
          <w:color w:val="231F1F"/>
          <w:spacing w:val="43"/>
          <w:w w:val="105"/>
          <w:sz w:val="22"/>
        </w:rPr>
        <w:t> </w:t>
      </w:r>
      <w:r>
        <w:rPr>
          <w:color w:val="231F1F"/>
          <w:w w:val="105"/>
          <w:sz w:val="20"/>
        </w:rPr>
        <w:t>289-313</w:t>
      </w:r>
      <w:r>
        <w:rPr>
          <w:color w:val="231F1F"/>
          <w:w w:val="105"/>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after="0"/>
        <w:rPr>
          <w:sz w:val="16"/>
        </w:rPr>
        <w:sectPr>
          <w:pgSz w:w="13100" w:h="17920"/>
          <w:pgMar w:top="170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133</w:t>
      </w:r>
    </w:p>
    <w:p>
      <w:pPr>
        <w:spacing w:after="0"/>
        <w:jc w:val="left"/>
        <w:rPr>
          <w:sz w:val="18"/>
        </w:rPr>
        <w:sectPr>
          <w:type w:val="continuous"/>
          <w:pgSz w:w="13100" w:h="17920"/>
          <w:pgMar w:top="0" w:bottom="0" w:left="1620" w:right="1860"/>
          <w:cols w:num="2" w:equalWidth="0">
            <w:col w:w="8413" w:space="40"/>
            <w:col w:w="1167"/>
          </w:cols>
        </w:sectPr>
      </w:pPr>
    </w:p>
    <w:p>
      <w:pPr>
        <w:spacing w:before="33"/>
        <w:ind w:left="334" w:right="1725" w:firstLine="0"/>
        <w:jc w:val="left"/>
        <w:rPr>
          <w:rFonts w:ascii="Verdana"/>
          <w:b/>
          <w:sz w:val="18"/>
        </w:rPr>
      </w:pPr>
      <w:r>
        <w:rPr/>
        <w:pict>
          <v:shape style="position:absolute;margin-left:60.653416pt;margin-top:72.278336pt;width:11pt;height:76.350pt;mso-position-horizontal-relative:page;mso-position-vertical-relative:paragraph;z-index:3832" type="#_x0000_t202" filled="false" stroked="false">
            <v:textbox inset="0,0,0,0" style="layout-flow:vertical;mso-layout-flow-alt:bottom-to-top">
              <w:txbxContent>
                <w:p>
                  <w:pPr>
                    <w:spacing w:line="206" w:lineRule="exact" w:before="0"/>
                    <w:ind w:left="20" w:right="-348" w:firstLine="0"/>
                    <w:jc w:val="left"/>
                    <w:rPr>
                      <w:sz w:val="18"/>
                    </w:rPr>
                  </w:pPr>
                  <w:r>
                    <w:rPr>
                      <w:color w:val="231F1F"/>
                      <w:w w:val="96"/>
                      <w:sz w:val="18"/>
                    </w:rPr>
                    <w:t>René</w:t>
                  </w:r>
                  <w:r>
                    <w:rPr>
                      <w:color w:val="231F1F"/>
                      <w:spacing w:val="15"/>
                      <w:sz w:val="18"/>
                    </w:rPr>
                    <w:t> </w:t>
                  </w:r>
                  <w:r>
                    <w:rPr>
                      <w:color w:val="231F1F"/>
                      <w:w w:val="113"/>
                      <w:sz w:val="18"/>
                    </w:rPr>
                    <w:t>García</w:t>
                  </w:r>
                  <w:r>
                    <w:rPr>
                      <w:color w:val="231F1F"/>
                      <w:spacing w:val="15"/>
                      <w:sz w:val="18"/>
                    </w:rPr>
                    <w:t> </w:t>
                  </w:r>
                  <w:r>
                    <w:rPr>
                      <w:color w:val="231F1F"/>
                      <w:w w:val="103"/>
                      <w:sz w:val="18"/>
                    </w:rPr>
                    <w:t>Castro</w:t>
                  </w:r>
                </w:p>
              </w:txbxContent>
            </v:textbox>
            <w10:wrap type="none"/>
          </v:shape>
        </w:pict>
      </w:r>
      <w:r>
        <w:rPr>
          <w:rFonts w:ascii="Verdana"/>
          <w:b/>
          <w:color w:val="4F3628"/>
          <w:sz w:val="18"/>
        </w:rPr>
        <w:t>134</w:t>
      </w:r>
    </w:p>
    <w:p>
      <w:pPr>
        <w:pStyle w:val="BodyText"/>
        <w:rPr>
          <w:rFonts w:ascii="Verdana"/>
          <w:b/>
          <w:sz w:val="23"/>
        </w:rPr>
      </w:pPr>
      <w:r>
        <w:rPr/>
        <w:drawing>
          <wp:anchor distT="0" distB="0" distL="0" distR="0" allowOverlap="1" layoutInCell="1" locked="0" behindDoc="0" simplePos="0" relativeHeight="3808">
            <wp:simplePos x="0" y="0"/>
            <wp:positionH relativeFrom="page">
              <wp:posOffset>589533</wp:posOffset>
            </wp:positionH>
            <wp:positionV relativeFrom="paragraph">
              <wp:posOffset>202709</wp:posOffset>
            </wp:positionV>
            <wp:extent cx="521441" cy="457200"/>
            <wp:effectExtent l="0" t="0" r="0" b="0"/>
            <wp:wrapTopAndBottom/>
            <wp:docPr id="113" name="image24.png" descr=""/>
            <wp:cNvGraphicFramePr>
              <a:graphicFrameLocks noChangeAspect="1"/>
            </wp:cNvGraphicFramePr>
            <a:graphic>
              <a:graphicData uri="http://schemas.openxmlformats.org/drawingml/2006/picture">
                <pic:pic>
                  <pic:nvPicPr>
                    <pic:cNvPr id="114" name="image24.png"/>
                    <pic:cNvPicPr/>
                  </pic:nvPicPr>
                  <pic:blipFill>
                    <a:blip r:embed="rId29" cstate="print"/>
                    <a:stretch>
                      <a:fillRect/>
                    </a:stretch>
                  </pic:blipFill>
                  <pic:spPr>
                    <a:xfrm>
                      <a:off x="0" y="0"/>
                      <a:ext cx="521441" cy="457200"/>
                    </a:xfrm>
                    <a:prstGeom prst="rect">
                      <a:avLst/>
                    </a:prstGeom>
                  </pic:spPr>
                </pic:pic>
              </a:graphicData>
            </a:graphic>
          </wp:anchor>
        </w:drawing>
      </w: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pStyle w:val="BodyText"/>
        <w:rPr>
          <w:rFonts w:ascii="Verdana"/>
          <w:b/>
          <w:sz w:val="18"/>
        </w:rPr>
      </w:pPr>
    </w:p>
    <w:p>
      <w:pPr>
        <w:spacing w:line="268" w:lineRule="auto" w:before="157"/>
        <w:ind w:left="1504" w:right="1726" w:firstLine="0"/>
        <w:jc w:val="both"/>
        <w:rPr>
          <w:sz w:val="22"/>
        </w:rPr>
      </w:pPr>
      <w:r>
        <w:rPr>
          <w:color w:val="231F1F"/>
          <w:w w:val="105"/>
          <w:sz w:val="22"/>
        </w:rPr>
        <w:t>Guardino, Peter (</w:t>
      </w:r>
      <w:r>
        <w:rPr>
          <w:color w:val="231F1F"/>
          <w:w w:val="105"/>
          <w:sz w:val="20"/>
        </w:rPr>
        <w:t>2004</w:t>
      </w:r>
      <w:r>
        <w:rPr>
          <w:color w:val="231F1F"/>
          <w:w w:val="105"/>
          <w:sz w:val="22"/>
        </w:rPr>
        <w:t>), “Las bases sociales de la insurgencia en la Costa Grande de Guerrero”,</w:t>
      </w:r>
      <w:r>
        <w:rPr>
          <w:color w:val="231F1F"/>
          <w:spacing w:val="52"/>
          <w:w w:val="105"/>
          <w:sz w:val="22"/>
        </w:rPr>
        <w:t> </w:t>
      </w:r>
      <w:r>
        <w:rPr>
          <w:color w:val="231F1F"/>
          <w:w w:val="105"/>
          <w:sz w:val="22"/>
        </w:rPr>
        <w:t>en Ana Carolina Ibarra (coord.), </w:t>
      </w:r>
      <w:r>
        <w:rPr>
          <w:i/>
          <w:color w:val="231F1F"/>
          <w:w w:val="105"/>
          <w:sz w:val="22"/>
        </w:rPr>
        <w:t>La Independencia en el sur de México</w:t>
      </w:r>
      <w:r>
        <w:rPr>
          <w:color w:val="231F1F"/>
          <w:w w:val="105"/>
          <w:sz w:val="22"/>
        </w:rPr>
        <w:t>, México, </w:t>
      </w:r>
      <w:r>
        <w:rPr>
          <w:color w:val="231F1F"/>
          <w:w w:val="105"/>
          <w:sz w:val="18"/>
        </w:rPr>
        <w:t>UNAM</w:t>
      </w:r>
      <w:r>
        <w:rPr>
          <w:color w:val="231F1F"/>
          <w:w w:val="105"/>
          <w:sz w:val="22"/>
        </w:rPr>
        <w:t>, pp. </w:t>
      </w:r>
      <w:r>
        <w:rPr>
          <w:color w:val="231F1F"/>
          <w:spacing w:val="13"/>
          <w:w w:val="105"/>
          <w:sz w:val="22"/>
        </w:rPr>
        <w:t> </w:t>
      </w:r>
      <w:r>
        <w:rPr>
          <w:color w:val="231F1F"/>
          <w:w w:val="105"/>
          <w:sz w:val="20"/>
        </w:rPr>
        <w:t>33-57</w:t>
      </w:r>
      <w:r>
        <w:rPr>
          <w:color w:val="231F1F"/>
          <w:w w:val="105"/>
          <w:sz w:val="22"/>
        </w:rPr>
        <w:t>.</w:t>
      </w:r>
    </w:p>
    <w:p>
      <w:pPr>
        <w:pStyle w:val="BodyText"/>
        <w:spacing w:before="1"/>
        <w:rPr>
          <w:sz w:val="23"/>
        </w:rPr>
      </w:pPr>
    </w:p>
    <w:p>
      <w:pPr>
        <w:spacing w:line="268" w:lineRule="auto" w:before="1"/>
        <w:ind w:left="1504" w:right="1727" w:firstLine="0"/>
        <w:jc w:val="both"/>
        <w:rPr>
          <w:sz w:val="22"/>
        </w:rPr>
      </w:pPr>
      <w:r>
        <w:rPr>
          <w:color w:val="231F1F"/>
          <w:w w:val="105"/>
          <w:sz w:val="22"/>
        </w:rPr>
        <w:t>Guzmán Pérez, Moisés, “Las economías de guerra en la Independencia de México, </w:t>
      </w:r>
      <w:r>
        <w:rPr>
          <w:color w:val="231F1F"/>
          <w:w w:val="105"/>
          <w:sz w:val="20"/>
        </w:rPr>
        <w:t>1810-1821</w:t>
      </w:r>
      <w:r>
        <w:rPr>
          <w:color w:val="231F1F"/>
          <w:w w:val="105"/>
          <w:sz w:val="22"/>
        </w:rPr>
        <w:t>”, </w:t>
      </w:r>
      <w:r>
        <w:rPr>
          <w:i/>
          <w:color w:val="231F1F"/>
          <w:w w:val="105"/>
          <w:sz w:val="22"/>
        </w:rPr>
        <w:t>Entre</w:t>
      </w:r>
      <w:r>
        <w:rPr>
          <w:i/>
          <w:color w:val="231F1F"/>
          <w:spacing w:val="-13"/>
          <w:w w:val="105"/>
          <w:sz w:val="22"/>
        </w:rPr>
        <w:t> </w:t>
      </w:r>
      <w:r>
        <w:rPr>
          <w:i/>
          <w:color w:val="231F1F"/>
          <w:w w:val="105"/>
          <w:sz w:val="22"/>
        </w:rPr>
        <w:t>la</w:t>
      </w:r>
      <w:r>
        <w:rPr>
          <w:i/>
          <w:color w:val="231F1F"/>
          <w:spacing w:val="-13"/>
          <w:w w:val="105"/>
          <w:sz w:val="22"/>
        </w:rPr>
        <w:t> </w:t>
      </w:r>
      <w:r>
        <w:rPr>
          <w:i/>
          <w:color w:val="231F1F"/>
          <w:w w:val="105"/>
          <w:sz w:val="22"/>
        </w:rPr>
        <w:t>tradición</w:t>
      </w:r>
      <w:r>
        <w:rPr>
          <w:i/>
          <w:color w:val="231F1F"/>
          <w:spacing w:val="-13"/>
          <w:w w:val="105"/>
          <w:sz w:val="22"/>
        </w:rPr>
        <w:t> </w:t>
      </w:r>
      <w:r>
        <w:rPr>
          <w:i/>
          <w:color w:val="231F1F"/>
          <w:w w:val="105"/>
          <w:sz w:val="22"/>
        </w:rPr>
        <w:t>y</w:t>
      </w:r>
      <w:r>
        <w:rPr>
          <w:i/>
          <w:color w:val="231F1F"/>
          <w:spacing w:val="-13"/>
          <w:w w:val="105"/>
          <w:sz w:val="22"/>
        </w:rPr>
        <w:t> </w:t>
      </w:r>
      <w:r>
        <w:rPr>
          <w:i/>
          <w:color w:val="231F1F"/>
          <w:w w:val="105"/>
          <w:sz w:val="22"/>
        </w:rPr>
        <w:t>la</w:t>
      </w:r>
      <w:r>
        <w:rPr>
          <w:i/>
          <w:color w:val="231F1F"/>
          <w:spacing w:val="-13"/>
          <w:w w:val="105"/>
          <w:sz w:val="22"/>
        </w:rPr>
        <w:t> </w:t>
      </w:r>
      <w:r>
        <w:rPr>
          <w:i/>
          <w:color w:val="231F1F"/>
          <w:w w:val="105"/>
          <w:sz w:val="22"/>
        </w:rPr>
        <w:t>modernidad.</w:t>
      </w:r>
      <w:r>
        <w:rPr>
          <w:i/>
          <w:color w:val="231F1F"/>
          <w:spacing w:val="-13"/>
          <w:w w:val="105"/>
          <w:sz w:val="22"/>
        </w:rPr>
        <w:t> </w:t>
      </w:r>
      <w:r>
        <w:rPr>
          <w:i/>
          <w:color w:val="231F1F"/>
          <w:w w:val="105"/>
          <w:sz w:val="22"/>
        </w:rPr>
        <w:t>Estudios</w:t>
      </w:r>
      <w:r>
        <w:rPr>
          <w:i/>
          <w:color w:val="231F1F"/>
          <w:spacing w:val="-13"/>
          <w:w w:val="105"/>
          <w:sz w:val="22"/>
        </w:rPr>
        <w:t> </w:t>
      </w:r>
      <w:r>
        <w:rPr>
          <w:i/>
          <w:color w:val="231F1F"/>
          <w:w w:val="105"/>
          <w:sz w:val="22"/>
        </w:rPr>
        <w:t>sobre</w:t>
      </w:r>
      <w:r>
        <w:rPr>
          <w:i/>
          <w:color w:val="231F1F"/>
          <w:spacing w:val="-13"/>
          <w:w w:val="105"/>
          <w:sz w:val="22"/>
        </w:rPr>
        <w:t> </w:t>
      </w:r>
      <w:r>
        <w:rPr>
          <w:i/>
          <w:color w:val="231F1F"/>
          <w:w w:val="105"/>
          <w:sz w:val="22"/>
        </w:rPr>
        <w:t>la</w:t>
      </w:r>
      <w:r>
        <w:rPr>
          <w:i/>
          <w:color w:val="231F1F"/>
          <w:spacing w:val="-13"/>
          <w:w w:val="105"/>
          <w:sz w:val="22"/>
        </w:rPr>
        <w:t> </w:t>
      </w:r>
      <w:r>
        <w:rPr>
          <w:i/>
          <w:color w:val="231F1F"/>
          <w:w w:val="105"/>
          <w:sz w:val="22"/>
        </w:rPr>
        <w:t>Independencia</w:t>
      </w:r>
      <w:r>
        <w:rPr>
          <w:color w:val="231F1F"/>
          <w:w w:val="105"/>
          <w:sz w:val="22"/>
        </w:rPr>
        <w:t>,</w:t>
      </w:r>
      <w:r>
        <w:rPr>
          <w:color w:val="231F1F"/>
          <w:spacing w:val="-13"/>
          <w:w w:val="105"/>
          <w:sz w:val="22"/>
        </w:rPr>
        <w:t> </w:t>
      </w:r>
      <w:r>
        <w:rPr>
          <w:color w:val="231F1F"/>
          <w:w w:val="105"/>
          <w:sz w:val="22"/>
        </w:rPr>
        <w:t>Morelia,</w:t>
      </w:r>
      <w:r>
        <w:rPr>
          <w:color w:val="231F1F"/>
          <w:spacing w:val="-13"/>
          <w:w w:val="105"/>
          <w:sz w:val="22"/>
        </w:rPr>
        <w:t> </w:t>
      </w:r>
      <w:r>
        <w:rPr>
          <w:color w:val="231F1F"/>
          <w:w w:val="105"/>
          <w:sz w:val="22"/>
        </w:rPr>
        <w:t>Universidad</w:t>
      </w:r>
      <w:r>
        <w:rPr>
          <w:color w:val="231F1F"/>
          <w:spacing w:val="-13"/>
          <w:w w:val="105"/>
          <w:sz w:val="22"/>
        </w:rPr>
        <w:t> </w:t>
      </w:r>
      <w:r>
        <w:rPr>
          <w:color w:val="231F1F"/>
          <w:w w:val="105"/>
          <w:sz w:val="22"/>
        </w:rPr>
        <w:t>Michoa- cana  de  San  Nicolás  de  Hidalgo,  pp.</w:t>
      </w:r>
      <w:r>
        <w:rPr>
          <w:color w:val="231F1F"/>
          <w:spacing w:val="48"/>
          <w:w w:val="105"/>
          <w:sz w:val="22"/>
        </w:rPr>
        <w:t> </w:t>
      </w:r>
      <w:r>
        <w:rPr>
          <w:color w:val="231F1F"/>
          <w:w w:val="105"/>
          <w:sz w:val="20"/>
        </w:rPr>
        <w:t>315-351</w:t>
      </w:r>
      <w:r>
        <w:rPr>
          <w:color w:val="231F1F"/>
          <w:w w:val="105"/>
          <w:sz w:val="22"/>
        </w:rPr>
        <w:t>.</w:t>
      </w:r>
    </w:p>
    <w:p>
      <w:pPr>
        <w:pStyle w:val="BodyText"/>
        <w:spacing w:before="1"/>
        <w:rPr>
          <w:sz w:val="23"/>
        </w:rPr>
      </w:pPr>
    </w:p>
    <w:p>
      <w:pPr>
        <w:spacing w:line="268" w:lineRule="auto" w:before="1"/>
        <w:ind w:left="1504" w:right="1725" w:firstLine="0"/>
        <w:jc w:val="both"/>
        <w:rPr>
          <w:sz w:val="22"/>
        </w:rPr>
      </w:pPr>
      <w:r>
        <w:rPr>
          <w:color w:val="231F1F"/>
          <w:w w:val="105"/>
          <w:sz w:val="22"/>
        </w:rPr>
        <w:t>Guzmán</w:t>
      </w:r>
      <w:r>
        <w:rPr>
          <w:color w:val="231F1F"/>
          <w:spacing w:val="-12"/>
          <w:w w:val="105"/>
          <w:sz w:val="22"/>
        </w:rPr>
        <w:t> </w:t>
      </w:r>
      <w:r>
        <w:rPr>
          <w:color w:val="231F1F"/>
          <w:w w:val="105"/>
          <w:sz w:val="22"/>
        </w:rPr>
        <w:t>Urióstegui,</w:t>
      </w:r>
      <w:r>
        <w:rPr>
          <w:color w:val="231F1F"/>
          <w:spacing w:val="-12"/>
          <w:w w:val="105"/>
          <w:sz w:val="22"/>
        </w:rPr>
        <w:t> </w:t>
      </w:r>
      <w:r>
        <w:rPr>
          <w:color w:val="231F1F"/>
          <w:w w:val="105"/>
          <w:sz w:val="22"/>
        </w:rPr>
        <w:t>Jesús</w:t>
      </w:r>
      <w:r>
        <w:rPr>
          <w:color w:val="231F1F"/>
          <w:spacing w:val="-12"/>
          <w:w w:val="105"/>
          <w:sz w:val="22"/>
        </w:rPr>
        <w:t> </w:t>
      </w:r>
      <w:r>
        <w:rPr>
          <w:color w:val="231F1F"/>
          <w:w w:val="105"/>
          <w:sz w:val="22"/>
        </w:rPr>
        <w:t>(</w:t>
      </w:r>
      <w:r>
        <w:rPr>
          <w:color w:val="231F1F"/>
          <w:w w:val="105"/>
          <w:sz w:val="20"/>
        </w:rPr>
        <w:t>2009</w:t>
      </w:r>
      <w:r>
        <w:rPr>
          <w:color w:val="231F1F"/>
          <w:w w:val="105"/>
          <w:sz w:val="22"/>
        </w:rPr>
        <w:t>),</w:t>
      </w:r>
      <w:r>
        <w:rPr>
          <w:color w:val="231F1F"/>
          <w:spacing w:val="-12"/>
          <w:w w:val="105"/>
          <w:sz w:val="22"/>
        </w:rPr>
        <w:t> </w:t>
      </w:r>
      <w:r>
        <w:rPr>
          <w:color w:val="231F1F"/>
          <w:w w:val="105"/>
          <w:sz w:val="22"/>
        </w:rPr>
        <w:t>“Apuntes</w:t>
      </w:r>
      <w:r>
        <w:rPr>
          <w:color w:val="231F1F"/>
          <w:spacing w:val="-12"/>
          <w:w w:val="105"/>
          <w:sz w:val="22"/>
        </w:rPr>
        <w:t> </w:t>
      </w:r>
      <w:r>
        <w:rPr>
          <w:color w:val="231F1F"/>
          <w:w w:val="105"/>
          <w:sz w:val="22"/>
        </w:rPr>
        <w:t>para</w:t>
      </w:r>
      <w:r>
        <w:rPr>
          <w:color w:val="231F1F"/>
          <w:spacing w:val="-12"/>
          <w:w w:val="105"/>
          <w:sz w:val="22"/>
        </w:rPr>
        <w:t> </w:t>
      </w:r>
      <w:r>
        <w:rPr>
          <w:color w:val="231F1F"/>
          <w:w w:val="105"/>
          <w:sz w:val="22"/>
        </w:rPr>
        <w:t>una</w:t>
      </w:r>
      <w:r>
        <w:rPr>
          <w:color w:val="231F1F"/>
          <w:spacing w:val="-12"/>
          <w:w w:val="105"/>
          <w:sz w:val="22"/>
        </w:rPr>
        <w:t> </w:t>
      </w:r>
      <w:r>
        <w:rPr>
          <w:color w:val="231F1F"/>
          <w:w w:val="105"/>
          <w:sz w:val="22"/>
        </w:rPr>
        <w:t>historia</w:t>
      </w:r>
      <w:r>
        <w:rPr>
          <w:color w:val="231F1F"/>
          <w:spacing w:val="-12"/>
          <w:w w:val="105"/>
          <w:sz w:val="22"/>
        </w:rPr>
        <w:t> </w:t>
      </w:r>
      <w:r>
        <w:rPr>
          <w:color w:val="231F1F"/>
          <w:w w:val="105"/>
          <w:sz w:val="22"/>
        </w:rPr>
        <w:t>de</w:t>
      </w:r>
      <w:r>
        <w:rPr>
          <w:color w:val="231F1F"/>
          <w:spacing w:val="-12"/>
          <w:w w:val="105"/>
          <w:sz w:val="22"/>
        </w:rPr>
        <w:t> </w:t>
      </w:r>
      <w:r>
        <w:rPr>
          <w:color w:val="231F1F"/>
          <w:w w:val="105"/>
          <w:sz w:val="22"/>
        </w:rPr>
        <w:t>la</w:t>
      </w:r>
      <w:r>
        <w:rPr>
          <w:color w:val="231F1F"/>
          <w:spacing w:val="-12"/>
          <w:w w:val="105"/>
          <w:sz w:val="22"/>
        </w:rPr>
        <w:t> </w:t>
      </w:r>
      <w:r>
        <w:rPr>
          <w:color w:val="231F1F"/>
          <w:w w:val="105"/>
          <w:sz w:val="22"/>
        </w:rPr>
        <w:t>insurgencia</w:t>
      </w:r>
      <w:r>
        <w:rPr>
          <w:color w:val="231F1F"/>
          <w:spacing w:val="-12"/>
          <w:w w:val="105"/>
          <w:sz w:val="22"/>
        </w:rPr>
        <w:t> </w:t>
      </w:r>
      <w:r>
        <w:rPr>
          <w:color w:val="231F1F"/>
          <w:w w:val="105"/>
          <w:sz w:val="22"/>
        </w:rPr>
        <w:t>en</w:t>
      </w:r>
      <w:r>
        <w:rPr>
          <w:color w:val="231F1F"/>
          <w:spacing w:val="-12"/>
          <w:w w:val="105"/>
          <w:sz w:val="22"/>
        </w:rPr>
        <w:t> </w:t>
      </w:r>
      <w:r>
        <w:rPr>
          <w:color w:val="231F1F"/>
          <w:w w:val="105"/>
          <w:sz w:val="22"/>
        </w:rPr>
        <w:t>la</w:t>
      </w:r>
      <w:r>
        <w:rPr>
          <w:color w:val="231F1F"/>
          <w:spacing w:val="-12"/>
          <w:w w:val="105"/>
          <w:sz w:val="22"/>
        </w:rPr>
        <w:t> </w:t>
      </w:r>
      <w:r>
        <w:rPr>
          <w:color w:val="231F1F"/>
          <w:w w:val="105"/>
          <w:sz w:val="22"/>
        </w:rPr>
        <w:t>Tierra</w:t>
      </w:r>
      <w:r>
        <w:rPr>
          <w:color w:val="231F1F"/>
          <w:spacing w:val="-12"/>
          <w:w w:val="105"/>
          <w:sz w:val="22"/>
        </w:rPr>
        <w:t> </w:t>
      </w:r>
      <w:r>
        <w:rPr>
          <w:color w:val="231F1F"/>
          <w:w w:val="105"/>
          <w:sz w:val="22"/>
        </w:rPr>
        <w:t>Caliente de Guerrero, </w:t>
      </w:r>
      <w:r>
        <w:rPr>
          <w:color w:val="231F1F"/>
          <w:w w:val="105"/>
          <w:sz w:val="20"/>
        </w:rPr>
        <w:t>1810-1821</w:t>
      </w:r>
      <w:r>
        <w:rPr>
          <w:color w:val="231F1F"/>
          <w:w w:val="105"/>
          <w:sz w:val="22"/>
        </w:rPr>
        <w:t>”, </w:t>
      </w:r>
      <w:r>
        <w:rPr>
          <w:i/>
          <w:color w:val="231F1F"/>
          <w:w w:val="105"/>
          <w:sz w:val="22"/>
        </w:rPr>
        <w:t>Historia Moderna y Contemporánea de México</w:t>
      </w:r>
      <w:r>
        <w:rPr>
          <w:color w:val="231F1F"/>
          <w:w w:val="105"/>
          <w:sz w:val="22"/>
        </w:rPr>
        <w:t>, núm. </w:t>
      </w:r>
      <w:r>
        <w:rPr>
          <w:color w:val="231F1F"/>
          <w:w w:val="105"/>
          <w:sz w:val="18"/>
        </w:rPr>
        <w:t>37</w:t>
      </w:r>
      <w:r>
        <w:rPr>
          <w:color w:val="231F1F"/>
          <w:w w:val="105"/>
          <w:sz w:val="22"/>
        </w:rPr>
        <w:t>, enero-junio, pp. </w:t>
      </w:r>
      <w:r>
        <w:rPr>
          <w:color w:val="231F1F"/>
          <w:spacing w:val="21"/>
          <w:w w:val="105"/>
          <w:sz w:val="22"/>
        </w:rPr>
        <w:t> </w:t>
      </w:r>
      <w:r>
        <w:rPr>
          <w:color w:val="231F1F"/>
          <w:w w:val="105"/>
          <w:sz w:val="20"/>
        </w:rPr>
        <w:t>5-35</w:t>
      </w:r>
      <w:r>
        <w:rPr>
          <w:color w:val="231F1F"/>
          <w:w w:val="105"/>
          <w:sz w:val="22"/>
        </w:rPr>
        <w:t>.</w:t>
      </w:r>
    </w:p>
    <w:p>
      <w:pPr>
        <w:pStyle w:val="BodyText"/>
        <w:spacing w:before="1"/>
        <w:rPr>
          <w:sz w:val="23"/>
        </w:rPr>
      </w:pPr>
    </w:p>
    <w:p>
      <w:pPr>
        <w:spacing w:line="268" w:lineRule="auto" w:before="1"/>
        <w:ind w:left="1504" w:right="1726" w:firstLine="0"/>
        <w:jc w:val="both"/>
        <w:rPr>
          <w:sz w:val="22"/>
        </w:rPr>
      </w:pPr>
      <w:r>
        <w:rPr>
          <w:color w:val="231F1F"/>
          <w:sz w:val="22"/>
        </w:rPr>
        <w:t>Haynes </w:t>
      </w:r>
      <w:r>
        <w:rPr>
          <w:color w:val="231F1F"/>
          <w:spacing w:val="-3"/>
          <w:sz w:val="22"/>
        </w:rPr>
        <w:t>Low, </w:t>
      </w:r>
      <w:r>
        <w:rPr>
          <w:color w:val="231F1F"/>
          <w:sz w:val="22"/>
        </w:rPr>
        <w:t>Lyman y Nicolás León (</w:t>
      </w:r>
      <w:r>
        <w:rPr>
          <w:color w:val="231F1F"/>
          <w:sz w:val="20"/>
        </w:rPr>
        <w:t>2010</w:t>
      </w:r>
      <w:r>
        <w:rPr>
          <w:color w:val="231F1F"/>
          <w:sz w:val="22"/>
        </w:rPr>
        <w:t>), </w:t>
      </w:r>
      <w:r>
        <w:rPr>
          <w:i/>
          <w:color w:val="231F1F"/>
          <w:sz w:val="22"/>
        </w:rPr>
        <w:t>La moneda del general insurgente don José  María  </w:t>
      </w:r>
      <w:r>
        <w:rPr>
          <w:i/>
          <w:color w:val="231F1F"/>
          <w:sz w:val="22"/>
        </w:rPr>
        <w:t>Morelos.  Ensayo  numismático</w:t>
      </w:r>
      <w:r>
        <w:rPr>
          <w:color w:val="231F1F"/>
          <w:sz w:val="22"/>
        </w:rPr>
        <w:t>,  México,  El  Banco  de</w:t>
      </w:r>
      <w:r>
        <w:rPr>
          <w:color w:val="231F1F"/>
          <w:spacing w:val="18"/>
          <w:sz w:val="22"/>
        </w:rPr>
        <w:t> </w:t>
      </w:r>
      <w:r>
        <w:rPr>
          <w:color w:val="231F1F"/>
          <w:sz w:val="22"/>
        </w:rPr>
        <w:t>México.</w:t>
      </w:r>
    </w:p>
    <w:p>
      <w:pPr>
        <w:pStyle w:val="BodyText"/>
        <w:spacing w:before="1"/>
        <w:rPr>
          <w:sz w:val="23"/>
        </w:rPr>
      </w:pPr>
    </w:p>
    <w:p>
      <w:pPr>
        <w:spacing w:line="268" w:lineRule="auto" w:before="1"/>
        <w:ind w:left="1504" w:right="1726" w:firstLine="0"/>
        <w:jc w:val="both"/>
        <w:rPr>
          <w:sz w:val="22"/>
        </w:rPr>
      </w:pPr>
      <w:r>
        <w:rPr>
          <w:color w:val="231F1F"/>
          <w:sz w:val="22"/>
        </w:rPr>
        <w:t>Herrejón Peredo, Carlos (</w:t>
      </w:r>
      <w:r>
        <w:rPr>
          <w:color w:val="231F1F"/>
          <w:sz w:val="20"/>
        </w:rPr>
        <w:t>1981</w:t>
      </w:r>
      <w:r>
        <w:rPr>
          <w:color w:val="231F1F"/>
          <w:sz w:val="22"/>
        </w:rPr>
        <w:t>), </w:t>
      </w:r>
      <w:r>
        <w:rPr>
          <w:i/>
          <w:color w:val="231F1F"/>
          <w:sz w:val="22"/>
        </w:rPr>
        <w:t>Morelos. Antología documental</w:t>
      </w:r>
      <w:r>
        <w:rPr>
          <w:color w:val="231F1F"/>
          <w:sz w:val="22"/>
        </w:rPr>
        <w:t>, México, </w:t>
      </w:r>
      <w:r>
        <w:rPr>
          <w:color w:val="231F1F"/>
          <w:sz w:val="18"/>
        </w:rPr>
        <w:t>SEP </w:t>
      </w:r>
      <w:r>
        <w:rPr>
          <w:color w:val="231F1F"/>
          <w:sz w:val="22"/>
        </w:rPr>
        <w:t>Cultura, (Cien de México).</w:t>
      </w:r>
    </w:p>
    <w:p>
      <w:pPr>
        <w:pStyle w:val="BodyText"/>
        <w:spacing w:before="1"/>
        <w:rPr>
          <w:sz w:val="23"/>
        </w:rPr>
      </w:pPr>
    </w:p>
    <w:p>
      <w:pPr>
        <w:spacing w:line="268" w:lineRule="auto" w:before="1"/>
        <w:ind w:left="1504" w:right="1727" w:firstLine="0"/>
        <w:jc w:val="both"/>
        <w:rPr>
          <w:sz w:val="22"/>
        </w:rPr>
      </w:pPr>
      <w:r>
        <w:rPr>
          <w:color w:val="231F1F"/>
          <w:w w:val="105"/>
          <w:sz w:val="22"/>
        </w:rPr>
        <w:t>–––––– (</w:t>
      </w:r>
      <w:r>
        <w:rPr>
          <w:color w:val="231F1F"/>
          <w:w w:val="105"/>
          <w:sz w:val="20"/>
        </w:rPr>
        <w:t>2014</w:t>
      </w:r>
      <w:r>
        <w:rPr>
          <w:color w:val="231F1F"/>
          <w:w w:val="105"/>
          <w:sz w:val="22"/>
        </w:rPr>
        <w:t>), “El gobierno de José María Morelos, </w:t>
      </w:r>
      <w:r>
        <w:rPr>
          <w:color w:val="231F1F"/>
          <w:w w:val="105"/>
          <w:sz w:val="20"/>
        </w:rPr>
        <w:t>1810-1813</w:t>
      </w:r>
      <w:r>
        <w:rPr>
          <w:color w:val="231F1F"/>
          <w:w w:val="105"/>
          <w:sz w:val="22"/>
        </w:rPr>
        <w:t>”, en Ana Carolina Ibarra </w:t>
      </w:r>
      <w:r>
        <w:rPr>
          <w:i/>
          <w:color w:val="231F1F"/>
          <w:w w:val="105"/>
          <w:sz w:val="22"/>
        </w:rPr>
        <w:t>et al</w:t>
      </w:r>
      <w:r>
        <w:rPr>
          <w:color w:val="231F1F"/>
          <w:w w:val="105"/>
          <w:sz w:val="22"/>
        </w:rPr>
        <w:t>. (coords.), </w:t>
      </w:r>
      <w:r>
        <w:rPr>
          <w:i/>
          <w:color w:val="231F1F"/>
          <w:w w:val="105"/>
          <w:sz w:val="22"/>
        </w:rPr>
        <w:t>La insurgencia mexicana y la Constitución de Apatzingán, </w:t>
      </w:r>
      <w:r>
        <w:rPr>
          <w:i/>
          <w:color w:val="231F1F"/>
          <w:w w:val="105"/>
          <w:sz w:val="20"/>
        </w:rPr>
        <w:t>1808-1824</w:t>
      </w:r>
      <w:r>
        <w:rPr>
          <w:color w:val="231F1F"/>
          <w:w w:val="105"/>
          <w:sz w:val="22"/>
        </w:rPr>
        <w:t>, México, </w:t>
      </w:r>
      <w:r>
        <w:rPr>
          <w:color w:val="231F1F"/>
          <w:w w:val="105"/>
          <w:sz w:val="18"/>
        </w:rPr>
        <w:t>UNAM</w:t>
      </w:r>
      <w:r>
        <w:rPr>
          <w:color w:val="231F1F"/>
          <w:w w:val="105"/>
          <w:sz w:val="22"/>
        </w:rPr>
        <w:t>, pp. </w:t>
      </w:r>
      <w:r>
        <w:rPr>
          <w:color w:val="231F1F"/>
          <w:spacing w:val="39"/>
          <w:w w:val="105"/>
          <w:sz w:val="22"/>
        </w:rPr>
        <w:t> </w:t>
      </w:r>
      <w:r>
        <w:rPr>
          <w:color w:val="231F1F"/>
          <w:w w:val="105"/>
          <w:sz w:val="20"/>
        </w:rPr>
        <w:t>29-47</w:t>
      </w:r>
      <w:r>
        <w:rPr>
          <w:color w:val="231F1F"/>
          <w:w w:val="105"/>
          <w:sz w:val="22"/>
        </w:rPr>
        <w:t>.</w:t>
      </w:r>
    </w:p>
    <w:p>
      <w:pPr>
        <w:pStyle w:val="BodyText"/>
        <w:spacing w:before="1"/>
        <w:rPr>
          <w:sz w:val="23"/>
        </w:rPr>
      </w:pPr>
    </w:p>
    <w:p>
      <w:pPr>
        <w:spacing w:line="268" w:lineRule="auto" w:before="1"/>
        <w:ind w:left="1504" w:right="1725" w:firstLine="0"/>
        <w:jc w:val="both"/>
        <w:rPr>
          <w:sz w:val="22"/>
        </w:rPr>
      </w:pPr>
      <w:r>
        <w:rPr>
          <w:color w:val="231F1F"/>
          <w:w w:val="105"/>
          <w:sz w:val="22"/>
        </w:rPr>
        <w:t>Landavazo,</w:t>
      </w:r>
      <w:r>
        <w:rPr>
          <w:color w:val="231F1F"/>
          <w:spacing w:val="-24"/>
          <w:w w:val="105"/>
          <w:sz w:val="22"/>
        </w:rPr>
        <w:t> </w:t>
      </w:r>
      <w:r>
        <w:rPr>
          <w:color w:val="231F1F"/>
          <w:w w:val="105"/>
          <w:sz w:val="22"/>
        </w:rPr>
        <w:t>Marco</w:t>
      </w:r>
      <w:r>
        <w:rPr>
          <w:color w:val="231F1F"/>
          <w:spacing w:val="-24"/>
          <w:w w:val="105"/>
          <w:sz w:val="22"/>
        </w:rPr>
        <w:t> </w:t>
      </w:r>
      <w:r>
        <w:rPr>
          <w:color w:val="231F1F"/>
          <w:w w:val="105"/>
          <w:sz w:val="22"/>
        </w:rPr>
        <w:t>Antonio</w:t>
      </w:r>
      <w:r>
        <w:rPr>
          <w:color w:val="231F1F"/>
          <w:spacing w:val="-24"/>
          <w:w w:val="105"/>
          <w:sz w:val="22"/>
        </w:rPr>
        <w:t> </w:t>
      </w:r>
      <w:r>
        <w:rPr>
          <w:color w:val="231F1F"/>
          <w:w w:val="105"/>
          <w:sz w:val="22"/>
        </w:rPr>
        <w:t>(</w:t>
      </w:r>
      <w:r>
        <w:rPr>
          <w:color w:val="231F1F"/>
          <w:w w:val="105"/>
          <w:sz w:val="20"/>
        </w:rPr>
        <w:t>2001</w:t>
      </w:r>
      <w:r>
        <w:rPr>
          <w:color w:val="231F1F"/>
          <w:w w:val="105"/>
          <w:sz w:val="22"/>
        </w:rPr>
        <w:t>),</w:t>
      </w:r>
      <w:r>
        <w:rPr>
          <w:color w:val="231F1F"/>
          <w:spacing w:val="-24"/>
          <w:w w:val="105"/>
          <w:sz w:val="22"/>
        </w:rPr>
        <w:t> </w:t>
      </w:r>
      <w:r>
        <w:rPr>
          <w:i/>
          <w:color w:val="231F1F"/>
          <w:w w:val="105"/>
          <w:sz w:val="22"/>
        </w:rPr>
        <w:t>La</w:t>
      </w:r>
      <w:r>
        <w:rPr>
          <w:i/>
          <w:color w:val="231F1F"/>
          <w:spacing w:val="-24"/>
          <w:w w:val="105"/>
          <w:sz w:val="22"/>
        </w:rPr>
        <w:t> </w:t>
      </w:r>
      <w:r>
        <w:rPr>
          <w:i/>
          <w:color w:val="231F1F"/>
          <w:w w:val="105"/>
          <w:sz w:val="22"/>
        </w:rPr>
        <w:t>máscara</w:t>
      </w:r>
      <w:r>
        <w:rPr>
          <w:i/>
          <w:color w:val="231F1F"/>
          <w:spacing w:val="-24"/>
          <w:w w:val="105"/>
          <w:sz w:val="22"/>
        </w:rPr>
        <w:t> </w:t>
      </w:r>
      <w:r>
        <w:rPr>
          <w:i/>
          <w:color w:val="231F1F"/>
          <w:w w:val="105"/>
          <w:sz w:val="22"/>
        </w:rPr>
        <w:t>de</w:t>
      </w:r>
      <w:r>
        <w:rPr>
          <w:i/>
          <w:color w:val="231F1F"/>
          <w:spacing w:val="-24"/>
          <w:w w:val="105"/>
          <w:sz w:val="22"/>
        </w:rPr>
        <w:t> </w:t>
      </w:r>
      <w:r>
        <w:rPr>
          <w:i/>
          <w:color w:val="231F1F"/>
          <w:w w:val="105"/>
          <w:sz w:val="22"/>
        </w:rPr>
        <w:t>Fernando</w:t>
      </w:r>
      <w:r>
        <w:rPr>
          <w:i/>
          <w:color w:val="231F1F"/>
          <w:spacing w:val="-24"/>
          <w:w w:val="105"/>
          <w:sz w:val="22"/>
        </w:rPr>
        <w:t> </w:t>
      </w:r>
      <w:r>
        <w:rPr>
          <w:i/>
          <w:color w:val="231F1F"/>
          <w:w w:val="105"/>
          <w:sz w:val="22"/>
        </w:rPr>
        <w:t>VII.</w:t>
      </w:r>
      <w:r>
        <w:rPr>
          <w:i/>
          <w:color w:val="231F1F"/>
          <w:spacing w:val="-24"/>
          <w:w w:val="105"/>
          <w:sz w:val="22"/>
        </w:rPr>
        <w:t> </w:t>
      </w:r>
      <w:r>
        <w:rPr>
          <w:i/>
          <w:color w:val="231F1F"/>
          <w:w w:val="105"/>
          <w:sz w:val="22"/>
        </w:rPr>
        <w:t>Discurso</w:t>
      </w:r>
      <w:r>
        <w:rPr>
          <w:i/>
          <w:color w:val="231F1F"/>
          <w:spacing w:val="-24"/>
          <w:w w:val="105"/>
          <w:sz w:val="22"/>
        </w:rPr>
        <w:t> </w:t>
      </w:r>
      <w:r>
        <w:rPr>
          <w:i/>
          <w:color w:val="231F1F"/>
          <w:w w:val="105"/>
          <w:sz w:val="22"/>
        </w:rPr>
        <w:t>e</w:t>
      </w:r>
      <w:r>
        <w:rPr>
          <w:i/>
          <w:color w:val="231F1F"/>
          <w:spacing w:val="-24"/>
          <w:w w:val="105"/>
          <w:sz w:val="22"/>
        </w:rPr>
        <w:t> </w:t>
      </w:r>
      <w:r>
        <w:rPr>
          <w:i/>
          <w:color w:val="231F1F"/>
          <w:w w:val="105"/>
          <w:sz w:val="22"/>
        </w:rPr>
        <w:t>imaginarios</w:t>
      </w:r>
      <w:r>
        <w:rPr>
          <w:i/>
          <w:color w:val="231F1F"/>
          <w:spacing w:val="-24"/>
          <w:w w:val="105"/>
          <w:sz w:val="22"/>
        </w:rPr>
        <w:t> </w:t>
      </w:r>
      <w:r>
        <w:rPr>
          <w:i/>
          <w:color w:val="231F1F"/>
          <w:w w:val="105"/>
          <w:sz w:val="22"/>
        </w:rPr>
        <w:t>monárquicos </w:t>
      </w:r>
      <w:r>
        <w:rPr>
          <w:i/>
          <w:color w:val="231F1F"/>
          <w:w w:val="110"/>
          <w:sz w:val="22"/>
        </w:rPr>
        <w:t>en</w:t>
      </w:r>
      <w:r>
        <w:rPr>
          <w:i/>
          <w:color w:val="231F1F"/>
          <w:spacing w:val="-6"/>
          <w:w w:val="110"/>
          <w:sz w:val="22"/>
        </w:rPr>
        <w:t> </w:t>
      </w:r>
      <w:r>
        <w:rPr>
          <w:i/>
          <w:color w:val="231F1F"/>
          <w:w w:val="110"/>
          <w:sz w:val="22"/>
        </w:rPr>
        <w:t>una</w:t>
      </w:r>
      <w:r>
        <w:rPr>
          <w:i/>
          <w:color w:val="231F1F"/>
          <w:spacing w:val="-6"/>
          <w:w w:val="110"/>
          <w:sz w:val="22"/>
        </w:rPr>
        <w:t> </w:t>
      </w:r>
      <w:r>
        <w:rPr>
          <w:i/>
          <w:color w:val="231F1F"/>
          <w:w w:val="110"/>
          <w:sz w:val="22"/>
        </w:rPr>
        <w:t>época</w:t>
      </w:r>
      <w:r>
        <w:rPr>
          <w:i/>
          <w:color w:val="231F1F"/>
          <w:spacing w:val="-6"/>
          <w:w w:val="110"/>
          <w:sz w:val="22"/>
        </w:rPr>
        <w:t> </w:t>
      </w:r>
      <w:r>
        <w:rPr>
          <w:i/>
          <w:color w:val="231F1F"/>
          <w:w w:val="110"/>
          <w:sz w:val="22"/>
        </w:rPr>
        <w:t>de</w:t>
      </w:r>
      <w:r>
        <w:rPr>
          <w:i/>
          <w:color w:val="231F1F"/>
          <w:spacing w:val="-6"/>
          <w:w w:val="110"/>
          <w:sz w:val="22"/>
        </w:rPr>
        <w:t> </w:t>
      </w:r>
      <w:r>
        <w:rPr>
          <w:i/>
          <w:color w:val="231F1F"/>
          <w:w w:val="110"/>
          <w:sz w:val="22"/>
        </w:rPr>
        <w:t>crisis,</w:t>
      </w:r>
      <w:r>
        <w:rPr>
          <w:i/>
          <w:color w:val="231F1F"/>
          <w:spacing w:val="-6"/>
          <w:w w:val="110"/>
          <w:sz w:val="22"/>
        </w:rPr>
        <w:t> </w:t>
      </w:r>
      <w:r>
        <w:rPr>
          <w:i/>
          <w:color w:val="231F1F"/>
          <w:w w:val="110"/>
          <w:sz w:val="22"/>
        </w:rPr>
        <w:t>Nueva</w:t>
      </w:r>
      <w:r>
        <w:rPr>
          <w:i/>
          <w:color w:val="231F1F"/>
          <w:spacing w:val="-6"/>
          <w:w w:val="110"/>
          <w:sz w:val="22"/>
        </w:rPr>
        <w:t> </w:t>
      </w:r>
      <w:r>
        <w:rPr>
          <w:i/>
          <w:color w:val="231F1F"/>
          <w:w w:val="110"/>
          <w:sz w:val="22"/>
        </w:rPr>
        <w:t>España,</w:t>
      </w:r>
      <w:r>
        <w:rPr>
          <w:i/>
          <w:color w:val="231F1F"/>
          <w:spacing w:val="-6"/>
          <w:w w:val="110"/>
          <w:sz w:val="22"/>
        </w:rPr>
        <w:t> </w:t>
      </w:r>
      <w:r>
        <w:rPr>
          <w:color w:val="231F1F"/>
          <w:w w:val="110"/>
          <w:sz w:val="20"/>
        </w:rPr>
        <w:t>1808-1822</w:t>
      </w:r>
      <w:r>
        <w:rPr>
          <w:color w:val="231F1F"/>
          <w:w w:val="110"/>
          <w:sz w:val="22"/>
        </w:rPr>
        <w:t>,</w:t>
      </w:r>
      <w:r>
        <w:rPr>
          <w:color w:val="231F1F"/>
          <w:spacing w:val="-6"/>
          <w:w w:val="110"/>
          <w:sz w:val="22"/>
        </w:rPr>
        <w:t> </w:t>
      </w:r>
      <w:r>
        <w:rPr>
          <w:color w:val="231F1F"/>
          <w:w w:val="110"/>
          <w:sz w:val="22"/>
        </w:rPr>
        <w:t>México,</w:t>
      </w:r>
      <w:r>
        <w:rPr>
          <w:color w:val="231F1F"/>
          <w:spacing w:val="-6"/>
          <w:w w:val="110"/>
          <w:sz w:val="22"/>
        </w:rPr>
        <w:t> </w:t>
      </w:r>
      <w:r>
        <w:rPr>
          <w:color w:val="231F1F"/>
          <w:w w:val="110"/>
          <w:sz w:val="22"/>
        </w:rPr>
        <w:t>El</w:t>
      </w:r>
      <w:r>
        <w:rPr>
          <w:color w:val="231F1F"/>
          <w:spacing w:val="-6"/>
          <w:w w:val="110"/>
          <w:sz w:val="22"/>
        </w:rPr>
        <w:t> </w:t>
      </w:r>
      <w:r>
        <w:rPr>
          <w:color w:val="231F1F"/>
          <w:w w:val="110"/>
          <w:sz w:val="22"/>
        </w:rPr>
        <w:t>Colegio</w:t>
      </w:r>
      <w:r>
        <w:rPr>
          <w:color w:val="231F1F"/>
          <w:spacing w:val="-6"/>
          <w:w w:val="110"/>
          <w:sz w:val="22"/>
        </w:rPr>
        <w:t> </w:t>
      </w:r>
      <w:r>
        <w:rPr>
          <w:color w:val="231F1F"/>
          <w:w w:val="110"/>
          <w:sz w:val="22"/>
        </w:rPr>
        <w:t>de</w:t>
      </w:r>
      <w:r>
        <w:rPr>
          <w:color w:val="231F1F"/>
          <w:spacing w:val="-6"/>
          <w:w w:val="110"/>
          <w:sz w:val="22"/>
        </w:rPr>
        <w:t> </w:t>
      </w:r>
      <w:r>
        <w:rPr>
          <w:color w:val="231F1F"/>
          <w:w w:val="110"/>
          <w:sz w:val="22"/>
        </w:rPr>
        <w:t>México</w:t>
      </w:r>
      <w:r>
        <w:rPr>
          <w:color w:val="231F1F"/>
          <w:spacing w:val="-6"/>
          <w:w w:val="110"/>
          <w:sz w:val="22"/>
        </w:rPr>
        <w:t> </w:t>
      </w:r>
      <w:r>
        <w:rPr>
          <w:color w:val="231F1F"/>
          <w:w w:val="135"/>
          <w:sz w:val="22"/>
        </w:rPr>
        <w:t>/</w:t>
      </w:r>
      <w:r>
        <w:rPr>
          <w:color w:val="231F1F"/>
          <w:spacing w:val="-18"/>
          <w:w w:val="135"/>
          <w:sz w:val="22"/>
        </w:rPr>
        <w:t> </w:t>
      </w:r>
      <w:r>
        <w:rPr>
          <w:color w:val="231F1F"/>
          <w:w w:val="110"/>
          <w:sz w:val="22"/>
        </w:rPr>
        <w:t>Universidad Michoacana de San Nicolás de Hidalgo </w:t>
      </w:r>
      <w:r>
        <w:rPr>
          <w:color w:val="231F1F"/>
          <w:w w:val="135"/>
          <w:sz w:val="22"/>
        </w:rPr>
        <w:t>/ </w:t>
      </w:r>
      <w:r>
        <w:rPr>
          <w:color w:val="231F1F"/>
          <w:w w:val="110"/>
          <w:sz w:val="22"/>
        </w:rPr>
        <w:t>El Colegio de </w:t>
      </w:r>
      <w:r>
        <w:rPr>
          <w:color w:val="231F1F"/>
          <w:spacing w:val="35"/>
          <w:w w:val="110"/>
          <w:sz w:val="22"/>
        </w:rPr>
        <w:t> </w:t>
      </w:r>
      <w:r>
        <w:rPr>
          <w:color w:val="231F1F"/>
          <w:w w:val="110"/>
          <w:sz w:val="22"/>
        </w:rPr>
        <w:t>Michoacán.</w:t>
      </w:r>
    </w:p>
    <w:p>
      <w:pPr>
        <w:pStyle w:val="BodyText"/>
        <w:spacing w:before="1"/>
        <w:rPr>
          <w:sz w:val="23"/>
        </w:rPr>
      </w:pPr>
    </w:p>
    <w:p>
      <w:pPr>
        <w:spacing w:line="268" w:lineRule="auto" w:before="1"/>
        <w:ind w:left="1504" w:right="1725" w:firstLine="0"/>
        <w:jc w:val="both"/>
        <w:rPr>
          <w:sz w:val="22"/>
        </w:rPr>
      </w:pPr>
      <w:r>
        <w:rPr>
          <w:color w:val="231F1F"/>
          <w:sz w:val="22"/>
        </w:rPr>
        <w:t>Lemoine Villicaña, Ernesto (</w:t>
      </w:r>
      <w:r>
        <w:rPr>
          <w:color w:val="231F1F"/>
          <w:sz w:val="20"/>
        </w:rPr>
        <w:t>1991</w:t>
      </w:r>
      <w:r>
        <w:rPr>
          <w:color w:val="231F1F"/>
          <w:sz w:val="22"/>
        </w:rPr>
        <w:t>), Morelos. </w:t>
      </w:r>
      <w:r>
        <w:rPr>
          <w:i/>
          <w:color w:val="231F1F"/>
          <w:sz w:val="22"/>
        </w:rPr>
        <w:t>Su vida revolucionaria a través de sus escritos y de      </w:t>
      </w:r>
      <w:r>
        <w:rPr>
          <w:i/>
          <w:color w:val="231F1F"/>
          <w:sz w:val="22"/>
        </w:rPr>
        <w:t>otros  testimonios  de  la  época</w:t>
      </w:r>
      <w:r>
        <w:rPr>
          <w:color w:val="231F1F"/>
          <w:sz w:val="22"/>
        </w:rPr>
        <w:t>,  México,</w:t>
      </w:r>
      <w:r>
        <w:rPr>
          <w:color w:val="231F1F"/>
          <w:spacing w:val="7"/>
          <w:sz w:val="22"/>
        </w:rPr>
        <w:t> </w:t>
      </w:r>
      <w:r>
        <w:rPr>
          <w:color w:val="231F1F"/>
          <w:sz w:val="18"/>
        </w:rPr>
        <w:t>UNAM</w:t>
      </w:r>
      <w:r>
        <w:rPr>
          <w:color w:val="231F1F"/>
          <w:sz w:val="22"/>
        </w:rPr>
        <w:t>.</w:t>
      </w:r>
    </w:p>
    <w:p>
      <w:pPr>
        <w:pStyle w:val="BodyText"/>
        <w:spacing w:before="1"/>
        <w:rPr>
          <w:sz w:val="23"/>
        </w:rPr>
      </w:pPr>
    </w:p>
    <w:p>
      <w:pPr>
        <w:pStyle w:val="BodyText"/>
        <w:spacing w:line="268" w:lineRule="auto" w:before="1"/>
        <w:ind w:left="1504" w:right="1726"/>
        <w:jc w:val="both"/>
      </w:pPr>
      <w:r>
        <w:rPr>
          <w:color w:val="231F1F"/>
          <w:w w:val="105"/>
        </w:rPr>
        <w:t>López González, Salvador (</w:t>
      </w:r>
      <w:r>
        <w:rPr>
          <w:color w:val="231F1F"/>
          <w:w w:val="105"/>
          <w:sz w:val="20"/>
        </w:rPr>
        <w:t>1987</w:t>
      </w:r>
      <w:r>
        <w:rPr>
          <w:color w:val="231F1F"/>
          <w:w w:val="105"/>
        </w:rPr>
        <w:t>), “Tlacos, pilones… y algo más”, </w:t>
      </w:r>
      <w:r>
        <w:rPr>
          <w:i/>
          <w:color w:val="231F1F"/>
          <w:w w:val="105"/>
        </w:rPr>
        <w:t>Boletín</w:t>
      </w:r>
      <w:r>
        <w:rPr>
          <w:color w:val="231F1F"/>
          <w:w w:val="105"/>
        </w:rPr>
        <w:t>, México, Sociedad Numismática de México, núm. </w:t>
      </w:r>
      <w:r>
        <w:rPr>
          <w:color w:val="231F1F"/>
          <w:w w:val="105"/>
          <w:sz w:val="20"/>
        </w:rPr>
        <w:t>137</w:t>
      </w:r>
      <w:r>
        <w:rPr>
          <w:color w:val="231F1F"/>
          <w:w w:val="105"/>
        </w:rPr>
        <w:t>, octubre-diciembre, pp.  </w:t>
      </w:r>
      <w:r>
        <w:rPr>
          <w:color w:val="231F1F"/>
          <w:w w:val="105"/>
          <w:sz w:val="20"/>
        </w:rPr>
        <w:t>92-99</w:t>
      </w:r>
      <w:r>
        <w:rPr>
          <w:color w:val="231F1F"/>
          <w:w w:val="105"/>
        </w:rPr>
        <w:t>.</w:t>
      </w:r>
    </w:p>
    <w:p>
      <w:pPr>
        <w:pStyle w:val="BodyText"/>
        <w:spacing w:before="1"/>
        <w:rPr>
          <w:sz w:val="23"/>
        </w:rPr>
      </w:pPr>
    </w:p>
    <w:p>
      <w:pPr>
        <w:spacing w:line="268" w:lineRule="auto" w:before="1"/>
        <w:ind w:left="1504" w:right="1725" w:firstLine="0"/>
        <w:jc w:val="both"/>
        <w:rPr>
          <w:sz w:val="22"/>
        </w:rPr>
      </w:pPr>
      <w:r>
        <w:rPr>
          <w:color w:val="231F1F"/>
          <w:w w:val="105"/>
          <w:sz w:val="22"/>
        </w:rPr>
        <w:t>Margadant, Guillermo </w:t>
      </w:r>
      <w:r>
        <w:rPr>
          <w:color w:val="231F1F"/>
          <w:spacing w:val="-16"/>
          <w:w w:val="105"/>
          <w:sz w:val="22"/>
        </w:rPr>
        <w:t>F.  </w:t>
      </w:r>
      <w:r>
        <w:rPr>
          <w:color w:val="231F1F"/>
          <w:w w:val="105"/>
          <w:sz w:val="22"/>
        </w:rPr>
        <w:t>(</w:t>
      </w:r>
      <w:r>
        <w:rPr>
          <w:color w:val="231F1F"/>
          <w:w w:val="105"/>
          <w:sz w:val="20"/>
        </w:rPr>
        <w:t>1988</w:t>
      </w:r>
      <w:r>
        <w:rPr>
          <w:color w:val="231F1F"/>
          <w:w w:val="105"/>
          <w:sz w:val="22"/>
        </w:rPr>
        <w:t>), “La ordenanza de intendentes para la Nueva España: ilusiones    y logros”, en Beatriz Bernal (coord.), </w:t>
      </w:r>
      <w:r>
        <w:rPr>
          <w:i/>
          <w:color w:val="231F1F"/>
          <w:w w:val="105"/>
          <w:sz w:val="22"/>
        </w:rPr>
        <w:t>Memoria del </w:t>
      </w:r>
      <w:r>
        <w:rPr>
          <w:i/>
          <w:color w:val="231F1F"/>
          <w:w w:val="105"/>
          <w:sz w:val="18"/>
        </w:rPr>
        <w:t>IV </w:t>
      </w:r>
      <w:r>
        <w:rPr>
          <w:i/>
          <w:color w:val="231F1F"/>
          <w:w w:val="105"/>
          <w:sz w:val="22"/>
        </w:rPr>
        <w:t>Congreso de Historia del Derecho Mexicano </w:t>
      </w:r>
      <w:r>
        <w:rPr>
          <w:i/>
          <w:color w:val="231F1F"/>
          <w:w w:val="105"/>
          <w:sz w:val="22"/>
        </w:rPr>
        <w:t>(1986)</w:t>
      </w:r>
      <w:r>
        <w:rPr>
          <w:color w:val="231F1F"/>
          <w:w w:val="105"/>
          <w:sz w:val="22"/>
        </w:rPr>
        <w:t>,  tomo  </w:t>
      </w:r>
      <w:r>
        <w:rPr>
          <w:color w:val="231F1F"/>
          <w:w w:val="105"/>
          <w:sz w:val="18"/>
        </w:rPr>
        <w:t>II</w:t>
      </w:r>
      <w:r>
        <w:rPr>
          <w:color w:val="231F1F"/>
          <w:w w:val="105"/>
          <w:sz w:val="22"/>
        </w:rPr>
        <w:t>,  México,  </w:t>
      </w:r>
      <w:r>
        <w:rPr>
          <w:rFonts w:ascii="Arial" w:hAnsi="Arial"/>
          <w:color w:val="231F1F"/>
          <w:w w:val="105"/>
          <w:sz w:val="18"/>
        </w:rPr>
        <w:t>IIJ</w:t>
      </w:r>
      <w:r>
        <w:rPr>
          <w:color w:val="231F1F"/>
          <w:w w:val="105"/>
          <w:sz w:val="18"/>
        </w:rPr>
        <w:t>/UNAM</w:t>
      </w:r>
      <w:r>
        <w:rPr>
          <w:color w:val="231F1F"/>
          <w:w w:val="105"/>
          <w:sz w:val="22"/>
        </w:rPr>
        <w:t>,  pp.</w:t>
      </w:r>
      <w:r>
        <w:rPr>
          <w:color w:val="231F1F"/>
          <w:spacing w:val="-2"/>
          <w:w w:val="105"/>
          <w:sz w:val="22"/>
        </w:rPr>
        <w:t> </w:t>
      </w:r>
      <w:r>
        <w:rPr>
          <w:color w:val="231F1F"/>
          <w:w w:val="105"/>
          <w:sz w:val="20"/>
        </w:rPr>
        <w:t>655-684</w:t>
      </w:r>
      <w:r>
        <w:rPr>
          <w:color w:val="231F1F"/>
          <w:w w:val="105"/>
          <w:sz w:val="22"/>
        </w:rPr>
        <w:t>.</w:t>
      </w:r>
    </w:p>
    <w:p>
      <w:pPr>
        <w:spacing w:after="0" w:line="268" w:lineRule="auto"/>
        <w:jc w:val="both"/>
        <w:rPr>
          <w:sz w:val="22"/>
        </w:rPr>
        <w:sectPr>
          <w:pgSz w:w="13100" w:h="17920"/>
          <w:pgMar w:top="1660" w:bottom="280" w:left="82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line="268" w:lineRule="auto" w:before="59"/>
        <w:ind w:left="109" w:right="461" w:firstLine="0"/>
        <w:jc w:val="both"/>
        <w:rPr>
          <w:sz w:val="22"/>
        </w:rPr>
      </w:pPr>
      <w:r>
        <w:rPr>
          <w:color w:val="231F1F"/>
          <w:w w:val="105"/>
          <w:sz w:val="22"/>
        </w:rPr>
        <w:t>Marichal, Carlos (</w:t>
      </w:r>
      <w:r>
        <w:rPr>
          <w:color w:val="231F1F"/>
          <w:w w:val="105"/>
          <w:sz w:val="20"/>
        </w:rPr>
        <w:t>2005</w:t>
      </w:r>
      <w:r>
        <w:rPr>
          <w:color w:val="231F1F"/>
          <w:w w:val="105"/>
          <w:sz w:val="22"/>
        </w:rPr>
        <w:t>), “El peso de plata o real de a ocho en España y América: moneda uni- versal del Antiguo Régimen”, en </w:t>
      </w:r>
      <w:r>
        <w:rPr>
          <w:i/>
          <w:color w:val="231F1F"/>
          <w:w w:val="105"/>
          <w:sz w:val="22"/>
        </w:rPr>
        <w:t>La acuñación en México </w:t>
      </w:r>
      <w:r>
        <w:rPr>
          <w:i/>
          <w:color w:val="231F1F"/>
          <w:w w:val="105"/>
          <w:sz w:val="18"/>
        </w:rPr>
        <w:t>1535-2005</w:t>
      </w:r>
      <w:r>
        <w:rPr>
          <w:color w:val="231F1F"/>
          <w:w w:val="105"/>
          <w:sz w:val="22"/>
        </w:rPr>
        <w:t>, México, Chapa Ediciones, </w:t>
      </w:r>
      <w:r>
        <w:rPr>
          <w:color w:val="231F1F"/>
          <w:w w:val="105"/>
          <w:sz w:val="20"/>
        </w:rPr>
        <w:t>2005</w:t>
      </w:r>
      <w:r>
        <w:rPr>
          <w:color w:val="231F1F"/>
          <w:w w:val="105"/>
          <w:sz w:val="22"/>
        </w:rPr>
        <w:t>.   pp.  </w:t>
      </w:r>
      <w:r>
        <w:rPr>
          <w:color w:val="231F1F"/>
          <w:w w:val="105"/>
          <w:sz w:val="20"/>
        </w:rPr>
        <w:t>19-60</w:t>
      </w:r>
      <w:r>
        <w:rPr>
          <w:color w:val="231F1F"/>
          <w:w w:val="105"/>
          <w:sz w:val="22"/>
        </w:rPr>
        <w:t>.</w:t>
      </w:r>
    </w:p>
    <w:p>
      <w:pPr>
        <w:pStyle w:val="BodyText"/>
        <w:spacing w:before="1"/>
        <w:rPr>
          <w:sz w:val="23"/>
        </w:rPr>
      </w:pPr>
    </w:p>
    <w:p>
      <w:pPr>
        <w:pStyle w:val="BodyText"/>
        <w:spacing w:line="268" w:lineRule="auto" w:before="1"/>
        <w:ind w:left="109" w:right="461"/>
        <w:jc w:val="both"/>
      </w:pPr>
      <w:r>
        <w:rPr>
          <w:color w:val="231F1F"/>
          <w:w w:val="105"/>
        </w:rPr>
        <w:t>McMaster, John (</w:t>
      </w:r>
      <w:r>
        <w:rPr>
          <w:color w:val="231F1F"/>
          <w:w w:val="105"/>
          <w:sz w:val="20"/>
        </w:rPr>
        <w:t>1959</w:t>
      </w:r>
      <w:r>
        <w:rPr>
          <w:color w:val="231F1F"/>
          <w:w w:val="105"/>
        </w:rPr>
        <w:t>), “Aventuras asiáticas del peso mexicano”, </w:t>
      </w:r>
      <w:r>
        <w:rPr>
          <w:i/>
          <w:color w:val="231F1F"/>
          <w:w w:val="105"/>
        </w:rPr>
        <w:t>Historia mexicana</w:t>
      </w:r>
      <w:r>
        <w:rPr>
          <w:color w:val="231F1F"/>
          <w:w w:val="105"/>
        </w:rPr>
        <w:t>, México, El Colegio de México, vol. </w:t>
      </w:r>
      <w:r>
        <w:rPr>
          <w:color w:val="231F1F"/>
          <w:w w:val="105"/>
          <w:sz w:val="20"/>
        </w:rPr>
        <w:t>8</w:t>
      </w:r>
      <w:r>
        <w:rPr>
          <w:color w:val="231F1F"/>
          <w:w w:val="105"/>
        </w:rPr>
        <w:t>, núm. </w:t>
      </w:r>
      <w:r>
        <w:rPr>
          <w:color w:val="231F1F"/>
          <w:w w:val="105"/>
          <w:sz w:val="20"/>
        </w:rPr>
        <w:t>3</w:t>
      </w:r>
      <w:r>
        <w:rPr>
          <w:color w:val="231F1F"/>
          <w:w w:val="105"/>
        </w:rPr>
        <w:t>, enero-marzo, pp. </w:t>
      </w:r>
      <w:r>
        <w:rPr>
          <w:color w:val="231F1F"/>
          <w:w w:val="105"/>
          <w:sz w:val="20"/>
        </w:rPr>
        <w:t>372-399</w:t>
      </w:r>
      <w:r>
        <w:rPr>
          <w:color w:val="231F1F"/>
          <w:w w:val="105"/>
        </w:rPr>
        <w:t>.</w:t>
      </w:r>
    </w:p>
    <w:p>
      <w:pPr>
        <w:pStyle w:val="BodyText"/>
        <w:spacing w:before="1"/>
        <w:rPr>
          <w:sz w:val="23"/>
        </w:rPr>
      </w:pPr>
    </w:p>
    <w:p>
      <w:pPr>
        <w:spacing w:line="268" w:lineRule="auto" w:before="1"/>
        <w:ind w:left="109" w:right="461" w:firstLine="0"/>
        <w:jc w:val="both"/>
        <w:rPr>
          <w:sz w:val="22"/>
        </w:rPr>
      </w:pPr>
      <w:r>
        <w:rPr>
          <w:color w:val="231F1F"/>
          <w:w w:val="105"/>
          <w:sz w:val="22"/>
        </w:rPr>
        <w:t>Moreno</w:t>
      </w:r>
      <w:r>
        <w:rPr>
          <w:color w:val="231F1F"/>
          <w:spacing w:val="-20"/>
          <w:w w:val="105"/>
          <w:sz w:val="22"/>
        </w:rPr>
        <w:t> </w:t>
      </w:r>
      <w:r>
        <w:rPr>
          <w:color w:val="231F1F"/>
          <w:w w:val="105"/>
          <w:sz w:val="22"/>
        </w:rPr>
        <w:t>Gutiérrez,</w:t>
      </w:r>
      <w:r>
        <w:rPr>
          <w:color w:val="231F1F"/>
          <w:spacing w:val="-20"/>
          <w:w w:val="105"/>
          <w:sz w:val="22"/>
        </w:rPr>
        <w:t> </w:t>
      </w:r>
      <w:r>
        <w:rPr>
          <w:color w:val="231F1F"/>
          <w:w w:val="105"/>
          <w:sz w:val="22"/>
        </w:rPr>
        <w:t>Rodrigo</w:t>
      </w:r>
      <w:r>
        <w:rPr>
          <w:color w:val="231F1F"/>
          <w:spacing w:val="-20"/>
          <w:w w:val="105"/>
          <w:sz w:val="22"/>
        </w:rPr>
        <w:t> </w:t>
      </w:r>
      <w:r>
        <w:rPr>
          <w:color w:val="231F1F"/>
          <w:w w:val="105"/>
          <w:sz w:val="22"/>
        </w:rPr>
        <w:t>(2014),</w:t>
      </w:r>
      <w:r>
        <w:rPr>
          <w:color w:val="231F1F"/>
          <w:spacing w:val="-20"/>
          <w:w w:val="105"/>
          <w:sz w:val="22"/>
        </w:rPr>
        <w:t> </w:t>
      </w:r>
      <w:r>
        <w:rPr>
          <w:color w:val="231F1F"/>
          <w:w w:val="105"/>
          <w:sz w:val="22"/>
        </w:rPr>
        <w:t>“Dineros</w:t>
      </w:r>
      <w:r>
        <w:rPr>
          <w:color w:val="231F1F"/>
          <w:spacing w:val="-20"/>
          <w:w w:val="105"/>
          <w:sz w:val="22"/>
        </w:rPr>
        <w:t> </w:t>
      </w:r>
      <w:r>
        <w:rPr>
          <w:color w:val="231F1F"/>
          <w:w w:val="105"/>
          <w:sz w:val="22"/>
        </w:rPr>
        <w:t>armados:</w:t>
      </w:r>
      <w:r>
        <w:rPr>
          <w:color w:val="231F1F"/>
          <w:spacing w:val="-20"/>
          <w:w w:val="105"/>
          <w:sz w:val="22"/>
        </w:rPr>
        <w:t> </w:t>
      </w:r>
      <w:r>
        <w:rPr>
          <w:color w:val="231F1F"/>
          <w:w w:val="105"/>
          <w:sz w:val="22"/>
        </w:rPr>
        <w:t>fiscalidad</w:t>
      </w:r>
      <w:r>
        <w:rPr>
          <w:color w:val="231F1F"/>
          <w:spacing w:val="-20"/>
          <w:w w:val="105"/>
          <w:sz w:val="22"/>
        </w:rPr>
        <w:t> </w:t>
      </w:r>
      <w:r>
        <w:rPr>
          <w:color w:val="231F1F"/>
          <w:w w:val="105"/>
          <w:sz w:val="22"/>
        </w:rPr>
        <w:t>y</w:t>
      </w:r>
      <w:r>
        <w:rPr>
          <w:color w:val="231F1F"/>
          <w:spacing w:val="-20"/>
          <w:w w:val="105"/>
          <w:sz w:val="22"/>
        </w:rPr>
        <w:t> </w:t>
      </w:r>
      <w:r>
        <w:rPr>
          <w:color w:val="231F1F"/>
          <w:w w:val="105"/>
          <w:sz w:val="22"/>
        </w:rPr>
        <w:t>financiamiento</w:t>
      </w:r>
      <w:r>
        <w:rPr>
          <w:color w:val="231F1F"/>
          <w:spacing w:val="-20"/>
          <w:w w:val="105"/>
          <w:sz w:val="22"/>
        </w:rPr>
        <w:t> </w:t>
      </w:r>
      <w:r>
        <w:rPr>
          <w:color w:val="231F1F"/>
          <w:w w:val="105"/>
          <w:sz w:val="22"/>
        </w:rPr>
        <w:t>de</w:t>
      </w:r>
      <w:r>
        <w:rPr>
          <w:color w:val="231F1F"/>
          <w:spacing w:val="-20"/>
          <w:w w:val="105"/>
          <w:sz w:val="22"/>
        </w:rPr>
        <w:t> </w:t>
      </w:r>
      <w:r>
        <w:rPr>
          <w:color w:val="231F1F"/>
          <w:w w:val="105"/>
          <w:sz w:val="22"/>
        </w:rPr>
        <w:t>la</w:t>
      </w:r>
      <w:r>
        <w:rPr>
          <w:color w:val="231F1F"/>
          <w:spacing w:val="-20"/>
          <w:w w:val="105"/>
          <w:sz w:val="22"/>
        </w:rPr>
        <w:t> </w:t>
      </w:r>
      <w:r>
        <w:rPr>
          <w:color w:val="231F1F"/>
          <w:w w:val="105"/>
          <w:sz w:val="22"/>
        </w:rPr>
        <w:t>insurgencia y</w:t>
      </w:r>
      <w:r>
        <w:rPr>
          <w:color w:val="231F1F"/>
          <w:spacing w:val="-3"/>
          <w:w w:val="105"/>
          <w:sz w:val="22"/>
        </w:rPr>
        <w:t> </w:t>
      </w:r>
      <w:r>
        <w:rPr>
          <w:color w:val="231F1F"/>
          <w:w w:val="105"/>
          <w:sz w:val="22"/>
        </w:rPr>
        <w:t>la</w:t>
      </w:r>
      <w:r>
        <w:rPr>
          <w:color w:val="231F1F"/>
          <w:spacing w:val="-3"/>
          <w:w w:val="105"/>
          <w:sz w:val="22"/>
        </w:rPr>
        <w:t> </w:t>
      </w:r>
      <w:r>
        <w:rPr>
          <w:color w:val="231F1F"/>
          <w:w w:val="105"/>
          <w:sz w:val="22"/>
        </w:rPr>
        <w:t>trigarancia”,</w:t>
      </w:r>
      <w:r>
        <w:rPr>
          <w:color w:val="231F1F"/>
          <w:spacing w:val="-3"/>
          <w:w w:val="105"/>
          <w:sz w:val="22"/>
        </w:rPr>
        <w:t> </w:t>
      </w:r>
      <w:r>
        <w:rPr>
          <w:color w:val="231F1F"/>
          <w:w w:val="105"/>
          <w:sz w:val="22"/>
        </w:rPr>
        <w:t>en</w:t>
      </w:r>
      <w:r>
        <w:rPr>
          <w:color w:val="231F1F"/>
          <w:spacing w:val="-3"/>
          <w:w w:val="105"/>
          <w:sz w:val="22"/>
        </w:rPr>
        <w:t> </w:t>
      </w:r>
      <w:r>
        <w:rPr>
          <w:color w:val="231F1F"/>
          <w:w w:val="105"/>
          <w:sz w:val="22"/>
        </w:rPr>
        <w:t>Ana</w:t>
      </w:r>
      <w:r>
        <w:rPr>
          <w:color w:val="231F1F"/>
          <w:spacing w:val="-3"/>
          <w:w w:val="105"/>
          <w:sz w:val="22"/>
        </w:rPr>
        <w:t> </w:t>
      </w:r>
      <w:r>
        <w:rPr>
          <w:color w:val="231F1F"/>
          <w:w w:val="105"/>
          <w:sz w:val="22"/>
        </w:rPr>
        <w:t>Carolina</w:t>
      </w:r>
      <w:r>
        <w:rPr>
          <w:color w:val="231F1F"/>
          <w:spacing w:val="-3"/>
          <w:w w:val="105"/>
          <w:sz w:val="22"/>
        </w:rPr>
        <w:t> </w:t>
      </w:r>
      <w:r>
        <w:rPr>
          <w:color w:val="231F1F"/>
          <w:w w:val="105"/>
          <w:sz w:val="22"/>
        </w:rPr>
        <w:t>Ibarra</w:t>
      </w:r>
      <w:r>
        <w:rPr>
          <w:color w:val="231F1F"/>
          <w:spacing w:val="-3"/>
          <w:w w:val="105"/>
          <w:sz w:val="22"/>
        </w:rPr>
        <w:t> </w:t>
      </w:r>
      <w:r>
        <w:rPr>
          <w:i/>
          <w:color w:val="231F1F"/>
          <w:w w:val="105"/>
          <w:sz w:val="22"/>
        </w:rPr>
        <w:t>et</w:t>
      </w:r>
      <w:r>
        <w:rPr>
          <w:i/>
          <w:color w:val="231F1F"/>
          <w:spacing w:val="-3"/>
          <w:w w:val="105"/>
          <w:sz w:val="22"/>
        </w:rPr>
        <w:t> </w:t>
      </w:r>
      <w:r>
        <w:rPr>
          <w:i/>
          <w:color w:val="231F1F"/>
          <w:w w:val="105"/>
          <w:sz w:val="22"/>
        </w:rPr>
        <w:t>al</w:t>
      </w:r>
      <w:r>
        <w:rPr>
          <w:color w:val="231F1F"/>
          <w:w w:val="105"/>
          <w:sz w:val="22"/>
        </w:rPr>
        <w:t>.</w:t>
      </w:r>
      <w:r>
        <w:rPr>
          <w:color w:val="231F1F"/>
          <w:spacing w:val="-3"/>
          <w:w w:val="105"/>
          <w:sz w:val="22"/>
        </w:rPr>
        <w:t> </w:t>
      </w:r>
      <w:r>
        <w:rPr>
          <w:color w:val="231F1F"/>
          <w:w w:val="105"/>
          <w:sz w:val="22"/>
        </w:rPr>
        <w:t>(coords.),</w:t>
      </w:r>
      <w:r>
        <w:rPr>
          <w:color w:val="231F1F"/>
          <w:spacing w:val="-3"/>
          <w:w w:val="105"/>
          <w:sz w:val="22"/>
        </w:rPr>
        <w:t> </w:t>
      </w:r>
      <w:r>
        <w:rPr>
          <w:i/>
          <w:color w:val="231F1F"/>
          <w:w w:val="105"/>
          <w:sz w:val="22"/>
        </w:rPr>
        <w:t>La</w:t>
      </w:r>
      <w:r>
        <w:rPr>
          <w:i/>
          <w:color w:val="231F1F"/>
          <w:spacing w:val="-3"/>
          <w:w w:val="105"/>
          <w:sz w:val="22"/>
        </w:rPr>
        <w:t> </w:t>
      </w:r>
      <w:r>
        <w:rPr>
          <w:i/>
          <w:color w:val="231F1F"/>
          <w:w w:val="105"/>
          <w:sz w:val="22"/>
        </w:rPr>
        <w:t>insurgencia</w:t>
      </w:r>
      <w:r>
        <w:rPr>
          <w:i/>
          <w:color w:val="231F1F"/>
          <w:spacing w:val="-3"/>
          <w:w w:val="105"/>
          <w:sz w:val="22"/>
        </w:rPr>
        <w:t> </w:t>
      </w:r>
      <w:r>
        <w:rPr>
          <w:i/>
          <w:color w:val="231F1F"/>
          <w:w w:val="105"/>
          <w:sz w:val="22"/>
        </w:rPr>
        <w:t>mexicana</w:t>
      </w:r>
      <w:r>
        <w:rPr>
          <w:i/>
          <w:color w:val="231F1F"/>
          <w:spacing w:val="-3"/>
          <w:w w:val="105"/>
          <w:sz w:val="22"/>
        </w:rPr>
        <w:t> </w:t>
      </w:r>
      <w:r>
        <w:rPr>
          <w:i/>
          <w:color w:val="231F1F"/>
          <w:w w:val="105"/>
          <w:sz w:val="22"/>
        </w:rPr>
        <w:t>y</w:t>
      </w:r>
      <w:r>
        <w:rPr>
          <w:i/>
          <w:color w:val="231F1F"/>
          <w:spacing w:val="-3"/>
          <w:w w:val="105"/>
          <w:sz w:val="22"/>
        </w:rPr>
        <w:t> </w:t>
      </w:r>
      <w:r>
        <w:rPr>
          <w:i/>
          <w:color w:val="231F1F"/>
          <w:w w:val="105"/>
          <w:sz w:val="22"/>
        </w:rPr>
        <w:t>la</w:t>
      </w:r>
      <w:r>
        <w:rPr>
          <w:i/>
          <w:color w:val="231F1F"/>
          <w:spacing w:val="-3"/>
          <w:w w:val="105"/>
          <w:sz w:val="22"/>
        </w:rPr>
        <w:t> </w:t>
      </w:r>
      <w:r>
        <w:rPr>
          <w:i/>
          <w:color w:val="231F1F"/>
          <w:w w:val="105"/>
          <w:sz w:val="22"/>
        </w:rPr>
        <w:t>Constitución </w:t>
      </w:r>
      <w:r>
        <w:rPr>
          <w:i/>
          <w:color w:val="231F1F"/>
          <w:w w:val="105"/>
          <w:sz w:val="22"/>
        </w:rPr>
        <w:t>de  Apatzingán,  1808-1824</w:t>
      </w:r>
      <w:r>
        <w:rPr>
          <w:color w:val="231F1F"/>
          <w:w w:val="105"/>
          <w:sz w:val="22"/>
        </w:rPr>
        <w:t>,  México,  </w:t>
      </w:r>
      <w:r>
        <w:rPr>
          <w:color w:val="231F1F"/>
          <w:w w:val="105"/>
          <w:sz w:val="18"/>
        </w:rPr>
        <w:t>UNAM</w:t>
      </w:r>
      <w:r>
        <w:rPr>
          <w:color w:val="231F1F"/>
          <w:w w:val="105"/>
          <w:sz w:val="22"/>
        </w:rPr>
        <w:t>,  pp.   </w:t>
      </w:r>
      <w:r>
        <w:rPr>
          <w:color w:val="231F1F"/>
          <w:spacing w:val="25"/>
          <w:w w:val="105"/>
          <w:sz w:val="22"/>
        </w:rPr>
        <w:t> </w:t>
      </w:r>
      <w:r>
        <w:rPr>
          <w:color w:val="231F1F"/>
          <w:w w:val="105"/>
          <w:sz w:val="22"/>
        </w:rPr>
        <w:t>135-153.</w:t>
      </w:r>
    </w:p>
    <w:p>
      <w:pPr>
        <w:pStyle w:val="BodyText"/>
        <w:spacing w:before="1"/>
        <w:rPr>
          <w:sz w:val="23"/>
        </w:rPr>
      </w:pPr>
    </w:p>
    <w:p>
      <w:pPr>
        <w:spacing w:line="268" w:lineRule="auto" w:before="1"/>
        <w:ind w:left="109" w:right="461" w:firstLine="0"/>
        <w:jc w:val="both"/>
        <w:rPr>
          <w:sz w:val="22"/>
        </w:rPr>
      </w:pPr>
      <w:r>
        <w:rPr>
          <w:color w:val="231F1F"/>
          <w:w w:val="105"/>
          <w:sz w:val="22"/>
        </w:rPr>
        <w:t>Real Ordenanza de Intendentes (1786), </w:t>
      </w:r>
      <w:r>
        <w:rPr>
          <w:i/>
          <w:color w:val="231F1F"/>
          <w:w w:val="105"/>
          <w:sz w:val="22"/>
        </w:rPr>
        <w:t>Real Ordenanza para el establecimiento e instrucción de </w:t>
      </w:r>
      <w:r>
        <w:rPr>
          <w:i/>
          <w:color w:val="231F1F"/>
          <w:w w:val="105"/>
          <w:sz w:val="22"/>
        </w:rPr>
        <w:t>Intendentes de exército y provincia en el reino de la Nueva España de 1786</w:t>
      </w:r>
      <w:r>
        <w:rPr>
          <w:color w:val="231F1F"/>
          <w:w w:val="105"/>
          <w:sz w:val="22"/>
        </w:rPr>
        <w:t>.</w:t>
      </w:r>
    </w:p>
    <w:p>
      <w:pPr>
        <w:pStyle w:val="BodyText"/>
        <w:spacing w:before="1"/>
        <w:rPr>
          <w:sz w:val="23"/>
        </w:rPr>
      </w:pPr>
    </w:p>
    <w:p>
      <w:pPr>
        <w:spacing w:line="268" w:lineRule="auto" w:before="1"/>
        <w:ind w:left="109" w:right="460" w:firstLine="0"/>
        <w:jc w:val="both"/>
        <w:rPr>
          <w:sz w:val="22"/>
        </w:rPr>
      </w:pPr>
      <w:r>
        <w:rPr>
          <w:color w:val="231F1F"/>
          <w:w w:val="105"/>
          <w:sz w:val="22"/>
        </w:rPr>
        <w:t>Romano, Ruggiero (1998), </w:t>
      </w:r>
      <w:r>
        <w:rPr>
          <w:i/>
          <w:color w:val="231F1F"/>
          <w:w w:val="105"/>
          <w:sz w:val="22"/>
        </w:rPr>
        <w:t>Moneda, seudomonedas y circulación monetaria en las economías de </w:t>
      </w:r>
      <w:r>
        <w:rPr>
          <w:i/>
          <w:color w:val="231F1F"/>
          <w:w w:val="105"/>
          <w:sz w:val="22"/>
        </w:rPr>
        <w:t>México</w:t>
      </w:r>
      <w:r>
        <w:rPr>
          <w:color w:val="231F1F"/>
          <w:w w:val="105"/>
          <w:sz w:val="22"/>
        </w:rPr>
        <w:t>, México, El Colegio de México </w:t>
      </w:r>
      <w:r>
        <w:rPr>
          <w:color w:val="231F1F"/>
          <w:w w:val="135"/>
          <w:sz w:val="22"/>
        </w:rPr>
        <w:t>/ </w:t>
      </w:r>
      <w:r>
        <w:rPr>
          <w:color w:val="231F1F"/>
          <w:w w:val="105"/>
          <w:sz w:val="22"/>
        </w:rPr>
        <w:t>Fideicomiso Fondo de las Américas </w:t>
      </w:r>
      <w:r>
        <w:rPr>
          <w:color w:val="231F1F"/>
          <w:w w:val="135"/>
          <w:sz w:val="22"/>
        </w:rPr>
        <w:t>/ </w:t>
      </w:r>
      <w:r>
        <w:rPr>
          <w:color w:val="231F1F"/>
          <w:w w:val="105"/>
          <w:sz w:val="22"/>
        </w:rPr>
        <w:t>Fondo de Cultura Económica.</w:t>
      </w:r>
    </w:p>
    <w:p>
      <w:pPr>
        <w:pStyle w:val="BodyText"/>
        <w:spacing w:before="1"/>
        <w:rPr>
          <w:sz w:val="23"/>
        </w:rPr>
      </w:pPr>
    </w:p>
    <w:p>
      <w:pPr>
        <w:spacing w:line="268" w:lineRule="auto" w:before="1"/>
        <w:ind w:left="109" w:right="461" w:firstLine="0"/>
        <w:jc w:val="both"/>
        <w:rPr>
          <w:sz w:val="22"/>
        </w:rPr>
      </w:pPr>
      <w:r>
        <w:rPr>
          <w:color w:val="231F1F"/>
          <w:w w:val="105"/>
          <w:sz w:val="22"/>
        </w:rPr>
        <w:t>Serrano Ortega, José Antonio (2010), “Insurgentes y realistas en pos de la igualdad tributaria. Nueva España, 1810-1821”, </w:t>
      </w:r>
      <w:r>
        <w:rPr>
          <w:i/>
          <w:color w:val="231F1F"/>
          <w:w w:val="105"/>
          <w:sz w:val="22"/>
        </w:rPr>
        <w:t>20/10 Memoria de las revoluciones de México</w:t>
      </w:r>
      <w:r>
        <w:rPr>
          <w:color w:val="231F1F"/>
          <w:w w:val="105"/>
          <w:sz w:val="22"/>
        </w:rPr>
        <w:t>, núm. 9, otoño,     </w:t>
      </w:r>
      <w:r>
        <w:rPr>
          <w:color w:val="231F1F"/>
          <w:spacing w:val="52"/>
          <w:w w:val="105"/>
          <w:sz w:val="22"/>
        </w:rPr>
        <w:t> </w:t>
      </w:r>
      <w:r>
        <w:rPr>
          <w:color w:val="231F1F"/>
          <w:w w:val="105"/>
          <w:sz w:val="22"/>
        </w:rPr>
        <w:t>pp.  </w:t>
      </w:r>
      <w:r>
        <w:rPr>
          <w:color w:val="231F1F"/>
          <w:spacing w:val="33"/>
          <w:w w:val="105"/>
          <w:sz w:val="22"/>
        </w:rPr>
        <w:t> </w:t>
      </w:r>
      <w:r>
        <w:rPr>
          <w:color w:val="231F1F"/>
          <w:w w:val="105"/>
          <w:sz w:val="22"/>
        </w:rPr>
        <w:t>154-165.</w:t>
      </w:r>
    </w:p>
    <w:p>
      <w:pPr>
        <w:pStyle w:val="BodyText"/>
        <w:spacing w:before="1"/>
        <w:rPr>
          <w:sz w:val="23"/>
        </w:rPr>
      </w:pPr>
    </w:p>
    <w:p>
      <w:pPr>
        <w:spacing w:line="268" w:lineRule="auto" w:before="1"/>
        <w:ind w:left="109" w:right="462" w:firstLine="0"/>
        <w:jc w:val="both"/>
        <w:rPr>
          <w:sz w:val="22"/>
        </w:rPr>
      </w:pPr>
      <w:r>
        <w:rPr>
          <w:color w:val="231F1F"/>
          <w:w w:val="105"/>
          <w:sz w:val="22"/>
        </w:rPr>
        <w:t>Tanck de Estrada, Dorothy (2004), </w:t>
      </w:r>
      <w:r>
        <w:rPr>
          <w:i/>
          <w:color w:val="231F1F"/>
          <w:w w:val="105"/>
          <w:sz w:val="22"/>
        </w:rPr>
        <w:t>Atlas ilustrado de los pueblos de indios de la Nueva España</w:t>
      </w:r>
      <w:r>
        <w:rPr>
          <w:color w:val="231F1F"/>
          <w:w w:val="105"/>
          <w:sz w:val="22"/>
        </w:rPr>
        <w:t>, México, El Colegio de México, El Colegio Mexiquense </w:t>
      </w:r>
      <w:r>
        <w:rPr>
          <w:color w:val="231F1F"/>
          <w:w w:val="135"/>
          <w:sz w:val="22"/>
        </w:rPr>
        <w:t>/ </w:t>
      </w:r>
      <w:r>
        <w:rPr>
          <w:color w:val="231F1F"/>
          <w:w w:val="105"/>
          <w:sz w:val="18"/>
        </w:rPr>
        <w:t>CDI </w:t>
      </w:r>
      <w:r>
        <w:rPr>
          <w:color w:val="231F1F"/>
          <w:w w:val="135"/>
          <w:sz w:val="22"/>
        </w:rPr>
        <w:t>/ </w:t>
      </w:r>
      <w:r>
        <w:rPr>
          <w:color w:val="231F1F"/>
          <w:w w:val="105"/>
          <w:sz w:val="22"/>
        </w:rPr>
        <w:t>Fomento Cultural Banamex.</w:t>
      </w:r>
    </w:p>
    <w:p>
      <w:pPr>
        <w:pStyle w:val="BodyText"/>
        <w:spacing w:before="1"/>
        <w:rPr>
          <w:sz w:val="23"/>
        </w:rPr>
      </w:pPr>
    </w:p>
    <w:p>
      <w:pPr>
        <w:spacing w:line="268" w:lineRule="auto" w:before="1"/>
        <w:ind w:left="109" w:right="461" w:firstLine="0"/>
        <w:jc w:val="both"/>
        <w:rPr>
          <w:sz w:val="22"/>
        </w:rPr>
      </w:pPr>
      <w:r>
        <w:rPr>
          <w:color w:val="231F1F"/>
          <w:spacing w:val="-5"/>
          <w:w w:val="105"/>
          <w:sz w:val="22"/>
        </w:rPr>
        <w:t>Tai, </w:t>
      </w:r>
      <w:r>
        <w:rPr>
          <w:color w:val="231F1F"/>
          <w:w w:val="105"/>
          <w:sz w:val="22"/>
        </w:rPr>
        <w:t>Stephen (2005), “Las monedas de plata mexicanas que circularon en China”, en </w:t>
      </w:r>
      <w:r>
        <w:rPr>
          <w:i/>
          <w:color w:val="231F1F"/>
          <w:w w:val="105"/>
          <w:sz w:val="22"/>
        </w:rPr>
        <w:t>La</w:t>
      </w:r>
      <w:r>
        <w:rPr>
          <w:i/>
          <w:color w:val="231F1F"/>
          <w:spacing w:val="-28"/>
          <w:w w:val="105"/>
          <w:sz w:val="22"/>
        </w:rPr>
        <w:t> </w:t>
      </w:r>
      <w:r>
        <w:rPr>
          <w:i/>
          <w:color w:val="231F1F"/>
          <w:w w:val="105"/>
          <w:sz w:val="22"/>
        </w:rPr>
        <w:t>acuñación </w:t>
      </w:r>
      <w:r>
        <w:rPr>
          <w:i/>
          <w:color w:val="231F1F"/>
          <w:w w:val="105"/>
          <w:sz w:val="22"/>
        </w:rPr>
        <w:t>en  México  1535-2005</w:t>
      </w:r>
      <w:r>
        <w:rPr>
          <w:color w:val="231F1F"/>
          <w:w w:val="105"/>
          <w:sz w:val="22"/>
        </w:rPr>
        <w:t>,  México,  Chapa  Ediciones,  pp.  </w:t>
      </w:r>
      <w:r>
        <w:rPr>
          <w:color w:val="231F1F"/>
          <w:spacing w:val="46"/>
          <w:w w:val="105"/>
          <w:sz w:val="22"/>
        </w:rPr>
        <w:t> </w:t>
      </w:r>
      <w:r>
        <w:rPr>
          <w:color w:val="231F1F"/>
          <w:w w:val="105"/>
          <w:sz w:val="22"/>
        </w:rPr>
        <w:t>135-158.</w:t>
      </w:r>
    </w:p>
    <w:p>
      <w:pPr>
        <w:pStyle w:val="BodyText"/>
        <w:spacing w:before="1"/>
        <w:rPr>
          <w:sz w:val="23"/>
        </w:rPr>
      </w:pPr>
    </w:p>
    <w:p>
      <w:pPr>
        <w:spacing w:line="268" w:lineRule="auto" w:before="1"/>
        <w:ind w:left="109" w:right="460" w:firstLine="0"/>
        <w:jc w:val="both"/>
        <w:rPr>
          <w:sz w:val="22"/>
        </w:rPr>
      </w:pPr>
      <w:r>
        <w:rPr>
          <w:color w:val="231F1F"/>
          <w:w w:val="105"/>
          <w:sz w:val="22"/>
        </w:rPr>
        <w:t>Terán, Marta (2010), “Los tributarios de la Nueva España frente a la abolición y a la restauración de los tributos, 1810-1822”, en Miguel León Portilla y Alicia Mayer (coords.), </w:t>
      </w:r>
      <w:r>
        <w:rPr>
          <w:i/>
          <w:color w:val="231F1F"/>
          <w:w w:val="105"/>
          <w:sz w:val="22"/>
        </w:rPr>
        <w:t>Los indígenas en la </w:t>
      </w:r>
      <w:r>
        <w:rPr>
          <w:i/>
          <w:color w:val="231F1F"/>
          <w:w w:val="105"/>
          <w:sz w:val="22"/>
        </w:rPr>
        <w:t>Independencia y en la Revolución Mexicana</w:t>
      </w:r>
      <w:r>
        <w:rPr>
          <w:color w:val="231F1F"/>
          <w:w w:val="105"/>
          <w:sz w:val="22"/>
        </w:rPr>
        <w:t>, México, </w:t>
      </w:r>
      <w:r>
        <w:rPr>
          <w:color w:val="231F1F"/>
          <w:w w:val="105"/>
          <w:sz w:val="18"/>
        </w:rPr>
        <w:t>UNAM</w:t>
      </w:r>
      <w:r>
        <w:rPr>
          <w:color w:val="231F1F"/>
          <w:w w:val="105"/>
          <w:sz w:val="22"/>
        </w:rPr>
        <w:t>, pp. 249-288.</w:t>
      </w:r>
    </w:p>
    <w:p>
      <w:pPr>
        <w:pStyle w:val="BodyText"/>
        <w:spacing w:before="1"/>
        <w:rPr>
          <w:sz w:val="23"/>
        </w:rPr>
      </w:pPr>
    </w:p>
    <w:p>
      <w:pPr>
        <w:pStyle w:val="BodyText"/>
        <w:spacing w:line="268" w:lineRule="auto" w:before="1"/>
        <w:ind w:left="109" w:right="460"/>
        <w:jc w:val="both"/>
      </w:pPr>
      <w:r>
        <w:rPr>
          <w:color w:val="231F1F"/>
        </w:rPr>
        <w:t>Velázquez de la Cruz, Diego (2012), “Estado, moneda y justicia. El papel de la falsificación en el  Estado de México ante el proceso de imposición de un sistema monetario nacional durante el siglo </w:t>
      </w:r>
      <w:r>
        <w:rPr>
          <w:color w:val="231F1F"/>
          <w:sz w:val="18"/>
        </w:rPr>
        <w:t>XIX</w:t>
      </w:r>
      <w:r>
        <w:rPr>
          <w:color w:val="231F1F"/>
        </w:rPr>
        <w:t>”,</w:t>
      </w:r>
      <w:r>
        <w:rPr>
          <w:color w:val="231F1F"/>
          <w:spacing w:val="41"/>
        </w:rPr>
        <w:t> </w:t>
      </w:r>
      <w:r>
        <w:rPr>
          <w:color w:val="231F1F"/>
          <w:spacing w:val="-3"/>
        </w:rPr>
        <w:t>[Tesis</w:t>
      </w:r>
      <w:r>
        <w:rPr>
          <w:color w:val="231F1F"/>
          <w:spacing w:val="41"/>
        </w:rPr>
        <w:t> </w:t>
      </w:r>
      <w:r>
        <w:rPr>
          <w:color w:val="231F1F"/>
        </w:rPr>
        <w:t>de</w:t>
      </w:r>
      <w:r>
        <w:rPr>
          <w:color w:val="231F1F"/>
          <w:spacing w:val="41"/>
        </w:rPr>
        <w:t> </w:t>
      </w:r>
      <w:r>
        <w:rPr>
          <w:color w:val="231F1F"/>
        </w:rPr>
        <w:t>Maestría],</w:t>
      </w:r>
      <w:r>
        <w:rPr>
          <w:color w:val="231F1F"/>
          <w:spacing w:val="41"/>
        </w:rPr>
        <w:t> </w:t>
      </w:r>
      <w:r>
        <w:rPr>
          <w:color w:val="231F1F"/>
          <w:spacing w:val="-3"/>
        </w:rPr>
        <w:t>Toluca,</w:t>
      </w:r>
      <w:r>
        <w:rPr>
          <w:color w:val="231F1F"/>
          <w:spacing w:val="41"/>
        </w:rPr>
        <w:t> </w:t>
      </w:r>
      <w:r>
        <w:rPr>
          <w:color w:val="231F1F"/>
        </w:rPr>
        <w:t>Universidad</w:t>
      </w:r>
      <w:r>
        <w:rPr>
          <w:color w:val="231F1F"/>
          <w:spacing w:val="41"/>
        </w:rPr>
        <w:t> </w:t>
      </w:r>
      <w:r>
        <w:rPr>
          <w:color w:val="231F1F"/>
        </w:rPr>
        <w:t>Autónoma</w:t>
      </w:r>
      <w:r>
        <w:rPr>
          <w:color w:val="231F1F"/>
          <w:spacing w:val="41"/>
        </w:rPr>
        <w:t> </w:t>
      </w:r>
      <w:r>
        <w:rPr>
          <w:color w:val="231F1F"/>
        </w:rPr>
        <w:t>del</w:t>
      </w:r>
      <w:r>
        <w:rPr>
          <w:color w:val="231F1F"/>
          <w:spacing w:val="41"/>
        </w:rPr>
        <w:t> </w:t>
      </w:r>
      <w:r>
        <w:rPr>
          <w:color w:val="231F1F"/>
        </w:rPr>
        <w:t>Estado</w:t>
      </w:r>
      <w:r>
        <w:rPr>
          <w:color w:val="231F1F"/>
          <w:spacing w:val="41"/>
        </w:rPr>
        <w:t> </w:t>
      </w:r>
      <w:r>
        <w:rPr>
          <w:color w:val="231F1F"/>
        </w:rPr>
        <w:t>de</w:t>
      </w:r>
      <w:r>
        <w:rPr>
          <w:color w:val="231F1F"/>
          <w:spacing w:val="41"/>
        </w:rPr>
        <w:t> </w:t>
      </w:r>
      <w:r>
        <w:rPr>
          <w:color w:val="231F1F"/>
        </w:rPr>
        <w:t>México,</w:t>
      </w:r>
      <w:r>
        <w:rPr>
          <w:color w:val="231F1F"/>
          <w:spacing w:val="41"/>
        </w:rPr>
        <w:t> </w:t>
      </w:r>
      <w:r>
        <w:rPr>
          <w:color w:val="231F1F"/>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after="0"/>
        <w:rPr>
          <w:sz w:val="16"/>
        </w:rPr>
        <w:sectPr>
          <w:pgSz w:w="13100" w:h="17920"/>
          <w:pgMar w:top="1700" w:bottom="280" w:left="1620" w:right="1860"/>
        </w:sectPr>
      </w:pPr>
    </w:p>
    <w:p>
      <w:pPr>
        <w:spacing w:line="194" w:lineRule="exact" w:before="80"/>
        <w:ind w:left="0" w:right="0" w:firstLine="0"/>
        <w:jc w:val="right"/>
        <w:rPr>
          <w:sz w:val="16"/>
        </w:rPr>
      </w:pPr>
      <w:r>
        <w:rPr>
          <w:color w:val="4F3628"/>
          <w:w w:val="105"/>
          <w:sz w:val="16"/>
        </w:rPr>
        <w:t>LOS PUEBLOS DE INDIOS EN    EL</w:t>
      </w:r>
    </w:p>
    <w:p>
      <w:pPr>
        <w:spacing w:line="194" w:lineRule="exact" w:before="0"/>
        <w:ind w:left="0" w:right="0" w:firstLine="0"/>
        <w:jc w:val="right"/>
        <w:rPr>
          <w:sz w:val="16"/>
        </w:rPr>
      </w:pPr>
      <w:r>
        <w:rPr>
          <w:color w:val="4F3628"/>
          <w:w w:val="115"/>
          <w:sz w:val="16"/>
        </w:rPr>
        <w:t>PENSAMIENTO DE MORELOS</w:t>
      </w:r>
    </w:p>
    <w:p>
      <w:pPr>
        <w:spacing w:before="68"/>
        <w:ind w:left="335" w:right="0" w:firstLine="0"/>
        <w:jc w:val="left"/>
        <w:rPr>
          <w:sz w:val="18"/>
        </w:rPr>
      </w:pPr>
      <w:r>
        <w:rPr/>
        <w:br w:type="column"/>
      </w:r>
      <w:r>
        <w:rPr>
          <w:color w:val="4F3628"/>
          <w:w w:val="120"/>
          <w:sz w:val="18"/>
        </w:rPr>
        <w:t>135</w:t>
      </w:r>
    </w:p>
    <w:sectPr>
      <w:type w:val="continuous"/>
      <w:pgSz w:w="13100" w:h="17920"/>
      <w:pgMar w:top="0" w:bottom="0" w:left="1620" w:right="1860"/>
      <w:cols w:num="2" w:equalWidth="0">
        <w:col w:w="8413" w:space="40"/>
        <w:col w:w="116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Gungsuh">
    <w:altName w:val="Gungsuh"/>
    <w:charset w:val="0"/>
    <w:family w:val="roman"/>
    <w:pitch w:val="variable"/>
  </w:font>
  <w:font w:name="Tahoma">
    <w:altName w:val="Tahoma"/>
    <w:charset w:val="0"/>
    <w:family w:val="swiss"/>
    <w:pitch w:val="variable"/>
  </w:font>
  <w:font w:name="Microsoft Sans Serif">
    <w:altName w:val="Microsoft Sans Serif"/>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Lucida Sans Unicode">
    <w:altName w:val="Lucida Sans Unicode"/>
    <w:charset w:val="0"/>
    <w:family w:val="swiss"/>
    <w:pitch w:val="variable"/>
  </w:font>
  <w:font w:name="Verdana">
    <w:altName w:val="Verdan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6"/>
      <w:numFmt w:val="decimal"/>
      <w:lvlText w:val="%1."/>
      <w:lvlJc w:val="left"/>
      <w:pPr>
        <w:ind w:left="1504" w:hanging="244"/>
        <w:jc w:val="right"/>
      </w:pPr>
      <w:rPr>
        <w:rFonts w:hint="default" w:ascii="Tahoma" w:hAnsi="Tahoma" w:eastAsia="Tahoma" w:cs="Tahoma"/>
        <w:color w:val="383434"/>
        <w:spacing w:val="-2"/>
        <w:w w:val="93"/>
        <w:sz w:val="16"/>
        <w:szCs w:val="16"/>
      </w:rPr>
    </w:lvl>
    <w:lvl w:ilvl="1">
      <w:start w:val="1"/>
      <w:numFmt w:val="bullet"/>
      <w:lvlText w:val="•"/>
      <w:lvlJc w:val="left"/>
      <w:pPr>
        <w:ind w:left="2577" w:hanging="244"/>
      </w:pPr>
      <w:rPr>
        <w:rFonts w:hint="default"/>
      </w:rPr>
    </w:lvl>
    <w:lvl w:ilvl="2">
      <w:start w:val="1"/>
      <w:numFmt w:val="bullet"/>
      <w:lvlText w:val="•"/>
      <w:lvlJc w:val="left"/>
      <w:pPr>
        <w:ind w:left="3655" w:hanging="244"/>
      </w:pPr>
      <w:rPr>
        <w:rFonts w:hint="default"/>
      </w:rPr>
    </w:lvl>
    <w:lvl w:ilvl="3">
      <w:start w:val="1"/>
      <w:numFmt w:val="bullet"/>
      <w:lvlText w:val="•"/>
      <w:lvlJc w:val="left"/>
      <w:pPr>
        <w:ind w:left="4732" w:hanging="244"/>
      </w:pPr>
      <w:rPr>
        <w:rFonts w:hint="default"/>
      </w:rPr>
    </w:lvl>
    <w:lvl w:ilvl="4">
      <w:start w:val="1"/>
      <w:numFmt w:val="bullet"/>
      <w:lvlText w:val="•"/>
      <w:lvlJc w:val="left"/>
      <w:pPr>
        <w:ind w:left="5810" w:hanging="244"/>
      </w:pPr>
      <w:rPr>
        <w:rFonts w:hint="default"/>
      </w:rPr>
    </w:lvl>
    <w:lvl w:ilvl="5">
      <w:start w:val="1"/>
      <w:numFmt w:val="bullet"/>
      <w:lvlText w:val="•"/>
      <w:lvlJc w:val="left"/>
      <w:pPr>
        <w:ind w:left="6888" w:hanging="244"/>
      </w:pPr>
      <w:rPr>
        <w:rFonts w:hint="default"/>
      </w:rPr>
    </w:lvl>
    <w:lvl w:ilvl="6">
      <w:start w:val="1"/>
      <w:numFmt w:val="bullet"/>
      <w:lvlText w:val="•"/>
      <w:lvlJc w:val="left"/>
      <w:pPr>
        <w:ind w:left="7965" w:hanging="244"/>
      </w:pPr>
      <w:rPr>
        <w:rFonts w:hint="default"/>
      </w:rPr>
    </w:lvl>
    <w:lvl w:ilvl="7">
      <w:start w:val="1"/>
      <w:numFmt w:val="bullet"/>
      <w:lvlText w:val="•"/>
      <w:lvlJc w:val="left"/>
      <w:pPr>
        <w:ind w:left="9043" w:hanging="244"/>
      </w:pPr>
      <w:rPr>
        <w:rFonts w:hint="default"/>
      </w:rPr>
    </w:lvl>
    <w:lvl w:ilvl="8">
      <w:start w:val="1"/>
      <w:numFmt w:val="bullet"/>
      <w:lvlText w:val="•"/>
      <w:lvlJc w:val="left"/>
      <w:pPr>
        <w:ind w:left="10120" w:hanging="244"/>
      </w:pPr>
      <w:rPr>
        <w:rFonts w:hint="default"/>
      </w:rPr>
    </w:lvl>
  </w:abstractNum>
  <w:abstractNum w:abstractNumId="1">
    <w:multiLevelType w:val="hybridMultilevel"/>
    <w:lvl w:ilvl="0">
      <w:start w:val="4"/>
      <w:numFmt w:val="decimal"/>
      <w:lvlText w:val="%1."/>
      <w:lvlJc w:val="left"/>
      <w:pPr>
        <w:ind w:left="105" w:hanging="167"/>
        <w:jc w:val="right"/>
      </w:pPr>
      <w:rPr>
        <w:rFonts w:hint="default" w:ascii="Tahoma" w:hAnsi="Tahoma" w:eastAsia="Tahoma" w:cs="Tahoma"/>
        <w:color w:val="383434"/>
        <w:w w:val="91"/>
        <w:sz w:val="16"/>
        <w:szCs w:val="16"/>
      </w:rPr>
    </w:lvl>
    <w:lvl w:ilvl="1">
      <w:start w:val="1"/>
      <w:numFmt w:val="bullet"/>
      <w:lvlText w:val="•"/>
      <w:lvlJc w:val="left"/>
      <w:pPr>
        <w:ind w:left="268" w:hanging="167"/>
      </w:pPr>
      <w:rPr>
        <w:rFonts w:hint="default"/>
      </w:rPr>
    </w:lvl>
    <w:lvl w:ilvl="2">
      <w:start w:val="1"/>
      <w:numFmt w:val="bullet"/>
      <w:lvlText w:val="•"/>
      <w:lvlJc w:val="left"/>
      <w:pPr>
        <w:ind w:left="436" w:hanging="167"/>
      </w:pPr>
      <w:rPr>
        <w:rFonts w:hint="default"/>
      </w:rPr>
    </w:lvl>
    <w:lvl w:ilvl="3">
      <w:start w:val="1"/>
      <w:numFmt w:val="bullet"/>
      <w:lvlText w:val="•"/>
      <w:lvlJc w:val="left"/>
      <w:pPr>
        <w:ind w:left="604" w:hanging="167"/>
      </w:pPr>
      <w:rPr>
        <w:rFonts w:hint="default"/>
      </w:rPr>
    </w:lvl>
    <w:lvl w:ilvl="4">
      <w:start w:val="1"/>
      <w:numFmt w:val="bullet"/>
      <w:lvlText w:val="•"/>
      <w:lvlJc w:val="left"/>
      <w:pPr>
        <w:ind w:left="772" w:hanging="167"/>
      </w:pPr>
      <w:rPr>
        <w:rFonts w:hint="default"/>
      </w:rPr>
    </w:lvl>
    <w:lvl w:ilvl="5">
      <w:start w:val="1"/>
      <w:numFmt w:val="bullet"/>
      <w:lvlText w:val="•"/>
      <w:lvlJc w:val="left"/>
      <w:pPr>
        <w:ind w:left="940" w:hanging="167"/>
      </w:pPr>
      <w:rPr>
        <w:rFonts w:hint="default"/>
      </w:rPr>
    </w:lvl>
    <w:lvl w:ilvl="6">
      <w:start w:val="1"/>
      <w:numFmt w:val="bullet"/>
      <w:lvlText w:val="•"/>
      <w:lvlJc w:val="left"/>
      <w:pPr>
        <w:ind w:left="1108" w:hanging="167"/>
      </w:pPr>
      <w:rPr>
        <w:rFonts w:hint="default"/>
      </w:rPr>
    </w:lvl>
    <w:lvl w:ilvl="7">
      <w:start w:val="1"/>
      <w:numFmt w:val="bullet"/>
      <w:lvlText w:val="•"/>
      <w:lvlJc w:val="left"/>
      <w:pPr>
        <w:ind w:left="1277" w:hanging="167"/>
      </w:pPr>
      <w:rPr>
        <w:rFonts w:hint="default"/>
      </w:rPr>
    </w:lvl>
    <w:lvl w:ilvl="8">
      <w:start w:val="1"/>
      <w:numFmt w:val="bullet"/>
      <w:lvlText w:val="•"/>
      <w:lvlJc w:val="left"/>
      <w:pPr>
        <w:ind w:left="1445" w:hanging="167"/>
      </w:pPr>
      <w:rPr>
        <w:rFonts w:hint="default"/>
      </w:rPr>
    </w:lvl>
  </w:abstractNum>
  <w:abstractNum w:abstractNumId="0">
    <w:multiLevelType w:val="hybridMultilevel"/>
    <w:lvl w:ilvl="0">
      <w:start w:val="1"/>
      <w:numFmt w:val="decimal"/>
      <w:lvlText w:val="%1."/>
      <w:lvlJc w:val="left"/>
      <w:pPr>
        <w:ind w:left="821" w:hanging="167"/>
        <w:jc w:val="right"/>
      </w:pPr>
      <w:rPr>
        <w:rFonts w:hint="default"/>
        <w:w w:val="91"/>
      </w:rPr>
    </w:lvl>
    <w:lvl w:ilvl="1">
      <w:start w:val="1"/>
      <w:numFmt w:val="bullet"/>
      <w:lvlText w:val="•"/>
      <w:lvlJc w:val="left"/>
      <w:pPr>
        <w:ind w:left="1675" w:hanging="167"/>
      </w:pPr>
      <w:rPr>
        <w:rFonts w:hint="default"/>
      </w:rPr>
    </w:lvl>
    <w:lvl w:ilvl="2">
      <w:start w:val="1"/>
      <w:numFmt w:val="bullet"/>
      <w:lvlText w:val="•"/>
      <w:lvlJc w:val="left"/>
      <w:pPr>
        <w:ind w:left="2531" w:hanging="167"/>
      </w:pPr>
      <w:rPr>
        <w:rFonts w:hint="default"/>
      </w:rPr>
    </w:lvl>
    <w:lvl w:ilvl="3">
      <w:start w:val="1"/>
      <w:numFmt w:val="bullet"/>
      <w:lvlText w:val="•"/>
      <w:lvlJc w:val="left"/>
      <w:pPr>
        <w:ind w:left="3386" w:hanging="167"/>
      </w:pPr>
      <w:rPr>
        <w:rFonts w:hint="default"/>
      </w:rPr>
    </w:lvl>
    <w:lvl w:ilvl="4">
      <w:start w:val="1"/>
      <w:numFmt w:val="bullet"/>
      <w:lvlText w:val="•"/>
      <w:lvlJc w:val="left"/>
      <w:pPr>
        <w:ind w:left="4242" w:hanging="167"/>
      </w:pPr>
      <w:rPr>
        <w:rFonts w:hint="default"/>
      </w:rPr>
    </w:lvl>
    <w:lvl w:ilvl="5">
      <w:start w:val="1"/>
      <w:numFmt w:val="bullet"/>
      <w:lvlText w:val="•"/>
      <w:lvlJc w:val="left"/>
      <w:pPr>
        <w:ind w:left="5098" w:hanging="167"/>
      </w:pPr>
      <w:rPr>
        <w:rFonts w:hint="default"/>
      </w:rPr>
    </w:lvl>
    <w:lvl w:ilvl="6">
      <w:start w:val="1"/>
      <w:numFmt w:val="bullet"/>
      <w:lvlText w:val="•"/>
      <w:lvlJc w:val="left"/>
      <w:pPr>
        <w:ind w:left="5953" w:hanging="167"/>
      </w:pPr>
      <w:rPr>
        <w:rFonts w:hint="default"/>
      </w:rPr>
    </w:lvl>
    <w:lvl w:ilvl="7">
      <w:start w:val="1"/>
      <w:numFmt w:val="bullet"/>
      <w:lvlText w:val="•"/>
      <w:lvlJc w:val="left"/>
      <w:pPr>
        <w:ind w:left="6809" w:hanging="167"/>
      </w:pPr>
      <w:rPr>
        <w:rFonts w:hint="default"/>
      </w:rPr>
    </w:lvl>
    <w:lvl w:ilvl="8">
      <w:start w:val="1"/>
      <w:numFmt w:val="bullet"/>
      <w:lvlText w:val="•"/>
      <w:lvlJc w:val="left"/>
      <w:pPr>
        <w:ind w:left="7664" w:hanging="167"/>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ind w:left="332"/>
      <w:outlineLvl w:val="1"/>
    </w:pPr>
    <w:rPr>
      <w:rFonts w:ascii="Gungsuh" w:hAnsi="Gungsuh" w:eastAsia="Gungsuh" w:cs="Gungsuh"/>
      <w:sz w:val="40"/>
      <w:szCs w:val="40"/>
    </w:rPr>
  </w:style>
  <w:style w:styleId="Heading2" w:type="paragraph">
    <w:name w:val="Heading 2"/>
    <w:basedOn w:val="Normal"/>
    <w:uiPriority w:val="1"/>
    <w:qFormat/>
    <w:pPr>
      <w:spacing w:before="2"/>
      <w:ind w:left="710" w:right="710"/>
      <w:jc w:val="center"/>
      <w:outlineLvl w:val="2"/>
    </w:pPr>
    <w:rPr>
      <w:rFonts w:ascii="Cambria" w:hAnsi="Cambria" w:eastAsia="Cambria" w:cs="Cambria"/>
      <w:sz w:val="35"/>
      <w:szCs w:val="35"/>
    </w:rPr>
  </w:style>
  <w:style w:styleId="Heading3" w:type="paragraph">
    <w:name w:val="Heading 3"/>
    <w:basedOn w:val="Normal"/>
    <w:uiPriority w:val="1"/>
    <w:qFormat/>
    <w:pPr>
      <w:spacing w:before="39"/>
      <w:ind w:left="3858" w:right="4211"/>
      <w:jc w:val="center"/>
      <w:outlineLvl w:val="3"/>
    </w:pPr>
    <w:rPr>
      <w:rFonts w:ascii="Times New Roman" w:hAnsi="Times New Roman" w:eastAsia="Times New Roman" w:cs="Times New Roman"/>
      <w:sz w:val="32"/>
      <w:szCs w:val="32"/>
    </w:rPr>
  </w:style>
  <w:style w:styleId="Heading4" w:type="paragraph">
    <w:name w:val="Heading 4"/>
    <w:basedOn w:val="Normal"/>
    <w:uiPriority w:val="1"/>
    <w:qFormat/>
    <w:pPr>
      <w:spacing w:before="12"/>
      <w:ind w:left="109" w:right="5008"/>
      <w:outlineLvl w:val="4"/>
    </w:pPr>
    <w:rPr>
      <w:rFonts w:ascii="Times New Roman" w:hAnsi="Times New Roman" w:eastAsia="Times New Roman" w:cs="Times New Roman"/>
      <w:sz w:val="30"/>
      <w:szCs w:val="30"/>
    </w:rPr>
  </w:style>
  <w:style w:styleId="Heading5" w:type="paragraph">
    <w:name w:val="Heading 5"/>
    <w:basedOn w:val="Normal"/>
    <w:uiPriority w:val="1"/>
    <w:qFormat/>
    <w:pPr>
      <w:spacing w:before="173"/>
      <w:ind w:left="332"/>
      <w:outlineLvl w:val="5"/>
    </w:pPr>
    <w:rPr>
      <w:rFonts w:ascii="Calibri" w:hAnsi="Calibri" w:eastAsia="Calibri" w:cs="Calibri"/>
      <w:sz w:val="24"/>
      <w:szCs w:val="24"/>
    </w:rPr>
  </w:style>
  <w:style w:styleId="ListParagraph" w:type="paragraph">
    <w:name w:val="List Paragraph"/>
    <w:basedOn w:val="Normal"/>
    <w:uiPriority w:val="1"/>
    <w:qFormat/>
    <w:pPr>
      <w:spacing w:before="81"/>
      <w:ind w:left="109"/>
    </w:pPr>
    <w:rPr>
      <w:rFonts w:ascii="Tahoma" w:hAnsi="Tahoma" w:eastAsia="Tahoma" w:cs="Tahoma"/>
    </w:rPr>
  </w:style>
  <w:style w:styleId="TableParagraph" w:type="paragraph">
    <w:name w:val="Table Paragraph"/>
    <w:basedOn w:val="Normal"/>
    <w:uiPriority w:val="1"/>
    <w:qFormat/>
    <w:pPr>
      <w:spacing w:before="2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hyperlink" Target="http://www.uaemex.mx/" TargetMode="External"/><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pn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image" Target="media/image29.jpeg"/><Relationship Id="rId35" Type="http://schemas.openxmlformats.org/officeDocument/2006/relationships/image" Target="media/image30.jpeg"/><Relationship Id="rId36" Type="http://schemas.openxmlformats.org/officeDocument/2006/relationships/image" Target="media/image31.jpeg"/><Relationship Id="rId37" Type="http://schemas.openxmlformats.org/officeDocument/2006/relationships/image" Target="media/image32.jpe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image" Target="media/image46.pn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2017-06-01T18:45:04Z</dcterms:created>
  <dcterms:modified xsi:type="dcterms:W3CDTF">2017-06-01T18:45:04Z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2015-10-15T00:00:00Z</vt:filetime>
  </property>
  <property fmtid="{D5CDD505-2E9C-101B-9397-08002B2CF9AE}" pid="3" name="Creator">
    <vt:lpwstr>Adobe InDesign CS6 (Macintosh)</vt:lpwstr>
  </property>
  <property fmtid="{D5CDD505-2E9C-101B-9397-08002B2CF9AE}" pid="4" name="LastSaved">
    <vt:filetime>2017-06-01T00:00:00Z</vt:filetime>
  </property>
</Properties>
</file>